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49DC" w14:textId="77777777" w:rsidR="00B13E54" w:rsidRPr="00A824AA" w:rsidRDefault="00B13E54" w:rsidP="00B13E54">
      <w:r w:rsidRPr="00A824AA">
        <w:t xml:space="preserve">Across the three WUs with available hydrometric records (01AL000, 05OG000, 09AB000), correspondence between classified wet/dry years and observed discharge varies by site. In </w:t>
      </w:r>
      <w:r w:rsidRPr="00A824AA">
        <w:fldChar w:fldCharType="begin"/>
      </w:r>
      <w:r w:rsidRPr="00A824AA">
        <w:instrText xml:space="preserve"> REF _Ref219886347 \h </w:instrText>
      </w:r>
      <w:r>
        <w:instrText xml:space="preserve"> \* MERGEFORMAT </w:instrText>
      </w:r>
      <w:r w:rsidRPr="00A824AA">
        <w:fldChar w:fldCharType="separate"/>
      </w:r>
      <w:r>
        <w:t>Figure 9</w:t>
      </w:r>
      <w:r w:rsidRPr="00A824AA">
        <w:fldChar w:fldCharType="end"/>
      </w:r>
      <w:r w:rsidRPr="00A824AA">
        <w:t xml:space="preserve"> the results of the station with best annual coverage</w:t>
      </w:r>
      <w:r>
        <w:t xml:space="preserve"> </w:t>
      </w:r>
      <w:proofErr w:type="gramStart"/>
      <w:r>
        <w:t>is</w:t>
      </w:r>
      <w:proofErr w:type="gramEnd"/>
      <w:r>
        <w:t xml:space="preserve"> selected and displayed.</w:t>
      </w:r>
    </w:p>
    <w:p w14:paraId="7CA25376" w14:textId="77777777" w:rsidR="00B13E54" w:rsidRDefault="00B13E54" w:rsidP="00B13E54">
      <w:r>
        <w:t xml:space="preserve">For 01AL000, the wet‑classified years (2018, 2019 and 2021) coincide with elevated spring freshet levels at regional gauges; however, these values are not exceptional in the context of the long‑term record and do not stand out as extreme events relative to earlier peaks (e.g., ~2010). As such, these years reflect above‑average seasonal flow conditions rather than a distinctive hydrologic signature. </w:t>
      </w:r>
    </w:p>
    <w:p w14:paraId="7A68CE33" w14:textId="77777777" w:rsidR="00B13E54" w:rsidRDefault="00B13E54" w:rsidP="00B13E54">
      <w:r>
        <w:t>For 09AB000, we likewise do not observe consistent year‑by‑year agreement between GEV‑selected extreme years and available gauge hydrographs at regional stations. Some wet‑ and dry‑classified years correspond to elevated or suppressed annual maxima, respectively, but this relationship is not systematic across the record, and interpretability is further constrained by limited late‑record coverage at the primary gauge.</w:t>
      </w:r>
    </w:p>
    <w:p w14:paraId="21BB6FF1" w14:textId="77777777" w:rsidR="00B13E54" w:rsidRDefault="00B13E54" w:rsidP="00B13E54">
      <w:r>
        <w:t>For 05OG000 (La Salle River), GEV‑identified wet‑extreme years (2011 and 2017) generally coincide with elevated water levels at local gauges, including station 05OG804, though these values are not absolute maxima and are comparable to levels observed in several other non‑GEV‑classified years. Notably, 2009—classified as a dry‑extreme year—exhibits the highest recorded level at 05OG804, indicating a local decoupling between river stage and WU‑scale wet classification for that year, potentially reflecting routing, storage, or operational influences. In contrast, other dry‑classified years (2001 and 2019) exhibit lower levels at this station, and at stations 05OG001 and 05OG801, dry‑classified years more consistently correspond to lower annual maxima, providing partial station‑level support for the classification despite substantial local variability.</w:t>
      </w:r>
    </w:p>
    <w:p w14:paraId="2EC23C4E" w14:textId="77777777" w:rsidR="00B13E54" w:rsidRDefault="00B13E54" w:rsidP="00B13E54">
      <w:r>
        <w:t>Overall, hydrologic confirmation at individual gauges is limited and heterogeneous across the three WUs examined. This likely reflects differences in how spatially aggregated climatic wetness—captured by FS anomalies and pixel‑exceedance fractions—translates into river discharge, including (</w:t>
      </w:r>
      <w:proofErr w:type="spellStart"/>
      <w:r>
        <w:t>i</w:t>
      </w:r>
      <w:proofErr w:type="spellEnd"/>
      <w:r>
        <w:t>) storage and routing effects that delay or attenuate peak flows, (ii) seasonal timing differences between inundation propensity and runoff magnitude, and (iii) gauge representativeness and spatial mismatch between station catchments and WU boundaries. Together, these factors can weaken direct correspondence between spatial wetness metrics and point‑based hydrographs, even when broader directional trends remain consistent. Original hydrographs and gauge data can be consulted via the Water Office website (wateroffice.gc.ca).</w:t>
      </w:r>
    </w:p>
    <w:p w14:paraId="0295E62C" w14:textId="77777777" w:rsidR="004B2A76" w:rsidRDefault="004B2A76"/>
    <w:sectPr w:rsidR="004B2A76">
      <w:headerReference w:type="even" r:id="rId6"/>
      <w:headerReference w:type="default" r:id="rId7"/>
      <w:head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9DFD9" w14:textId="77777777" w:rsidR="00CA26A6" w:rsidRDefault="00CA26A6" w:rsidP="00B13E54">
      <w:pPr>
        <w:spacing w:line="240" w:lineRule="auto"/>
      </w:pPr>
      <w:r>
        <w:separator/>
      </w:r>
    </w:p>
  </w:endnote>
  <w:endnote w:type="continuationSeparator" w:id="0">
    <w:p w14:paraId="7397ECF3" w14:textId="77777777" w:rsidR="00CA26A6" w:rsidRDefault="00CA26A6" w:rsidP="00B13E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FCE45" w14:textId="77777777" w:rsidR="00CA26A6" w:rsidRDefault="00CA26A6" w:rsidP="00B13E54">
      <w:pPr>
        <w:spacing w:line="240" w:lineRule="auto"/>
      </w:pPr>
      <w:r>
        <w:separator/>
      </w:r>
    </w:p>
  </w:footnote>
  <w:footnote w:type="continuationSeparator" w:id="0">
    <w:p w14:paraId="5A012FD5" w14:textId="77777777" w:rsidR="00CA26A6" w:rsidRDefault="00CA26A6" w:rsidP="00B13E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F505D" w14:textId="7899A2E6" w:rsidR="00B13E54" w:rsidRDefault="00B13E54">
    <w:pPr>
      <w:pStyle w:val="Header"/>
    </w:pPr>
    <w:r>
      <w:rPr>
        <w:noProof/>
        <w14:ligatures w14:val="standardContextual"/>
      </w:rPr>
      <mc:AlternateContent>
        <mc:Choice Requires="wps">
          <w:drawing>
            <wp:anchor distT="0" distB="0" distL="0" distR="0" simplePos="0" relativeHeight="251659264" behindDoc="0" locked="0" layoutInCell="1" allowOverlap="1" wp14:anchorId="390B4A31" wp14:editId="767C2026">
              <wp:simplePos x="635" y="635"/>
              <wp:positionH relativeFrom="page">
                <wp:align>right</wp:align>
              </wp:positionH>
              <wp:positionV relativeFrom="page">
                <wp:align>top</wp:align>
              </wp:positionV>
              <wp:extent cx="2417445" cy="469265"/>
              <wp:effectExtent l="0" t="0" r="0" b="6985"/>
              <wp:wrapNone/>
              <wp:docPr id="1472353116" name="Text Box 2"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7445" cy="469265"/>
                      </a:xfrm>
                      <a:prstGeom prst="rect">
                        <a:avLst/>
                      </a:prstGeom>
                      <a:noFill/>
                      <a:ln>
                        <a:noFill/>
                      </a:ln>
                    </wps:spPr>
                    <wps:txbx>
                      <w:txbxContent>
                        <w:p w14:paraId="559C93B1" w14:textId="72DACFAE" w:rsidR="00B13E54" w:rsidRPr="00B13E54" w:rsidRDefault="00B13E54" w:rsidP="00B13E54">
                          <w:pPr>
                            <w:rPr>
                              <w:rFonts w:ascii="Aptos" w:eastAsia="Aptos" w:hAnsi="Aptos" w:cs="Aptos"/>
                              <w:noProof/>
                              <w:color w:val="000000"/>
                              <w:sz w:val="24"/>
                            </w:rPr>
                          </w:pPr>
                          <w:r w:rsidRPr="00B13E54">
                            <w:rPr>
                              <w:rFonts w:ascii="Aptos" w:eastAsia="Aptos" w:hAnsi="Aptos" w:cs="Aptos"/>
                              <w:noProof/>
                              <w:color w:val="000000"/>
                              <w:sz w:val="24"/>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90B4A31" id="_x0000_t202" coordsize="21600,21600" o:spt="202" path="m,l,21600r21600,l21600,xe">
              <v:stroke joinstyle="miter"/>
              <v:path gradientshapeok="t" o:connecttype="rect"/>
            </v:shapetype>
            <v:shape id="Text Box 2" o:spid="_x0000_s1026" type="#_x0000_t202" alt="UNCLASSIFIED - NON CLASSIFIÉ" style="position:absolute;left:0;text-align:left;margin-left:139.15pt;margin-top:0;width:190.35pt;height:36.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" filled="f" stroked="f">
              <v:fill o:detectmouseclick="t"/>
              <v:textbox style="mso-fit-shape-to-text:t" inset="0,15pt,20pt,0">
                <w:txbxContent>
                  <w:p w14:paraId="559C93B1" w14:textId="72DACFAE" w:rsidR="00B13E54" w:rsidRPr="00B13E54" w:rsidRDefault="00B13E54" w:rsidP="00B13E54">
                    <w:pPr>
                      <w:rPr>
                        <w:rFonts w:ascii="Aptos" w:eastAsia="Aptos" w:hAnsi="Aptos" w:cs="Aptos"/>
                        <w:noProof/>
                        <w:color w:val="000000"/>
                        <w:sz w:val="24"/>
                      </w:rPr>
                    </w:pPr>
                    <w:r w:rsidRPr="00B13E54">
                      <w:rPr>
                        <w:rFonts w:ascii="Aptos" w:eastAsia="Aptos" w:hAnsi="Aptos" w:cs="Aptos"/>
                        <w:noProof/>
                        <w:color w:val="000000"/>
                        <w:sz w:val="24"/>
                      </w:rPr>
                      <w:t>UNCLASSIFIED - NON CLASSIFIÉ</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6936C" w14:textId="3FCC65C1" w:rsidR="00B13E54" w:rsidRDefault="00B13E54">
    <w:pPr>
      <w:pStyle w:val="Header"/>
    </w:pPr>
    <w:r>
      <w:rPr>
        <w:noProof/>
        <w14:ligatures w14:val="standardContextual"/>
      </w:rPr>
      <mc:AlternateContent>
        <mc:Choice Requires="wps">
          <w:drawing>
            <wp:anchor distT="0" distB="0" distL="0" distR="0" simplePos="0" relativeHeight="251660288" behindDoc="0" locked="0" layoutInCell="1" allowOverlap="1" wp14:anchorId="1F688544" wp14:editId="3A43CF7C">
              <wp:simplePos x="914400" y="457200"/>
              <wp:positionH relativeFrom="page">
                <wp:align>right</wp:align>
              </wp:positionH>
              <wp:positionV relativeFrom="page">
                <wp:align>top</wp:align>
              </wp:positionV>
              <wp:extent cx="2417445" cy="469265"/>
              <wp:effectExtent l="0" t="0" r="0" b="6985"/>
              <wp:wrapNone/>
              <wp:docPr id="1234481903" name="Text Box 3"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7445" cy="469265"/>
                      </a:xfrm>
                      <a:prstGeom prst="rect">
                        <a:avLst/>
                      </a:prstGeom>
                      <a:noFill/>
                      <a:ln>
                        <a:noFill/>
                      </a:ln>
                    </wps:spPr>
                    <wps:txbx>
                      <w:txbxContent>
                        <w:p w14:paraId="01320519" w14:textId="76FA4760" w:rsidR="00B13E54" w:rsidRPr="00B13E54" w:rsidRDefault="00B13E54" w:rsidP="00B13E54">
                          <w:pPr>
                            <w:rPr>
                              <w:rFonts w:ascii="Aptos" w:eastAsia="Aptos" w:hAnsi="Aptos" w:cs="Aptos"/>
                              <w:noProof/>
                              <w:color w:val="000000"/>
                              <w:sz w:val="24"/>
                            </w:rPr>
                          </w:pPr>
                          <w:r w:rsidRPr="00B13E54">
                            <w:rPr>
                              <w:rFonts w:ascii="Aptos" w:eastAsia="Aptos" w:hAnsi="Aptos" w:cs="Aptos"/>
                              <w:noProof/>
                              <w:color w:val="000000"/>
                              <w:sz w:val="24"/>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F688544" id="_x0000_t202" coordsize="21600,21600" o:spt="202" path="m,l,21600r21600,l21600,xe">
              <v:stroke joinstyle="miter"/>
              <v:path gradientshapeok="t" o:connecttype="rect"/>
            </v:shapetype>
            <v:shape id="Text Box 3" o:spid="_x0000_s1027" type="#_x0000_t202" alt="UNCLASSIFIED - NON CLASSIFIÉ" style="position:absolute;left:0;text-align:left;margin-left:139.15pt;margin-top:0;width:190.35pt;height:36.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" filled="f" stroked="f">
              <v:fill o:detectmouseclick="t"/>
              <v:textbox style="mso-fit-shape-to-text:t" inset="0,15pt,20pt,0">
                <w:txbxContent>
                  <w:p w14:paraId="01320519" w14:textId="76FA4760" w:rsidR="00B13E54" w:rsidRPr="00B13E54" w:rsidRDefault="00B13E54" w:rsidP="00B13E54">
                    <w:pPr>
                      <w:rPr>
                        <w:rFonts w:ascii="Aptos" w:eastAsia="Aptos" w:hAnsi="Aptos" w:cs="Aptos"/>
                        <w:noProof/>
                        <w:color w:val="000000"/>
                        <w:sz w:val="24"/>
                      </w:rPr>
                    </w:pPr>
                    <w:r w:rsidRPr="00B13E54">
                      <w:rPr>
                        <w:rFonts w:ascii="Aptos" w:eastAsia="Aptos" w:hAnsi="Aptos" w:cs="Aptos"/>
                        <w:noProof/>
                        <w:color w:val="000000"/>
                        <w:sz w:val="24"/>
                      </w:rPr>
                      <w:t>UNCLASSIFIED - NON CLASSIFIÉ</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7C0B5" w14:textId="01F328E8" w:rsidR="00B13E54" w:rsidRDefault="00B13E54">
    <w:pPr>
      <w:pStyle w:val="Header"/>
    </w:pPr>
    <w:r>
      <w:rPr>
        <w:noProof/>
        <w14:ligatures w14:val="standardContextual"/>
      </w:rPr>
      <mc:AlternateContent>
        <mc:Choice Requires="wps">
          <w:drawing>
            <wp:anchor distT="0" distB="0" distL="0" distR="0" simplePos="0" relativeHeight="251658240" behindDoc="0" locked="0" layoutInCell="1" allowOverlap="1" wp14:anchorId="6874F3C4" wp14:editId="722BB43F">
              <wp:simplePos x="635" y="635"/>
              <wp:positionH relativeFrom="page">
                <wp:align>right</wp:align>
              </wp:positionH>
              <wp:positionV relativeFrom="page">
                <wp:align>top</wp:align>
              </wp:positionV>
              <wp:extent cx="2417445" cy="469265"/>
              <wp:effectExtent l="0" t="0" r="0" b="6985"/>
              <wp:wrapNone/>
              <wp:docPr id="1761397325" name="Text Box 1"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7445" cy="469265"/>
                      </a:xfrm>
                      <a:prstGeom prst="rect">
                        <a:avLst/>
                      </a:prstGeom>
                      <a:noFill/>
                      <a:ln>
                        <a:noFill/>
                      </a:ln>
                    </wps:spPr>
                    <wps:txbx>
                      <w:txbxContent>
                        <w:p w14:paraId="20EC223F" w14:textId="1DEA8B7A" w:rsidR="00B13E54" w:rsidRPr="00B13E54" w:rsidRDefault="00B13E54" w:rsidP="00B13E54">
                          <w:pPr>
                            <w:rPr>
                              <w:rFonts w:ascii="Aptos" w:eastAsia="Aptos" w:hAnsi="Aptos" w:cs="Aptos"/>
                              <w:noProof/>
                              <w:color w:val="000000"/>
                              <w:sz w:val="24"/>
                            </w:rPr>
                          </w:pPr>
                          <w:r w:rsidRPr="00B13E54">
                            <w:rPr>
                              <w:rFonts w:ascii="Aptos" w:eastAsia="Aptos" w:hAnsi="Aptos" w:cs="Aptos"/>
                              <w:noProof/>
                              <w:color w:val="000000"/>
                              <w:sz w:val="24"/>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874F3C4" id="_x0000_t202" coordsize="21600,21600" o:spt="202" path="m,l,21600r21600,l21600,xe">
              <v:stroke joinstyle="miter"/>
              <v:path gradientshapeok="t" o:connecttype="rect"/>
            </v:shapetype>
            <v:shape id="Text Box 1" o:spid="_x0000_s1028" type="#_x0000_t202" alt="UNCLASSIFIED - NON CLASSIFIÉ" style="position:absolute;left:0;text-align:left;margin-left:139.15pt;margin-top:0;width:190.35pt;height:36.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" filled="f" stroked="f">
              <v:fill o:detectmouseclick="t"/>
              <v:textbox style="mso-fit-shape-to-text:t" inset="0,15pt,20pt,0">
                <w:txbxContent>
                  <w:p w14:paraId="20EC223F" w14:textId="1DEA8B7A" w:rsidR="00B13E54" w:rsidRPr="00B13E54" w:rsidRDefault="00B13E54" w:rsidP="00B13E54">
                    <w:pPr>
                      <w:rPr>
                        <w:rFonts w:ascii="Aptos" w:eastAsia="Aptos" w:hAnsi="Aptos" w:cs="Aptos"/>
                        <w:noProof/>
                        <w:color w:val="000000"/>
                        <w:sz w:val="24"/>
                      </w:rPr>
                    </w:pPr>
                    <w:r w:rsidRPr="00B13E54">
                      <w:rPr>
                        <w:rFonts w:ascii="Aptos" w:eastAsia="Aptos" w:hAnsi="Aptos" w:cs="Aptos"/>
                        <w:noProof/>
                        <w:color w:val="000000"/>
                        <w:sz w:val="24"/>
                      </w:rPr>
                      <w:t>UNCLASSIFIED - NON CLASSIFIÉ</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E54"/>
    <w:rsid w:val="000C6024"/>
    <w:rsid w:val="00185CF9"/>
    <w:rsid w:val="002526B6"/>
    <w:rsid w:val="00473EA3"/>
    <w:rsid w:val="004B2A76"/>
    <w:rsid w:val="004C6C2C"/>
    <w:rsid w:val="006336EC"/>
    <w:rsid w:val="00780CE0"/>
    <w:rsid w:val="00810EA7"/>
    <w:rsid w:val="008837DE"/>
    <w:rsid w:val="00B13E54"/>
    <w:rsid w:val="00C44886"/>
    <w:rsid w:val="00CA26A6"/>
    <w:rsid w:val="00DB1FFE"/>
    <w:rsid w:val="00E63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EDD7C"/>
  <w15:chartTrackingRefBased/>
  <w15:docId w15:val="{BFF1A0DD-10C0-40A3-8EE1-934BF4FA2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E54"/>
    <w:pPr>
      <w:spacing w:after="0" w:line="360" w:lineRule="auto"/>
      <w:jc w:val="both"/>
    </w:pPr>
    <w:rPr>
      <w:rFonts w:ascii="Times New Roman" w:eastAsia="Times New Roman" w:hAnsi="Times New Roman" w:cs="Times New Roman"/>
      <w:kern w:val="0"/>
      <w:sz w:val="20"/>
      <w:lang w:val="en-GB" w:eastAsia="de-DE"/>
      <w14:ligatures w14:val="none"/>
    </w:rPr>
  </w:style>
  <w:style w:type="paragraph" w:styleId="Heading1">
    <w:name w:val="heading 1"/>
    <w:basedOn w:val="Normal"/>
    <w:next w:val="Normal"/>
    <w:link w:val="Heading1Char"/>
    <w:uiPriority w:val="9"/>
    <w:qFormat/>
    <w:rsid w:val="00B13E54"/>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B13E54"/>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B13E54"/>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B13E54"/>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B13E54"/>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B13E54"/>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B13E54"/>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B13E54"/>
    <w:pPr>
      <w:keepNext/>
      <w:keepLines/>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B13E54"/>
    <w:pPr>
      <w:keepNext/>
      <w:keepLines/>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3E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3E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3E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3E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3E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3E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3E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3E54"/>
    <w:rPr>
      <w:rFonts w:eastAsiaTheme="majorEastAsia" w:cstheme="majorBidi"/>
      <w:color w:val="272727" w:themeColor="text1" w:themeTint="D8"/>
    </w:rPr>
  </w:style>
  <w:style w:type="paragraph" w:styleId="Title">
    <w:name w:val="Title"/>
    <w:basedOn w:val="Normal"/>
    <w:next w:val="Normal"/>
    <w:link w:val="TitleChar"/>
    <w:uiPriority w:val="10"/>
    <w:qFormat/>
    <w:rsid w:val="00B13E54"/>
    <w:pPr>
      <w:spacing w:after="80" w:line="240" w:lineRule="auto"/>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B13E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3E54"/>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B13E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3E54"/>
    <w:pPr>
      <w:spacing w:before="160" w:after="160" w:line="278" w:lineRule="auto"/>
      <w:jc w:val="center"/>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B13E54"/>
    <w:rPr>
      <w:i/>
      <w:iCs/>
      <w:color w:val="404040" w:themeColor="text1" w:themeTint="BF"/>
    </w:rPr>
  </w:style>
  <w:style w:type="paragraph" w:styleId="ListParagraph">
    <w:name w:val="List Paragraph"/>
    <w:basedOn w:val="Normal"/>
    <w:uiPriority w:val="34"/>
    <w:qFormat/>
    <w:rsid w:val="00B13E54"/>
    <w:pPr>
      <w:spacing w:after="160" w:line="278" w:lineRule="auto"/>
      <w:ind w:left="720"/>
      <w:contextualSpacing/>
      <w:jc w:val="left"/>
    </w:pPr>
    <w:rPr>
      <w:rFonts w:asciiTheme="minorHAnsi" w:eastAsiaTheme="minorHAnsi" w:hAnsiTheme="minorHAnsi" w:cstheme="minorBidi"/>
      <w:kern w:val="2"/>
      <w:sz w:val="24"/>
      <w:lang w:val="en-US" w:eastAsia="en-US"/>
      <w14:ligatures w14:val="standardContextual"/>
    </w:rPr>
  </w:style>
  <w:style w:type="character" w:styleId="IntenseEmphasis">
    <w:name w:val="Intense Emphasis"/>
    <w:basedOn w:val="DefaultParagraphFont"/>
    <w:uiPriority w:val="21"/>
    <w:qFormat/>
    <w:rsid w:val="00B13E54"/>
    <w:rPr>
      <w:i/>
      <w:iCs/>
      <w:color w:val="0F4761" w:themeColor="accent1" w:themeShade="BF"/>
    </w:rPr>
  </w:style>
  <w:style w:type="paragraph" w:styleId="IntenseQuote">
    <w:name w:val="Intense Quote"/>
    <w:basedOn w:val="Normal"/>
    <w:next w:val="Normal"/>
    <w:link w:val="IntenseQuoteChar"/>
    <w:uiPriority w:val="30"/>
    <w:qFormat/>
    <w:rsid w:val="00B13E5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B13E54"/>
    <w:rPr>
      <w:i/>
      <w:iCs/>
      <w:color w:val="0F4761" w:themeColor="accent1" w:themeShade="BF"/>
    </w:rPr>
  </w:style>
  <w:style w:type="character" w:styleId="IntenseReference">
    <w:name w:val="Intense Reference"/>
    <w:basedOn w:val="DefaultParagraphFont"/>
    <w:uiPriority w:val="32"/>
    <w:qFormat/>
    <w:rsid w:val="00B13E54"/>
    <w:rPr>
      <w:b/>
      <w:bCs/>
      <w:smallCaps/>
      <w:color w:val="0F4761" w:themeColor="accent1" w:themeShade="BF"/>
      <w:spacing w:val="5"/>
    </w:rPr>
  </w:style>
  <w:style w:type="paragraph" w:styleId="Header">
    <w:name w:val="header"/>
    <w:basedOn w:val="Normal"/>
    <w:link w:val="HeaderChar"/>
    <w:uiPriority w:val="99"/>
    <w:unhideWhenUsed/>
    <w:rsid w:val="00B13E54"/>
    <w:pPr>
      <w:tabs>
        <w:tab w:val="center" w:pos="4680"/>
        <w:tab w:val="right" w:pos="9360"/>
      </w:tabs>
      <w:spacing w:line="240" w:lineRule="auto"/>
    </w:pPr>
  </w:style>
  <w:style w:type="character" w:customStyle="1" w:styleId="HeaderChar">
    <w:name w:val="Header Char"/>
    <w:basedOn w:val="DefaultParagraphFont"/>
    <w:link w:val="Header"/>
    <w:uiPriority w:val="99"/>
    <w:rsid w:val="00B13E54"/>
    <w:rPr>
      <w:rFonts w:ascii="Times New Roman" w:eastAsia="Times New Roman" w:hAnsi="Times New Roman" w:cs="Times New Roman"/>
      <w:kern w:val="0"/>
      <w:sz w:val="20"/>
      <w:lang w:val="en-GB"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619fd-75dc-48cb-820d-8f683a95dd8b}" enabled="1" method="Privileged" siteId="{05c95b33-90ca-49d5-b644-288b930b912b}" contentBits="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376</Words>
  <Characters>2399</Characters>
  <Application>Microsoft Office Word</Application>
  <DocSecurity>0</DocSecurity>
  <Lines>27</Lines>
  <Paragraphs>5</Paragraphs>
  <ScaleCrop>false</ScaleCrop>
  <Company>NRCan - RNCan</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McGrath, Heather</dc:creator>
  <cp:keywords/>
  <dc:description/>
  <cp:lastModifiedBy>McGrath, Heather</cp:lastModifiedBy>
  <cp:revision>2</cp:revision>
  <dcterms:created xsi:type="dcterms:W3CDTF">2026-01-21T16:42:00Z</dcterms:created>
  <dcterms:modified xsi:type="dcterms:W3CDTF">2026-01-21T16:43:00Z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68fcca4d,57c2535c,4994b2ef</vt:lpwstr>
  </property>
  <property fmtid="{D5CDD505-2E9C-101B-9397-08002B2CF9AE}" pid="3" name="ClassificationContentMarkingHeaderFontProps">
    <vt:lpwstr>#000000,12,Aptos</vt:lpwstr>
  </property>
  <property fmtid="{D5CDD505-2E9C-101B-9397-08002B2CF9AE}" pid="4" name="ClassificationContentMarkingHeaderText">
    <vt:lpwstr>UNCLASSIFIED - NON CLASSIFIÉ</vt:lpwstr>
  </property>
</Properties>
</file>