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1C510" w14:textId="77777777" w:rsidR="006D15F5" w:rsidRDefault="006D15F5" w:rsidP="006D15F5">
      <w:pPr>
        <w:rPr>
          <w:rFonts w:asciiTheme="minorHAnsi" w:hAnsiTheme="minorHAnsi" w:cstheme="minorHAnsi"/>
          <w:lang w:val="en-US"/>
        </w:rPr>
      </w:pPr>
      <w:r w:rsidRPr="00930C24">
        <w:rPr>
          <w:rFonts w:asciiTheme="minorHAnsi" w:hAnsiTheme="minorHAnsi" w:cstheme="minorHAnsi"/>
          <w:lang w:val="en-US"/>
        </w:rPr>
        <w:t xml:space="preserve">To evaluate the robustness of the </w:t>
      </w:r>
      <w:proofErr w:type="spellStart"/>
      <w:r w:rsidRPr="00930C24">
        <w:rPr>
          <w:rFonts w:asciiTheme="minorHAnsi" w:hAnsiTheme="minorHAnsi" w:cstheme="minorHAnsi"/>
          <w:lang w:val="en-US"/>
        </w:rPr>
        <w:t>neighbo</w:t>
      </w:r>
      <w:r>
        <w:rPr>
          <w:rFonts w:asciiTheme="minorHAnsi" w:hAnsiTheme="minorHAnsi" w:cstheme="minorHAnsi"/>
          <w:lang w:val="en-US"/>
        </w:rPr>
        <w:t>u</w:t>
      </w:r>
      <w:r w:rsidRPr="00930C24">
        <w:rPr>
          <w:rFonts w:asciiTheme="minorHAnsi" w:hAnsiTheme="minorHAnsi" w:cstheme="minorHAnsi"/>
          <w:lang w:val="en-US"/>
        </w:rPr>
        <w:t>r</w:t>
      </w:r>
      <w:proofErr w:type="spellEnd"/>
      <w:r w:rsidRPr="00930C24">
        <w:rPr>
          <w:rFonts w:asciiTheme="minorHAnsi" w:hAnsiTheme="minorHAnsi" w:cstheme="minorHAnsi"/>
          <w:lang w:val="en-US"/>
        </w:rPr>
        <w:t>‑year expansion procedure (Section 3.2), we conducted a sensitivity analysis across a full factorial grid of quantile margin</w:t>
      </w:r>
      <w:r w:rsidRPr="007B53FF">
        <w:rPr>
          <w:rFonts w:asciiTheme="minorHAnsi" w:hAnsiTheme="minorHAnsi" w:cstheme="minorHAnsi"/>
          <w:lang w:val="en-US"/>
        </w:rPr>
        <w:t xml:space="preserve"> </w:t>
      </w:r>
      <m:oMath>
        <m:r>
          <w:rPr>
            <w:rFonts w:ascii="Cambria Math" w:hAnsi="Cambria Math" w:cstheme="minorHAnsi"/>
            <w:lang w:val="en-US"/>
          </w:rPr>
          <m:t>m</m:t>
        </m:r>
        <m:r>
          <m:rPr>
            <m:sty m:val="p"/>
          </m:rPr>
          <w:rPr>
            <w:rFonts w:ascii="Cambria Math" w:hAnsi="Cambria Math" w:cstheme="minorHAnsi"/>
            <w:lang w:val="en-US"/>
          </w:rPr>
          <m:t xml:space="preserve"> ∈</m:t>
        </m:r>
        <m:d>
          <m:dPr>
            <m:begChr m:val="{"/>
            <m:endChr m:val="}"/>
            <m:ctrlPr>
              <w:rPr>
                <w:rFonts w:ascii="Cambria Math" w:hAnsi="Cambria Math" w:cstheme="minorHAnsi"/>
                <w:lang w:val="en-US"/>
              </w:rPr>
            </m:ctrlPr>
          </m:dPr>
          <m:e>
            <m:r>
              <m:rPr>
                <m:sty m:val="p"/>
              </m:rPr>
              <w:rPr>
                <w:rFonts w:ascii="Cambria Math" w:hAnsi="Cambria Math" w:cstheme="minorHAnsi"/>
                <w:lang w:val="en-US"/>
              </w:rPr>
              <m:t>0.0, 0.01, 0.02, 0.03</m:t>
            </m:r>
          </m:e>
        </m:d>
      </m:oMath>
      <w:r w:rsidRPr="007B53FF">
        <w:rPr>
          <w:rFonts w:asciiTheme="minorHAnsi" w:hAnsiTheme="minorHAnsi" w:cstheme="minorHAnsi"/>
          <w:lang w:val="en-US"/>
        </w:rPr>
        <w:t xml:space="preserve"> and </w:t>
      </w:r>
      <w:r>
        <w:rPr>
          <w:rFonts w:asciiTheme="minorHAnsi" w:hAnsiTheme="minorHAnsi" w:cstheme="minorHAnsi"/>
          <w:lang w:val="en-US"/>
        </w:rPr>
        <w:t xml:space="preserve">temporal </w:t>
      </w:r>
      <w:r w:rsidRPr="007B53FF">
        <w:rPr>
          <w:rFonts w:asciiTheme="minorHAnsi" w:hAnsiTheme="minorHAnsi" w:cstheme="minorHAnsi"/>
          <w:lang w:val="en-US"/>
        </w:rPr>
        <w:t xml:space="preserve">windows </w:t>
      </w:r>
      <m:oMath>
        <m:r>
          <w:rPr>
            <w:rFonts w:ascii="Cambria Math" w:hAnsi="Cambria Math" w:cstheme="minorHAnsi"/>
            <w:lang w:val="en-US"/>
          </w:rPr>
          <m:t>k</m:t>
        </m:r>
        <m:r>
          <m:rPr>
            <m:sty m:val="p"/>
          </m:rPr>
          <w:rPr>
            <w:rFonts w:ascii="Cambria Math" w:hAnsi="Cambria Math" w:cstheme="minorHAnsi"/>
            <w:lang w:val="en-US"/>
          </w:rPr>
          <m:t xml:space="preserve"> ∈</m:t>
        </m:r>
        <m:d>
          <m:dPr>
            <m:begChr m:val="{"/>
            <m:endChr m:val="}"/>
            <m:ctrlPr>
              <w:rPr>
                <w:rFonts w:ascii="Cambria Math" w:hAnsi="Cambria Math" w:cstheme="minorHAnsi"/>
                <w:lang w:val="en-US"/>
              </w:rPr>
            </m:ctrlPr>
          </m:dPr>
          <m:e>
            <m:r>
              <m:rPr>
                <m:sty m:val="p"/>
              </m:rPr>
              <w:rPr>
                <w:rFonts w:ascii="Cambria Math" w:hAnsi="Cambria Math" w:cstheme="minorHAnsi"/>
                <w:lang w:val="en-US"/>
              </w:rPr>
              <m:t>1, 2, 3, 5</m:t>
            </m:r>
          </m:e>
        </m:d>
      </m:oMath>
      <w:r w:rsidRPr="007B53FF">
        <w:rPr>
          <w:rFonts w:asciiTheme="minorHAnsi" w:hAnsiTheme="minorHAnsi" w:cstheme="minorHAnsi"/>
          <w:lang w:val="en-US"/>
        </w:rPr>
        <w:t xml:space="preserve">. </w:t>
      </w:r>
      <w:r w:rsidRPr="00187851">
        <w:rPr>
          <w:rFonts w:asciiTheme="minorHAnsi" w:hAnsiTheme="minorHAnsi" w:cstheme="minorHAnsi"/>
          <w:lang w:val="en-US"/>
        </w:rPr>
        <w:t xml:space="preserve">For every </w:t>
      </w:r>
      <w:r>
        <w:rPr>
          <w:rFonts w:asciiTheme="minorHAnsi" w:hAnsiTheme="minorHAnsi" w:cstheme="minorHAnsi"/>
          <w:lang w:val="en-US"/>
        </w:rPr>
        <w:t>WU</w:t>
      </w:r>
      <w:r w:rsidRPr="00187851">
        <w:rPr>
          <w:rFonts w:asciiTheme="minorHAnsi" w:hAnsiTheme="minorHAnsi" w:cstheme="minorHAnsi"/>
          <w:lang w:val="en-US"/>
        </w:rPr>
        <w:t xml:space="preserve"> and every parameter combination, we compared the baseline extreme‑year set (defined by the wet or dry GEV quantile threshold) with the expanded set produced under perturbed margins and window sizes.</w:t>
      </w:r>
    </w:p>
    <w:p w14:paraId="4C51A3B2" w14:textId="77777777" w:rsidR="006D15F5" w:rsidRDefault="006D15F5" w:rsidP="006D15F5">
      <w:pPr>
        <w:rPr>
          <w:rFonts w:asciiTheme="minorHAnsi" w:hAnsiTheme="minorHAnsi" w:cstheme="minorHAnsi"/>
          <w:lang w:val="en-US"/>
        </w:rPr>
      </w:pPr>
      <w:r w:rsidRPr="00C136B4">
        <w:rPr>
          <w:rFonts w:asciiTheme="minorHAnsi" w:hAnsiTheme="minorHAnsi" w:cstheme="minorHAnsi"/>
          <w:lang w:val="en-US"/>
        </w:rPr>
        <w:t>Across the entire dataset, the results exhibit near</w:t>
      </w:r>
      <w:r w:rsidRPr="00C136B4">
        <w:rPr>
          <w:rFonts w:asciiTheme="minorHAnsi" w:hAnsiTheme="minorHAnsi" w:cstheme="minorHAnsi"/>
          <w:lang w:val="en-US"/>
        </w:rPr>
        <w:noBreakHyphen/>
        <w:t xml:space="preserve">perfect stability. For all </w:t>
      </w:r>
      <w:r>
        <w:rPr>
          <w:rFonts w:asciiTheme="minorHAnsi" w:hAnsiTheme="minorHAnsi" w:cstheme="minorHAnsi"/>
          <w:lang w:val="en-US"/>
        </w:rPr>
        <w:t>WU</w:t>
      </w:r>
      <w:r w:rsidRPr="00C136B4">
        <w:rPr>
          <w:rFonts w:asciiTheme="minorHAnsi" w:hAnsiTheme="minorHAnsi" w:cstheme="minorHAnsi"/>
          <w:lang w:val="en-US"/>
        </w:rPr>
        <w:t>s and all combinations o</w:t>
      </w:r>
      <w:r>
        <w:rPr>
          <w:rFonts w:asciiTheme="minorHAnsi" w:hAnsiTheme="minorHAnsi" w:cstheme="minorHAnsi"/>
          <w:lang w:val="en-US"/>
        </w:rPr>
        <w:t>f (</w:t>
      </w:r>
      <m:oMath>
        <m:r>
          <w:rPr>
            <w:rFonts w:ascii="Cambria Math" w:hAnsi="Cambria Math" w:cstheme="minorHAnsi"/>
            <w:lang w:val="en-US"/>
          </w:rPr>
          <m:t>m,k)</m:t>
        </m:r>
        <m:r>
          <m:rPr>
            <m:sty m:val="p"/>
          </m:rPr>
          <w:rPr>
            <w:rFonts w:ascii="Cambria Math" w:hAnsi="Cambria Math" w:cstheme="minorHAnsi"/>
            <w:lang w:val="en-US"/>
          </w:rPr>
          <m:t xml:space="preserve"> , </m:t>
        </m:r>
      </m:oMath>
      <w:r>
        <w:rPr>
          <w:rFonts w:asciiTheme="minorHAnsi" w:hAnsiTheme="minorHAnsi" w:cstheme="minorHAnsi"/>
          <w:lang w:val="en-US"/>
        </w:rPr>
        <w:t xml:space="preserve">the metrics: </w:t>
      </w:r>
      <w:r w:rsidRPr="008D7CDF">
        <w:rPr>
          <w:rFonts w:asciiTheme="minorHAnsi" w:hAnsiTheme="minorHAnsi" w:cstheme="minorHAnsi"/>
          <w:lang w:val="en-US"/>
        </w:rPr>
        <w:t>Jaccard similarity to the baseline set,</w:t>
      </w:r>
      <w:r>
        <w:rPr>
          <w:rFonts w:asciiTheme="minorHAnsi" w:hAnsiTheme="minorHAnsi" w:cstheme="minorHAnsi"/>
          <w:lang w:val="en-US"/>
        </w:rPr>
        <w:t xml:space="preserve"> </w:t>
      </w:r>
      <w:r w:rsidRPr="008D7CDF">
        <w:rPr>
          <w:rFonts w:asciiTheme="minorHAnsi" w:hAnsiTheme="minorHAnsi" w:cstheme="minorHAnsi"/>
          <w:lang w:val="en-US"/>
        </w:rPr>
        <w:t>mean run‑length,</w:t>
      </w:r>
      <w:r>
        <w:rPr>
          <w:rFonts w:asciiTheme="minorHAnsi" w:hAnsiTheme="minorHAnsi" w:cstheme="minorHAnsi"/>
          <w:lang w:val="en-US"/>
        </w:rPr>
        <w:t xml:space="preserve"> </w:t>
      </w:r>
      <w:r w:rsidRPr="008D7CDF">
        <w:rPr>
          <w:rFonts w:asciiTheme="minorHAnsi" w:hAnsiTheme="minorHAnsi" w:cstheme="minorHAnsi"/>
          <w:lang w:val="en-US"/>
        </w:rPr>
        <w:t>singleton rate, and</w:t>
      </w:r>
      <w:r>
        <w:rPr>
          <w:rFonts w:asciiTheme="minorHAnsi" w:hAnsiTheme="minorHAnsi" w:cstheme="minorHAnsi"/>
          <w:lang w:val="en-US"/>
        </w:rPr>
        <w:t xml:space="preserve"> </w:t>
      </w:r>
      <w:r w:rsidRPr="008D7CDF">
        <w:rPr>
          <w:rFonts w:asciiTheme="minorHAnsi" w:hAnsiTheme="minorHAnsi" w:cstheme="minorHAnsi"/>
          <w:lang w:val="en-US"/>
        </w:rPr>
        <w:t>wet/dry separation values,</w:t>
      </w:r>
      <w:r>
        <w:rPr>
          <w:rFonts w:asciiTheme="minorHAnsi" w:hAnsiTheme="minorHAnsi" w:cstheme="minorHAnsi"/>
          <w:lang w:val="en-US"/>
        </w:rPr>
        <w:t xml:space="preserve"> remain identical to baseline values (Jaccard = 1.0, </w:t>
      </w:r>
      <w:proofErr w:type="spellStart"/>
      <w:r w:rsidRPr="00323D96">
        <w:rPr>
          <w:rFonts w:asciiTheme="minorHAnsi" w:hAnsiTheme="minorHAnsi" w:cstheme="minorHAnsi"/>
          <w:lang w:val="en-US"/>
        </w:rPr>
        <w:t>Δmean_run</w:t>
      </w:r>
      <w:proofErr w:type="spellEnd"/>
      <w:r w:rsidRPr="00323D96">
        <w:rPr>
          <w:rFonts w:asciiTheme="minorHAnsi" w:hAnsiTheme="minorHAnsi" w:cstheme="minorHAnsi"/>
          <w:lang w:val="en-US"/>
        </w:rPr>
        <w:t xml:space="preserve"> = 0, </w:t>
      </w:r>
      <w:proofErr w:type="spellStart"/>
      <w:r w:rsidRPr="00323D96">
        <w:rPr>
          <w:rFonts w:asciiTheme="minorHAnsi" w:hAnsiTheme="minorHAnsi" w:cstheme="minorHAnsi"/>
          <w:lang w:val="en-US"/>
        </w:rPr>
        <w:t>Δseparation</w:t>
      </w:r>
      <w:proofErr w:type="spellEnd"/>
      <w:r w:rsidRPr="00323D96">
        <w:rPr>
          <w:rFonts w:asciiTheme="minorHAnsi" w:hAnsiTheme="minorHAnsi" w:cstheme="minorHAnsi"/>
          <w:lang w:val="en-US"/>
        </w:rPr>
        <w:t xml:space="preserve"> = 0 in all but a handful of cases). </w:t>
      </w:r>
      <w:r>
        <w:rPr>
          <w:rFonts w:asciiTheme="minorHAnsi" w:hAnsiTheme="minorHAnsi" w:cstheme="minorHAnsi"/>
          <w:lang w:val="en-US"/>
        </w:rPr>
        <w:t xml:space="preserve">This indicates the extreme-year identification process is globally robust, not merely stable for a subset of WUs or parameter ranges. </w:t>
      </w:r>
    </w:p>
    <w:p w14:paraId="7301B5EF" w14:textId="77777777" w:rsidR="006D15F5" w:rsidRDefault="006D15F5" w:rsidP="006D15F5">
      <w:pPr>
        <w:rPr>
          <w:rFonts w:asciiTheme="minorHAnsi" w:hAnsiTheme="minorHAnsi" w:cstheme="minorHAnsi"/>
          <w:lang w:val="en-US"/>
        </w:rPr>
      </w:pPr>
      <w:r>
        <w:rPr>
          <w:rFonts w:asciiTheme="minorHAnsi" w:hAnsiTheme="minorHAnsi" w:cstheme="minorHAnsi"/>
          <w:lang w:val="en-US"/>
        </w:rPr>
        <w:t>A small number of rare outliers show slight deviations – for example, WU 01DS000 under the most aggressive window expansion (</w:t>
      </w:r>
      <m:oMath>
        <m:r>
          <w:rPr>
            <w:rFonts w:ascii="Cambria Math" w:hAnsi="Cambria Math" w:cstheme="minorHAnsi"/>
            <w:lang w:val="en-US"/>
          </w:rPr>
          <m:t>k=5, m=0.03)</m:t>
        </m:r>
      </m:oMath>
      <w:r>
        <w:rPr>
          <w:rFonts w:asciiTheme="minorHAnsi" w:hAnsiTheme="minorHAnsi" w:cstheme="minorHAnsi"/>
          <w:lang w:val="en-US"/>
        </w:rPr>
        <w:t xml:space="preserve"> exhibits a small negative change in the mean run length and a modest decline in Jaccard similarity. These few cases are isolated and do not cluster geographically by major drainage basin. T</w:t>
      </w:r>
      <w:r w:rsidRPr="00186512">
        <w:rPr>
          <w:rFonts w:asciiTheme="minorHAnsi" w:hAnsiTheme="minorHAnsi" w:cstheme="minorHAnsi"/>
          <w:lang w:val="en-US"/>
        </w:rPr>
        <w:t xml:space="preserve">heir </w:t>
      </w:r>
      <w:proofErr w:type="spellStart"/>
      <w:r>
        <w:rPr>
          <w:rFonts w:asciiTheme="minorHAnsi" w:hAnsiTheme="minorHAnsi" w:cstheme="minorHAnsi"/>
          <w:lang w:val="en-US"/>
        </w:rPr>
        <w:t>behaviour</w:t>
      </w:r>
      <w:proofErr w:type="spellEnd"/>
      <w:r w:rsidRPr="00186512">
        <w:rPr>
          <w:rFonts w:asciiTheme="minorHAnsi" w:hAnsiTheme="minorHAnsi" w:cstheme="minorHAnsi"/>
          <w:lang w:val="en-US"/>
        </w:rPr>
        <w:t xml:space="preserve"> appears to reflect idiosyncratic local time series structure (e.g., ties in annual rankings or adjacent years straddling the threshold) rather than systematic parameter sensitivity.</w:t>
      </w:r>
    </w:p>
    <w:p w14:paraId="23AD7C99" w14:textId="77777777" w:rsidR="006D15F5" w:rsidRPr="00C136B4" w:rsidRDefault="006D15F5" w:rsidP="006D15F5">
      <w:pPr>
        <w:rPr>
          <w:rFonts w:asciiTheme="minorHAnsi" w:hAnsiTheme="minorHAnsi" w:cstheme="minorHAnsi"/>
          <w:lang w:val="en-US"/>
        </w:rPr>
      </w:pPr>
      <w:r>
        <w:rPr>
          <w:rFonts w:asciiTheme="minorHAnsi" w:hAnsiTheme="minorHAnsi" w:cstheme="minorHAnsi"/>
          <w:lang w:val="en-US"/>
        </w:rPr>
        <w:t>T</w:t>
      </w:r>
      <w:r w:rsidRPr="00E45C44">
        <w:rPr>
          <w:rFonts w:asciiTheme="minorHAnsi" w:hAnsiTheme="minorHAnsi" w:cstheme="minorHAnsi"/>
          <w:lang w:val="en-US"/>
        </w:rPr>
        <w:t>he cross‑</w:t>
      </w:r>
      <w:r>
        <w:rPr>
          <w:rFonts w:asciiTheme="minorHAnsi" w:hAnsiTheme="minorHAnsi" w:cstheme="minorHAnsi"/>
          <w:lang w:val="en-US"/>
        </w:rPr>
        <w:t>WU</w:t>
      </w:r>
      <w:r w:rsidRPr="00E45C44">
        <w:rPr>
          <w:rFonts w:asciiTheme="minorHAnsi" w:hAnsiTheme="minorHAnsi" w:cstheme="minorHAnsi"/>
          <w:lang w:val="en-US"/>
        </w:rPr>
        <w:t xml:space="preserve"> consistency of extreme‑year selection </w:t>
      </w:r>
      <w:r>
        <w:rPr>
          <w:rFonts w:asciiTheme="minorHAnsi" w:hAnsiTheme="minorHAnsi" w:cstheme="minorHAnsi"/>
          <w:lang w:val="en-US"/>
        </w:rPr>
        <w:t xml:space="preserve">was analyzed </w:t>
      </w:r>
      <w:r w:rsidRPr="00E45C44">
        <w:rPr>
          <w:rFonts w:asciiTheme="minorHAnsi" w:hAnsiTheme="minorHAnsi" w:cstheme="minorHAnsi"/>
          <w:lang w:val="en-US"/>
        </w:rPr>
        <w:t>through the Jaccard similarity index. Across the full domain, wet‑year Jaccard values show moderate consistency</w:t>
      </w:r>
      <w:r>
        <w:rPr>
          <w:rFonts w:asciiTheme="minorHAnsi" w:hAnsiTheme="minorHAnsi" w:cstheme="minorHAnsi"/>
          <w:lang w:val="en-US"/>
        </w:rPr>
        <w:t xml:space="preserve"> </w:t>
      </w:r>
      <m:oMath>
        <m:sSub>
          <m:sSubPr>
            <m:ctrlPr>
              <w:rPr>
                <w:rFonts w:ascii="Cambria Math" w:hAnsi="Cambria Math" w:cstheme="minorHAnsi"/>
                <w:i/>
                <w:lang w:val="en-US"/>
              </w:rPr>
            </m:ctrlPr>
          </m:sSubPr>
          <m:e>
            <m:r>
              <w:rPr>
                <w:rFonts w:ascii="Cambria Math" w:hAnsi="Cambria Math" w:cstheme="minorHAnsi"/>
                <w:lang w:val="en-US"/>
              </w:rPr>
              <m:t>J</m:t>
            </m:r>
          </m:e>
          <m:sub>
            <m:r>
              <w:rPr>
                <w:rFonts w:ascii="Cambria Math" w:hAnsi="Cambria Math" w:cstheme="minorHAnsi"/>
                <w:lang w:val="en-US"/>
              </w:rPr>
              <m:t xml:space="preserve">wet </m:t>
            </m:r>
          </m:sub>
        </m:sSub>
        <m:r>
          <w:rPr>
            <w:rFonts w:ascii="Cambria Math" w:hAnsi="Cambria Math" w:cstheme="minorHAnsi"/>
            <w:lang w:val="en-US"/>
          </w:rPr>
          <m:t>~ 0.26</m:t>
        </m:r>
      </m:oMath>
      <w:r>
        <w:rPr>
          <w:rFonts w:asciiTheme="minorHAnsi" w:hAnsiTheme="minorHAnsi" w:cstheme="minorHAnsi"/>
          <w:lang w:val="en-US"/>
        </w:rPr>
        <w:t xml:space="preserve">, while dry-year similarity is lower, on average, </w:t>
      </w:r>
      <m:oMath>
        <m:sSub>
          <m:sSubPr>
            <m:ctrlPr>
              <w:rPr>
                <w:rFonts w:ascii="Cambria Math" w:hAnsi="Cambria Math" w:cstheme="minorHAnsi"/>
                <w:i/>
                <w:lang w:val="en-US"/>
              </w:rPr>
            </m:ctrlPr>
          </m:sSubPr>
          <m:e>
            <m:r>
              <w:rPr>
                <w:rFonts w:ascii="Cambria Math" w:hAnsi="Cambria Math" w:cstheme="minorHAnsi"/>
                <w:lang w:val="en-US"/>
              </w:rPr>
              <m:t>J</m:t>
            </m:r>
          </m:e>
          <m:sub>
            <m:r>
              <w:rPr>
                <w:rFonts w:ascii="Cambria Math" w:hAnsi="Cambria Math" w:cstheme="minorHAnsi"/>
                <w:lang w:val="en-US"/>
              </w:rPr>
              <m:t xml:space="preserve">dry </m:t>
            </m:r>
          </m:sub>
        </m:sSub>
        <m:r>
          <w:rPr>
            <w:rFonts w:ascii="Cambria Math" w:hAnsi="Cambria Math" w:cstheme="minorHAnsi"/>
            <w:lang w:val="en-US"/>
          </w:rPr>
          <m:t>~ 0.18</m:t>
        </m:r>
      </m:oMath>
      <w:r>
        <w:rPr>
          <w:rFonts w:asciiTheme="minorHAnsi" w:hAnsiTheme="minorHAnsi" w:cstheme="minorHAnsi"/>
          <w:lang w:val="en-US"/>
        </w:rPr>
        <w:t xml:space="preserve">, indicating that drought-extreme years are more spatially localized. </w:t>
      </w:r>
      <w:r w:rsidRPr="00911BC6">
        <w:rPr>
          <w:rFonts w:asciiTheme="minorHAnsi" w:hAnsiTheme="minorHAnsi" w:cstheme="minorHAnsi"/>
          <w:lang w:val="en-US"/>
        </w:rPr>
        <w:t>When aggregated by major drainage basin, patterns of hydrological coherence become apparent. For instance, Basin 04 (Southwestern Hudson Bay) exhibits the highest wet‑year consistency</w:t>
      </w:r>
      <w:r>
        <w:rPr>
          <w:rFonts w:asciiTheme="minorHAnsi" w:hAnsiTheme="minorHAnsi" w:cstheme="minorHAnsi"/>
          <w:lang w:val="en-US"/>
        </w:rPr>
        <w:t xml:space="preserve">, </w:t>
      </w:r>
      <m:oMath>
        <m:sSub>
          <m:sSubPr>
            <m:ctrlPr>
              <w:rPr>
                <w:rFonts w:ascii="Cambria Math" w:hAnsi="Cambria Math" w:cstheme="minorHAnsi"/>
                <w:i/>
                <w:lang w:val="en-US"/>
              </w:rPr>
            </m:ctrlPr>
          </m:sSubPr>
          <m:e>
            <m:r>
              <w:rPr>
                <w:rFonts w:ascii="Cambria Math" w:hAnsi="Cambria Math" w:cstheme="minorHAnsi"/>
                <w:lang w:val="en-US"/>
              </w:rPr>
              <m:t xml:space="preserve"> J</m:t>
            </m:r>
          </m:e>
          <m:sub>
            <m:r>
              <w:rPr>
                <w:rFonts w:ascii="Cambria Math" w:hAnsi="Cambria Math" w:cstheme="minorHAnsi"/>
                <w:lang w:val="en-US"/>
              </w:rPr>
              <m:t xml:space="preserve">wet </m:t>
            </m:r>
          </m:sub>
        </m:sSub>
        <m:r>
          <w:rPr>
            <w:rFonts w:ascii="Cambria Math" w:hAnsi="Cambria Math" w:cstheme="minorHAnsi"/>
            <w:lang w:val="en-US"/>
          </w:rPr>
          <m:t>=0.414</m:t>
        </m:r>
      </m:oMath>
      <w:r>
        <w:rPr>
          <w:rFonts w:asciiTheme="minorHAnsi" w:hAnsiTheme="minorHAnsi" w:cstheme="minorHAnsi"/>
          <w:lang w:val="en-US"/>
        </w:rPr>
        <w:t xml:space="preserve"> </w:t>
      </w:r>
      <w:r w:rsidRPr="00911BC6">
        <w:rPr>
          <w:rFonts w:asciiTheme="minorHAnsi" w:hAnsiTheme="minorHAnsi" w:cstheme="minorHAnsi"/>
          <w:lang w:val="en-US"/>
        </w:rPr>
        <w:t>and relatively high dry‑year similarity</w:t>
      </w:r>
      <w:r>
        <w:rPr>
          <w:rFonts w:asciiTheme="minorHAnsi" w:hAnsiTheme="minorHAnsi" w:cstheme="minorHAnsi"/>
          <w:lang w:val="en-US"/>
        </w:rPr>
        <w:t xml:space="preserve">, </w:t>
      </w:r>
      <w:r w:rsidRPr="00911BC6">
        <w:rPr>
          <w:rFonts w:asciiTheme="minorHAnsi" w:hAnsiTheme="minorHAnsi" w:cstheme="minorHAnsi"/>
          <w:lang w:val="en-US"/>
        </w:rPr>
        <w:t xml:space="preserve"> </w:t>
      </w:r>
      <m:oMath>
        <m:sSub>
          <m:sSubPr>
            <m:ctrlPr>
              <w:rPr>
                <w:rFonts w:ascii="Cambria Math" w:hAnsi="Cambria Math" w:cstheme="minorHAnsi"/>
                <w:i/>
                <w:lang w:val="en-US"/>
              </w:rPr>
            </m:ctrlPr>
          </m:sSubPr>
          <m:e>
            <m:r>
              <w:rPr>
                <w:rFonts w:ascii="Cambria Math" w:hAnsi="Cambria Math" w:cstheme="minorHAnsi"/>
                <w:lang w:val="en-US"/>
              </w:rPr>
              <m:t>J</m:t>
            </m:r>
          </m:e>
          <m:sub>
            <m:r>
              <w:rPr>
                <w:rFonts w:ascii="Cambria Math" w:hAnsi="Cambria Math" w:cstheme="minorHAnsi"/>
                <w:lang w:val="en-US"/>
              </w:rPr>
              <m:t>dry</m:t>
            </m:r>
          </m:sub>
        </m:sSub>
        <m:r>
          <w:rPr>
            <w:rFonts w:ascii="Cambria Math" w:hAnsi="Cambria Math" w:cstheme="minorHAnsi"/>
            <w:lang w:val="en-US"/>
          </w:rPr>
          <m:t>=0.313</m:t>
        </m:r>
      </m:oMath>
      <w:r w:rsidRPr="00911BC6">
        <w:rPr>
          <w:rFonts w:asciiTheme="minorHAnsi" w:hAnsiTheme="minorHAnsi" w:cstheme="minorHAnsi"/>
          <w:lang w:val="en-US"/>
        </w:rPr>
        <w:t xml:space="preserve">, indicating strong basin‑wide climatic synchrony. Similar coherence is observed in the Nelson River drainage. In contrast, the St. Lawrence region shows reasonably consistent wet‑year selection </w:t>
      </w:r>
      <m:oMath>
        <m:sSub>
          <m:sSubPr>
            <m:ctrlPr>
              <w:rPr>
                <w:rFonts w:ascii="Cambria Math" w:hAnsi="Cambria Math" w:cstheme="minorHAnsi"/>
                <w:i/>
                <w:lang w:val="en-US"/>
              </w:rPr>
            </m:ctrlPr>
          </m:sSubPr>
          <m:e>
            <m:r>
              <w:rPr>
                <w:rFonts w:ascii="Cambria Math" w:hAnsi="Cambria Math" w:cstheme="minorHAnsi"/>
                <w:lang w:val="en-US"/>
              </w:rPr>
              <m:t>J</m:t>
            </m:r>
          </m:e>
          <m:sub>
            <m:r>
              <w:rPr>
                <w:rFonts w:ascii="Cambria Math" w:hAnsi="Cambria Math" w:cstheme="minorHAnsi"/>
                <w:lang w:val="en-US"/>
              </w:rPr>
              <m:t xml:space="preserve">wet </m:t>
            </m:r>
          </m:sub>
        </m:sSub>
        <m:r>
          <w:rPr>
            <w:rFonts w:ascii="Cambria Math" w:hAnsi="Cambria Math" w:cstheme="minorHAnsi"/>
            <w:lang w:val="en-US"/>
          </w:rPr>
          <m:t>=0.320</m:t>
        </m:r>
      </m:oMath>
      <w:r w:rsidRPr="00911BC6">
        <w:rPr>
          <w:rFonts w:asciiTheme="minorHAnsi" w:hAnsiTheme="minorHAnsi" w:cstheme="minorHAnsi"/>
          <w:lang w:val="en-US"/>
        </w:rPr>
        <w:t xml:space="preserve"> but very low concordance in dry years </w:t>
      </w:r>
      <m:oMath>
        <m:sSub>
          <m:sSubPr>
            <m:ctrlPr>
              <w:rPr>
                <w:rFonts w:ascii="Cambria Math" w:hAnsi="Cambria Math" w:cstheme="minorHAnsi"/>
                <w:i/>
                <w:lang w:val="en-US"/>
              </w:rPr>
            </m:ctrlPr>
          </m:sSubPr>
          <m:e>
            <m:r>
              <w:rPr>
                <w:rFonts w:ascii="Cambria Math" w:hAnsi="Cambria Math" w:cstheme="minorHAnsi"/>
                <w:lang w:val="en-US"/>
              </w:rPr>
              <m:t>J</m:t>
            </m:r>
          </m:e>
          <m:sub>
            <m:r>
              <w:rPr>
                <w:rFonts w:ascii="Cambria Math" w:hAnsi="Cambria Math" w:cstheme="minorHAnsi"/>
                <w:lang w:val="en-US"/>
              </w:rPr>
              <m:t>dry</m:t>
            </m:r>
          </m:sub>
        </m:sSub>
        <m:r>
          <w:rPr>
            <w:rFonts w:ascii="Cambria Math" w:hAnsi="Cambria Math" w:cstheme="minorHAnsi"/>
            <w:lang w:val="en-US"/>
          </w:rPr>
          <m:t>=0.117</m:t>
        </m:r>
      </m:oMath>
      <w:r w:rsidRPr="00911BC6">
        <w:rPr>
          <w:rFonts w:asciiTheme="minorHAnsi" w:hAnsiTheme="minorHAnsi" w:cstheme="minorHAnsi"/>
          <w:lang w:val="en-US"/>
        </w:rPr>
        <w:t>, pointing to more spatially heterogeneous or localized drought processes in eastern Canada.</w:t>
      </w:r>
    </w:p>
    <w:p w14:paraId="5191CD47" w14:textId="77777777" w:rsidR="006D15F5" w:rsidRPr="003216BD" w:rsidRDefault="006D15F5" w:rsidP="006D15F5">
      <w:pPr>
        <w:rPr>
          <w:rFonts w:asciiTheme="minorHAnsi" w:hAnsiTheme="minorHAnsi" w:cstheme="minorHAnsi"/>
          <w:lang w:val="en-US"/>
        </w:rPr>
      </w:pPr>
      <w:r w:rsidRPr="003216BD">
        <w:rPr>
          <w:rFonts w:asciiTheme="minorHAnsi" w:hAnsiTheme="minorHAnsi" w:cstheme="minorHAnsi"/>
          <w:lang w:val="en-US"/>
        </w:rPr>
        <w:t xml:space="preserve">The near‑zero sensitivity across all </w:t>
      </w:r>
      <w:r>
        <w:rPr>
          <w:rFonts w:asciiTheme="minorHAnsi" w:hAnsiTheme="minorHAnsi" w:cstheme="minorHAnsi"/>
          <w:lang w:val="en-US"/>
        </w:rPr>
        <w:t>WU</w:t>
      </w:r>
      <w:r w:rsidRPr="003216BD">
        <w:rPr>
          <w:rFonts w:asciiTheme="minorHAnsi" w:hAnsiTheme="minorHAnsi" w:cstheme="minorHAnsi"/>
          <w:lang w:val="en-US"/>
        </w:rPr>
        <w:t xml:space="preserve">s demonstrates that the chosen </w:t>
      </w:r>
      <w:proofErr w:type="spellStart"/>
      <w:r>
        <w:rPr>
          <w:rFonts w:asciiTheme="minorHAnsi" w:hAnsiTheme="minorHAnsi" w:cstheme="minorHAnsi"/>
          <w:lang w:val="en-US"/>
        </w:rPr>
        <w:t>neighbour</w:t>
      </w:r>
      <w:proofErr w:type="spellEnd"/>
      <w:r w:rsidRPr="003216BD">
        <w:rPr>
          <w:rFonts w:asciiTheme="minorHAnsi" w:hAnsiTheme="minorHAnsi" w:cstheme="minorHAnsi"/>
          <w:lang w:val="en-US"/>
        </w:rPr>
        <w:t xml:space="preserve">‑year expansion settings do not influence extreme‑year detection, and a single default window size together with small quantile margins yields structurally stable results. The limited growth obtained when expanding </w:t>
      </w:r>
      <w:proofErr w:type="spellStart"/>
      <w:r>
        <w:rPr>
          <w:rFonts w:asciiTheme="minorHAnsi" w:hAnsiTheme="minorHAnsi" w:cstheme="minorHAnsi"/>
          <w:lang w:val="en-US"/>
        </w:rPr>
        <w:t>neighbour</w:t>
      </w:r>
      <w:proofErr w:type="spellEnd"/>
      <w:r w:rsidRPr="003216BD">
        <w:rPr>
          <w:rFonts w:asciiTheme="minorHAnsi" w:hAnsiTheme="minorHAnsi" w:cstheme="minorHAnsi"/>
          <w:lang w:val="en-US"/>
        </w:rPr>
        <w:t xml:space="preserve"> windows further shows that the wet and dry scores are dominated by the underlying hydrological variability—as expressed in the XGBoost‑derived anomaly structure—rather than any artefacts of thresholding or </w:t>
      </w:r>
      <w:proofErr w:type="spellStart"/>
      <w:r>
        <w:rPr>
          <w:rFonts w:asciiTheme="minorHAnsi" w:hAnsiTheme="minorHAnsi" w:cstheme="minorHAnsi"/>
          <w:lang w:val="en-US"/>
        </w:rPr>
        <w:t>neighbour</w:t>
      </w:r>
      <w:r w:rsidRPr="003216BD">
        <w:rPr>
          <w:rFonts w:asciiTheme="minorHAnsi" w:hAnsiTheme="minorHAnsi" w:cstheme="minorHAnsi"/>
          <w:lang w:val="en-US"/>
        </w:rPr>
        <w:t>hood</w:t>
      </w:r>
      <w:proofErr w:type="spellEnd"/>
      <w:r w:rsidRPr="003216BD">
        <w:rPr>
          <w:rFonts w:asciiTheme="minorHAnsi" w:hAnsiTheme="minorHAnsi" w:cstheme="minorHAnsi"/>
          <w:lang w:val="en-US"/>
        </w:rPr>
        <w:t xml:space="preserve"> specification.</w:t>
      </w:r>
    </w:p>
    <w:p w14:paraId="617CF282" w14:textId="77777777" w:rsidR="006D15F5" w:rsidRPr="003216BD" w:rsidRDefault="006D15F5" w:rsidP="006D15F5">
      <w:pPr>
        <w:rPr>
          <w:rFonts w:asciiTheme="minorHAnsi" w:hAnsiTheme="minorHAnsi" w:cstheme="minorHAnsi"/>
          <w:lang w:val="en-US"/>
        </w:rPr>
      </w:pPr>
      <w:r w:rsidRPr="003216BD">
        <w:rPr>
          <w:rFonts w:asciiTheme="minorHAnsi" w:hAnsiTheme="minorHAnsi" w:cstheme="minorHAnsi"/>
          <w:lang w:val="en-US"/>
        </w:rPr>
        <w:t xml:space="preserve">Importantly, the robustness of these metrics across all combinations </w:t>
      </w:r>
      <w:r>
        <w:rPr>
          <w:rFonts w:asciiTheme="minorHAnsi" w:hAnsiTheme="minorHAnsi" w:cstheme="minorHAnsi"/>
          <w:lang w:val="en-US"/>
        </w:rPr>
        <w:t>of (</w:t>
      </w:r>
      <m:oMath>
        <m:r>
          <w:rPr>
            <w:rFonts w:ascii="Cambria Math" w:hAnsi="Cambria Math" w:cstheme="minorHAnsi"/>
            <w:lang w:val="en-US"/>
          </w:rPr>
          <m:t>m,k)</m:t>
        </m:r>
      </m:oMath>
      <w:r w:rsidRPr="003216BD">
        <w:rPr>
          <w:rFonts w:asciiTheme="minorHAnsi" w:hAnsiTheme="minorHAnsi" w:cstheme="minorHAnsi"/>
          <w:lang w:val="en-US"/>
        </w:rPr>
        <w:t xml:space="preserve"> indicates that the identification of extreme years is driven by genuine signal in the time series. In other words, the procedure is not sensitive to minor adjustments in quantile tolerances or temporal adjacency rules, which supports the reproducibility of the method across </w:t>
      </w:r>
      <w:r>
        <w:rPr>
          <w:rFonts w:asciiTheme="minorHAnsi" w:hAnsiTheme="minorHAnsi" w:cstheme="minorHAnsi"/>
          <w:lang w:val="en-US"/>
        </w:rPr>
        <w:t>WU</w:t>
      </w:r>
      <w:r w:rsidRPr="003216BD">
        <w:rPr>
          <w:rFonts w:asciiTheme="minorHAnsi" w:hAnsiTheme="minorHAnsi" w:cstheme="minorHAnsi"/>
          <w:lang w:val="en-US"/>
        </w:rPr>
        <w:t xml:space="preserve">s of varying length, climatic setting, and hydrological </w:t>
      </w:r>
      <w:proofErr w:type="spellStart"/>
      <w:r>
        <w:rPr>
          <w:rFonts w:asciiTheme="minorHAnsi" w:hAnsiTheme="minorHAnsi" w:cstheme="minorHAnsi"/>
          <w:lang w:val="en-US"/>
        </w:rPr>
        <w:t>behaviour</w:t>
      </w:r>
      <w:proofErr w:type="spellEnd"/>
      <w:r w:rsidRPr="003216BD">
        <w:rPr>
          <w:rFonts w:asciiTheme="minorHAnsi" w:hAnsiTheme="minorHAnsi" w:cstheme="minorHAnsi"/>
          <w:lang w:val="en-US"/>
        </w:rPr>
        <w:t xml:space="preserve">. This methodological </w:t>
      </w:r>
      <w:r w:rsidRPr="003216BD">
        <w:rPr>
          <w:rFonts w:asciiTheme="minorHAnsi" w:hAnsiTheme="minorHAnsi" w:cstheme="minorHAnsi"/>
          <w:lang w:val="en-US"/>
        </w:rPr>
        <w:lastRenderedPageBreak/>
        <w:t xml:space="preserve">stability ensures that inter‑basin differences in extreme‑year </w:t>
      </w:r>
      <w:proofErr w:type="spellStart"/>
      <w:r>
        <w:rPr>
          <w:rFonts w:asciiTheme="minorHAnsi" w:hAnsiTheme="minorHAnsi" w:cstheme="minorHAnsi"/>
          <w:lang w:val="en-US"/>
        </w:rPr>
        <w:t>behaviour</w:t>
      </w:r>
      <w:proofErr w:type="spellEnd"/>
      <w:r w:rsidRPr="003216BD">
        <w:rPr>
          <w:rFonts w:asciiTheme="minorHAnsi" w:hAnsiTheme="minorHAnsi" w:cstheme="minorHAnsi"/>
          <w:lang w:val="en-US"/>
        </w:rPr>
        <w:t xml:space="preserve"> arise from physical hydroclimatic contrasts and not from parameter tuning.</w:t>
      </w:r>
    </w:p>
    <w:p w14:paraId="11705DA4" w14:textId="77777777" w:rsidR="006D15F5" w:rsidRPr="003216BD" w:rsidRDefault="006D15F5" w:rsidP="006D15F5">
      <w:pPr>
        <w:rPr>
          <w:rFonts w:asciiTheme="minorHAnsi" w:hAnsiTheme="minorHAnsi" w:cstheme="minorHAnsi"/>
          <w:lang w:val="en-US"/>
        </w:rPr>
      </w:pPr>
      <w:r w:rsidRPr="003216BD">
        <w:rPr>
          <w:rFonts w:asciiTheme="minorHAnsi" w:hAnsiTheme="minorHAnsi" w:cstheme="minorHAnsi"/>
          <w:lang w:val="en-US"/>
        </w:rPr>
        <w:t xml:space="preserve">The small number of isolated outliers—where </w:t>
      </w:r>
      <w:proofErr w:type="spellStart"/>
      <w:r>
        <w:rPr>
          <w:rFonts w:asciiTheme="minorHAnsi" w:hAnsiTheme="minorHAnsi" w:cstheme="minorHAnsi"/>
          <w:lang w:val="en-US"/>
        </w:rPr>
        <w:t>neighbour</w:t>
      </w:r>
      <w:proofErr w:type="spellEnd"/>
      <w:r w:rsidRPr="003216BD">
        <w:rPr>
          <w:rFonts w:asciiTheme="minorHAnsi" w:hAnsiTheme="minorHAnsi" w:cstheme="minorHAnsi"/>
          <w:lang w:val="en-US"/>
        </w:rPr>
        <w:t xml:space="preserve">‑window expansion produces slight deviations—appear unrelated to geography or drainage structure and instead reflect local idiosyncrasies such as ties or tightly clustered extreme values. The absence of spatial clustering in these cases further supports the conclusion that they do not represent systematic </w:t>
      </w:r>
      <w:proofErr w:type="gramStart"/>
      <w:r w:rsidRPr="003216BD">
        <w:rPr>
          <w:rFonts w:asciiTheme="minorHAnsi" w:hAnsiTheme="minorHAnsi" w:cstheme="minorHAnsi"/>
          <w:lang w:val="en-US"/>
        </w:rPr>
        <w:t>instability, but</w:t>
      </w:r>
      <w:proofErr w:type="gramEnd"/>
      <w:r w:rsidRPr="003216BD">
        <w:rPr>
          <w:rFonts w:asciiTheme="minorHAnsi" w:hAnsiTheme="minorHAnsi" w:cstheme="minorHAnsi"/>
          <w:lang w:val="en-US"/>
        </w:rPr>
        <w:t xml:space="preserve"> rather expected stochastic variation in a very small subset of time series.</w:t>
      </w:r>
    </w:p>
    <w:p w14:paraId="1EC50C16" w14:textId="77777777" w:rsidR="006D15F5" w:rsidRPr="003216BD" w:rsidRDefault="006D15F5" w:rsidP="006D15F5">
      <w:pPr>
        <w:rPr>
          <w:rFonts w:asciiTheme="minorHAnsi" w:hAnsiTheme="minorHAnsi" w:cstheme="minorHAnsi"/>
          <w:lang w:val="en-US"/>
        </w:rPr>
      </w:pPr>
      <w:r w:rsidRPr="003216BD">
        <w:rPr>
          <w:rFonts w:asciiTheme="minorHAnsi" w:hAnsiTheme="minorHAnsi" w:cstheme="minorHAnsi"/>
          <w:lang w:val="en-US"/>
        </w:rPr>
        <w:t>Moreover, the contrast in Jaccard similarity between wet and dry extremes provides a physically meaningful interpretation. Wet extremes tend to be associated with large‑scale synoptic patterns, producing higher regional coherence, whereas dry extremes are often more spatially localized and influenced by mesoscale or convective processes. The higher variability in dry‑year similarity, especially in eastern Canada, is therefore consistent with known hydroclimatic dynamics and provides additional evidence that the system is responding to genuine underlying processes rather than methodological artefacts.</w:t>
      </w:r>
    </w:p>
    <w:p w14:paraId="086D619E" w14:textId="77777777" w:rsidR="006D15F5" w:rsidRPr="003216BD" w:rsidRDefault="006D15F5" w:rsidP="006D15F5">
      <w:pPr>
        <w:rPr>
          <w:rFonts w:asciiTheme="minorHAnsi" w:hAnsiTheme="minorHAnsi" w:cstheme="minorHAnsi"/>
          <w:lang w:val="en-US"/>
        </w:rPr>
      </w:pPr>
      <w:r w:rsidRPr="003216BD">
        <w:rPr>
          <w:rFonts w:asciiTheme="minorHAnsi" w:hAnsiTheme="minorHAnsi" w:cstheme="minorHAnsi"/>
          <w:lang w:val="en-US"/>
        </w:rPr>
        <w:t>Overall, the sensitivity analysis supports three key conclusions:</w:t>
      </w:r>
    </w:p>
    <w:p w14:paraId="674691A9" w14:textId="77777777" w:rsidR="006D15F5" w:rsidRPr="00E81121" w:rsidRDefault="006D15F5" w:rsidP="006D15F5">
      <w:pPr>
        <w:pStyle w:val="ListParagraph"/>
        <w:numPr>
          <w:ilvl w:val="0"/>
          <w:numId w:val="1"/>
        </w:numPr>
        <w:rPr>
          <w:rFonts w:asciiTheme="minorHAnsi" w:hAnsiTheme="minorHAnsi" w:cstheme="minorHAnsi"/>
          <w:lang w:val="en-US"/>
        </w:rPr>
      </w:pPr>
      <w:proofErr w:type="gramStart"/>
      <w:r w:rsidRPr="00E81121">
        <w:rPr>
          <w:rFonts w:asciiTheme="minorHAnsi" w:hAnsiTheme="minorHAnsi" w:cstheme="minorHAnsi"/>
          <w:lang w:val="en-US"/>
        </w:rPr>
        <w:t>the</w:t>
      </w:r>
      <w:proofErr w:type="gramEnd"/>
      <w:r w:rsidRPr="00E81121">
        <w:rPr>
          <w:rFonts w:asciiTheme="minorHAnsi" w:hAnsiTheme="minorHAnsi" w:cstheme="minorHAnsi"/>
          <w:lang w:val="en-US"/>
        </w:rPr>
        <w:t xml:space="preserve"> </w:t>
      </w:r>
      <w:proofErr w:type="spellStart"/>
      <w:r>
        <w:rPr>
          <w:rFonts w:asciiTheme="minorHAnsi" w:hAnsiTheme="minorHAnsi" w:cstheme="minorHAnsi"/>
          <w:lang w:val="en-US"/>
        </w:rPr>
        <w:t>neighbour</w:t>
      </w:r>
      <w:proofErr w:type="spellEnd"/>
      <w:r w:rsidRPr="00E81121">
        <w:rPr>
          <w:rFonts w:asciiTheme="minorHAnsi" w:hAnsiTheme="minorHAnsi" w:cstheme="minorHAnsi"/>
          <w:lang w:val="en-US"/>
        </w:rPr>
        <w:t>‑expansion method is robust to parameter choice,</w:t>
      </w:r>
    </w:p>
    <w:p w14:paraId="194EE121" w14:textId="77777777" w:rsidR="006D15F5" w:rsidRPr="00E81121" w:rsidRDefault="006D15F5" w:rsidP="006D15F5">
      <w:pPr>
        <w:pStyle w:val="ListParagraph"/>
        <w:numPr>
          <w:ilvl w:val="0"/>
          <w:numId w:val="1"/>
        </w:numPr>
        <w:rPr>
          <w:rFonts w:asciiTheme="minorHAnsi" w:hAnsiTheme="minorHAnsi" w:cstheme="minorHAnsi"/>
          <w:lang w:val="en-US"/>
        </w:rPr>
      </w:pPr>
      <w:r w:rsidRPr="00E81121">
        <w:rPr>
          <w:rFonts w:asciiTheme="minorHAnsi" w:hAnsiTheme="minorHAnsi" w:cstheme="minorHAnsi"/>
          <w:lang w:val="en-US"/>
        </w:rPr>
        <w:t>the extreme‑year sets are primarily governed by the data‑driven structure of hydrological variability, and</w:t>
      </w:r>
    </w:p>
    <w:p w14:paraId="021F7593" w14:textId="77777777" w:rsidR="006D15F5" w:rsidRDefault="006D15F5" w:rsidP="006D15F5">
      <w:pPr>
        <w:pStyle w:val="ListParagraph"/>
        <w:numPr>
          <w:ilvl w:val="0"/>
          <w:numId w:val="1"/>
        </w:numPr>
        <w:rPr>
          <w:rFonts w:asciiTheme="minorHAnsi" w:hAnsiTheme="minorHAnsi" w:cstheme="minorHAnsi"/>
          <w:lang w:val="en-US"/>
        </w:rPr>
      </w:pPr>
      <w:proofErr w:type="gramStart"/>
      <w:r w:rsidRPr="00E81121">
        <w:rPr>
          <w:rFonts w:asciiTheme="minorHAnsi" w:hAnsiTheme="minorHAnsi" w:cstheme="minorHAnsi"/>
          <w:lang w:val="en-US"/>
        </w:rPr>
        <w:t>the</w:t>
      </w:r>
      <w:proofErr w:type="gramEnd"/>
      <w:r w:rsidRPr="00E81121">
        <w:rPr>
          <w:rFonts w:asciiTheme="minorHAnsi" w:hAnsiTheme="minorHAnsi" w:cstheme="minorHAnsi"/>
          <w:lang w:val="en-US"/>
        </w:rPr>
        <w:t xml:space="preserve"> resulting wet/dry classifications can be interpreted with high confidence across spatial and temporal domains.</w:t>
      </w:r>
    </w:p>
    <w:p w14:paraId="0BEE3FED" w14:textId="77777777" w:rsidR="006D15F5" w:rsidRPr="00E81121" w:rsidRDefault="006D15F5" w:rsidP="006D15F5">
      <w:pPr>
        <w:rPr>
          <w:rFonts w:asciiTheme="minorHAnsi" w:hAnsiTheme="minorHAnsi" w:cstheme="minorHAnsi"/>
          <w:lang w:val="en-US"/>
        </w:rPr>
      </w:pPr>
      <w:r w:rsidRPr="00E81121">
        <w:rPr>
          <w:rFonts w:asciiTheme="minorHAnsi" w:hAnsiTheme="minorHAnsi" w:cstheme="minorHAnsi"/>
          <w:lang w:val="en-US"/>
        </w:rPr>
        <w:t xml:space="preserve">Combined, these findings provide strong justification for the use of fixed </w:t>
      </w:r>
      <w:proofErr w:type="spellStart"/>
      <w:r>
        <w:rPr>
          <w:rFonts w:asciiTheme="minorHAnsi" w:hAnsiTheme="minorHAnsi" w:cstheme="minorHAnsi"/>
          <w:lang w:val="en-US"/>
        </w:rPr>
        <w:t>neighbour</w:t>
      </w:r>
      <w:r w:rsidRPr="00E81121">
        <w:rPr>
          <w:rFonts w:asciiTheme="minorHAnsi" w:hAnsiTheme="minorHAnsi" w:cstheme="minorHAnsi"/>
          <w:lang w:val="en-US"/>
        </w:rPr>
        <w:t>hood</w:t>
      </w:r>
      <w:proofErr w:type="spellEnd"/>
      <w:r w:rsidRPr="00E81121">
        <w:rPr>
          <w:rFonts w:asciiTheme="minorHAnsi" w:hAnsiTheme="minorHAnsi" w:cstheme="minorHAnsi"/>
          <w:lang w:val="en-US"/>
        </w:rPr>
        <w:t xml:space="preserve"> parameters in subsequent analyses and confirm that the observed spatial patterns in wetting and drying </w:t>
      </w:r>
      <w:proofErr w:type="spellStart"/>
      <w:r>
        <w:rPr>
          <w:rFonts w:asciiTheme="minorHAnsi" w:hAnsiTheme="minorHAnsi" w:cstheme="minorHAnsi"/>
          <w:lang w:val="en-US"/>
        </w:rPr>
        <w:t>behaviour</w:t>
      </w:r>
      <w:proofErr w:type="spellEnd"/>
      <w:r w:rsidRPr="00E81121">
        <w:rPr>
          <w:rFonts w:asciiTheme="minorHAnsi" w:hAnsiTheme="minorHAnsi" w:cstheme="minorHAnsi"/>
          <w:lang w:val="en-US"/>
        </w:rPr>
        <w:t xml:space="preserve"> reflect authentic hydroclimatic signals.</w:t>
      </w:r>
    </w:p>
    <w:p w14:paraId="109D9D30" w14:textId="77777777" w:rsidR="004B2A76" w:rsidRPr="006D15F5" w:rsidRDefault="004B2A76">
      <w:pPr>
        <w:rPr>
          <w:lang w:val="en-US"/>
        </w:rPr>
      </w:pPr>
    </w:p>
    <w:sectPr w:rsidR="004B2A76" w:rsidRPr="006D15F5">
      <w:headerReference w:type="even" r:id="rId7"/>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A047" w14:textId="77777777" w:rsidR="002E5F94" w:rsidRDefault="002E5F94" w:rsidP="006D15F5">
      <w:pPr>
        <w:spacing w:line="240" w:lineRule="auto"/>
      </w:pPr>
      <w:r>
        <w:separator/>
      </w:r>
    </w:p>
  </w:endnote>
  <w:endnote w:type="continuationSeparator" w:id="0">
    <w:p w14:paraId="6E053731" w14:textId="77777777" w:rsidR="002E5F94" w:rsidRDefault="002E5F94" w:rsidP="006D15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F3DC" w14:textId="77777777" w:rsidR="002E5F94" w:rsidRDefault="002E5F94" w:rsidP="006D15F5">
      <w:pPr>
        <w:spacing w:line="240" w:lineRule="auto"/>
      </w:pPr>
      <w:r>
        <w:separator/>
      </w:r>
    </w:p>
  </w:footnote>
  <w:footnote w:type="continuationSeparator" w:id="0">
    <w:p w14:paraId="4ED77399" w14:textId="77777777" w:rsidR="002E5F94" w:rsidRDefault="002E5F94" w:rsidP="006D15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FDF1" w14:textId="147DBC1A" w:rsidR="006D15F5" w:rsidRDefault="006D15F5">
    <w:pPr>
      <w:pStyle w:val="Header"/>
    </w:pPr>
    <w:r>
      <w:rPr>
        <w:noProof/>
        <w14:ligatures w14:val="standardContextual"/>
      </w:rPr>
      <mc:AlternateContent>
        <mc:Choice Requires="wps">
          <w:drawing>
            <wp:anchor distT="0" distB="0" distL="0" distR="0" simplePos="0" relativeHeight="251659264" behindDoc="0" locked="0" layoutInCell="1" allowOverlap="1" wp14:anchorId="36A5FC4D" wp14:editId="25AEAD8D">
              <wp:simplePos x="635" y="635"/>
              <wp:positionH relativeFrom="page">
                <wp:align>right</wp:align>
              </wp:positionH>
              <wp:positionV relativeFrom="page">
                <wp:align>top</wp:align>
              </wp:positionV>
              <wp:extent cx="2417445" cy="469265"/>
              <wp:effectExtent l="0" t="0" r="0" b="6985"/>
              <wp:wrapNone/>
              <wp:docPr id="382506195"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45C8D379" w14:textId="4465A27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A5FC4D" id="_x0000_t202" coordsize="21600,21600" o:spt="202" path="m,l,21600r21600,l21600,xe">
              <v:stroke joinstyle="miter"/>
              <v:path gradientshapeok="t" o:connecttype="rect"/>
            </v:shapetype>
            <v:shape id="Text Box 2" o:spid="_x0000_s1026" type="#_x0000_t202" alt="UNCLASSIFIED - NON CLASSIFIÉ" style="position:absolute;left:0;text-align:left;margin-left:139.15pt;margin-top:0;width:190.35pt;height:36.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" filled="f" stroked="f">
              <v:fill o:detectmouseclick="t"/>
              <v:textbox style="mso-fit-shape-to-text:t" inset="0,15pt,20pt,0">
                <w:txbxContent>
                  <w:p w14:paraId="45C8D379" w14:textId="4465A27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F4E0" w14:textId="1ECAAF88" w:rsidR="006D15F5" w:rsidRDefault="006D15F5">
    <w:pPr>
      <w:pStyle w:val="Header"/>
    </w:pPr>
    <w:r>
      <w:rPr>
        <w:noProof/>
        <w14:ligatures w14:val="standardContextual"/>
      </w:rPr>
      <mc:AlternateContent>
        <mc:Choice Requires="wps">
          <w:drawing>
            <wp:anchor distT="0" distB="0" distL="0" distR="0" simplePos="0" relativeHeight="251660288" behindDoc="0" locked="0" layoutInCell="1" allowOverlap="1" wp14:anchorId="60BCC062" wp14:editId="5A6CC76E">
              <wp:simplePos x="914400" y="461176"/>
              <wp:positionH relativeFrom="page">
                <wp:align>right</wp:align>
              </wp:positionH>
              <wp:positionV relativeFrom="page">
                <wp:align>top</wp:align>
              </wp:positionV>
              <wp:extent cx="2417445" cy="469265"/>
              <wp:effectExtent l="0" t="0" r="0" b="6985"/>
              <wp:wrapNone/>
              <wp:docPr id="1676838596" name="Text Box 3"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4AC58552" w14:textId="169865D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BCC062" id="_x0000_t202" coordsize="21600,21600" o:spt="202" path="m,l,21600r21600,l21600,xe">
              <v:stroke joinstyle="miter"/>
              <v:path gradientshapeok="t" o:connecttype="rect"/>
            </v:shapetype>
            <v:shape id="Text Box 3" o:spid="_x0000_s1027" type="#_x0000_t202" alt="UNCLASSIFIED - NON CLASSIFIÉ" style="position:absolute;left:0;text-align:left;margin-left:139.15pt;margin-top:0;width:190.35pt;height:36.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" filled="f" stroked="f">
              <v:fill o:detectmouseclick="t"/>
              <v:textbox style="mso-fit-shape-to-text:t" inset="0,15pt,20pt,0">
                <w:txbxContent>
                  <w:p w14:paraId="4AC58552" w14:textId="169865D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5F286" w14:textId="3250B290" w:rsidR="006D15F5" w:rsidRDefault="006D15F5">
    <w:pPr>
      <w:pStyle w:val="Header"/>
    </w:pPr>
    <w:r>
      <w:rPr>
        <w:noProof/>
        <w14:ligatures w14:val="standardContextual"/>
      </w:rPr>
      <mc:AlternateContent>
        <mc:Choice Requires="wps">
          <w:drawing>
            <wp:anchor distT="0" distB="0" distL="0" distR="0" simplePos="0" relativeHeight="251658240" behindDoc="0" locked="0" layoutInCell="1" allowOverlap="1" wp14:anchorId="5CDF171A" wp14:editId="2DE4ECA2">
              <wp:simplePos x="635" y="635"/>
              <wp:positionH relativeFrom="page">
                <wp:align>right</wp:align>
              </wp:positionH>
              <wp:positionV relativeFrom="page">
                <wp:align>top</wp:align>
              </wp:positionV>
              <wp:extent cx="2417445" cy="469265"/>
              <wp:effectExtent l="0" t="0" r="0" b="6985"/>
              <wp:wrapNone/>
              <wp:docPr id="187840856"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17445" cy="469265"/>
                      </a:xfrm>
                      <a:prstGeom prst="rect">
                        <a:avLst/>
                      </a:prstGeom>
                      <a:noFill/>
                      <a:ln>
                        <a:noFill/>
                      </a:ln>
                    </wps:spPr>
                    <wps:txbx>
                      <w:txbxContent>
                        <w:p w14:paraId="7F5FC998" w14:textId="18C5D03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DF171A" id="_x0000_t202" coordsize="21600,21600" o:spt="202" path="m,l,21600r21600,l21600,xe">
              <v:stroke joinstyle="miter"/>
              <v:path gradientshapeok="t" o:connecttype="rect"/>
            </v:shapetype>
            <v:shape id="Text Box 1" o:spid="_x0000_s1028" type="#_x0000_t202" alt="UNCLASSIFIED - NON CLASSIFIÉ" style="position:absolute;left:0;text-align:left;margin-left:139.15pt;margin-top:0;width:190.35pt;height:36.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" filled="f" stroked="f">
              <v:fill o:detectmouseclick="t"/>
              <v:textbox style="mso-fit-shape-to-text:t" inset="0,15pt,20pt,0">
                <w:txbxContent>
                  <w:p w14:paraId="7F5FC998" w14:textId="18C5D03F" w:rsidR="006D15F5" w:rsidRPr="006D15F5" w:rsidRDefault="006D15F5" w:rsidP="006D15F5">
                    <w:pPr>
                      <w:rPr>
                        <w:rFonts w:ascii="Aptos" w:eastAsia="Aptos" w:hAnsi="Aptos" w:cs="Aptos"/>
                        <w:noProof/>
                        <w:color w:val="000000"/>
                        <w:sz w:val="24"/>
                      </w:rPr>
                    </w:pPr>
                    <w:r w:rsidRPr="006D15F5">
                      <w:rPr>
                        <w:rFonts w:ascii="Aptos" w:eastAsia="Aptos" w:hAnsi="Aptos" w:cs="Aptos"/>
                        <w:noProof/>
                        <w:color w:val="000000"/>
                        <w:sz w:val="24"/>
                      </w:rPr>
                      <w:t>UNCLASSIFIED - NON CLASSIFIÉ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4205"/>
    <w:multiLevelType w:val="hybridMultilevel"/>
    <w:tmpl w:val="EA762D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690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5F5"/>
    <w:rsid w:val="000C6024"/>
    <w:rsid w:val="002526B6"/>
    <w:rsid w:val="002E5F94"/>
    <w:rsid w:val="00473EA3"/>
    <w:rsid w:val="004B2A76"/>
    <w:rsid w:val="006336EC"/>
    <w:rsid w:val="006D15F5"/>
    <w:rsid w:val="00780CE0"/>
    <w:rsid w:val="00810EA7"/>
    <w:rsid w:val="008837DE"/>
    <w:rsid w:val="00BB6225"/>
    <w:rsid w:val="00C44886"/>
    <w:rsid w:val="00DB1FFE"/>
    <w:rsid w:val="00DF0AA0"/>
    <w:rsid w:val="00E63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7083"/>
  <w15:chartTrackingRefBased/>
  <w15:docId w15:val="{992C4822-EC38-4035-A399-D94E44AC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5F5"/>
    <w:pPr>
      <w:spacing w:after="0" w:line="360" w:lineRule="auto"/>
      <w:jc w:val="both"/>
    </w:pPr>
    <w:rPr>
      <w:rFonts w:ascii="Times New Roman" w:eastAsia="Times New Roman" w:hAnsi="Times New Roman" w:cs="Times New Roman"/>
      <w:kern w:val="0"/>
      <w:sz w:val="20"/>
      <w:lang w:val="en-GB" w:eastAsia="de-DE"/>
      <w14:ligatures w14:val="none"/>
    </w:rPr>
  </w:style>
  <w:style w:type="paragraph" w:styleId="Heading1">
    <w:name w:val="heading 1"/>
    <w:basedOn w:val="Normal"/>
    <w:next w:val="Normal"/>
    <w:link w:val="Heading1Char"/>
    <w:uiPriority w:val="9"/>
    <w:qFormat/>
    <w:rsid w:val="006D1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1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15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15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15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15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15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15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15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5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15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15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15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15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15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15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15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15F5"/>
    <w:rPr>
      <w:rFonts w:eastAsiaTheme="majorEastAsia" w:cstheme="majorBidi"/>
      <w:color w:val="272727" w:themeColor="text1" w:themeTint="D8"/>
    </w:rPr>
  </w:style>
  <w:style w:type="paragraph" w:styleId="Title">
    <w:name w:val="Title"/>
    <w:basedOn w:val="Normal"/>
    <w:next w:val="Normal"/>
    <w:link w:val="TitleChar"/>
    <w:uiPriority w:val="10"/>
    <w:qFormat/>
    <w:rsid w:val="006D1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15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15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15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15F5"/>
    <w:pPr>
      <w:spacing w:before="160"/>
      <w:jc w:val="center"/>
    </w:pPr>
    <w:rPr>
      <w:i/>
      <w:iCs/>
      <w:color w:val="404040" w:themeColor="text1" w:themeTint="BF"/>
    </w:rPr>
  </w:style>
  <w:style w:type="character" w:customStyle="1" w:styleId="QuoteChar">
    <w:name w:val="Quote Char"/>
    <w:basedOn w:val="DefaultParagraphFont"/>
    <w:link w:val="Quote"/>
    <w:uiPriority w:val="29"/>
    <w:rsid w:val="006D15F5"/>
    <w:rPr>
      <w:i/>
      <w:iCs/>
      <w:color w:val="404040" w:themeColor="text1" w:themeTint="BF"/>
    </w:rPr>
  </w:style>
  <w:style w:type="paragraph" w:styleId="ListParagraph">
    <w:name w:val="List Paragraph"/>
    <w:basedOn w:val="Normal"/>
    <w:uiPriority w:val="34"/>
    <w:qFormat/>
    <w:rsid w:val="006D15F5"/>
    <w:pPr>
      <w:ind w:left="720"/>
      <w:contextualSpacing/>
    </w:pPr>
  </w:style>
  <w:style w:type="character" w:styleId="IntenseEmphasis">
    <w:name w:val="Intense Emphasis"/>
    <w:basedOn w:val="DefaultParagraphFont"/>
    <w:uiPriority w:val="21"/>
    <w:qFormat/>
    <w:rsid w:val="006D15F5"/>
    <w:rPr>
      <w:i/>
      <w:iCs/>
      <w:color w:val="0F4761" w:themeColor="accent1" w:themeShade="BF"/>
    </w:rPr>
  </w:style>
  <w:style w:type="paragraph" w:styleId="IntenseQuote">
    <w:name w:val="Intense Quote"/>
    <w:basedOn w:val="Normal"/>
    <w:next w:val="Normal"/>
    <w:link w:val="IntenseQuoteChar"/>
    <w:uiPriority w:val="30"/>
    <w:qFormat/>
    <w:rsid w:val="006D1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15F5"/>
    <w:rPr>
      <w:i/>
      <w:iCs/>
      <w:color w:val="0F4761" w:themeColor="accent1" w:themeShade="BF"/>
    </w:rPr>
  </w:style>
  <w:style w:type="character" w:styleId="IntenseReference">
    <w:name w:val="Intense Reference"/>
    <w:basedOn w:val="DefaultParagraphFont"/>
    <w:uiPriority w:val="32"/>
    <w:qFormat/>
    <w:rsid w:val="006D15F5"/>
    <w:rPr>
      <w:b/>
      <w:bCs/>
      <w:smallCaps/>
      <w:color w:val="0F4761" w:themeColor="accent1" w:themeShade="BF"/>
      <w:spacing w:val="5"/>
    </w:rPr>
  </w:style>
  <w:style w:type="paragraph" w:styleId="Header">
    <w:name w:val="header"/>
    <w:basedOn w:val="Normal"/>
    <w:link w:val="HeaderChar"/>
    <w:uiPriority w:val="99"/>
    <w:unhideWhenUsed/>
    <w:rsid w:val="006D15F5"/>
    <w:pPr>
      <w:tabs>
        <w:tab w:val="center" w:pos="4680"/>
        <w:tab w:val="right" w:pos="9360"/>
      </w:tabs>
      <w:spacing w:line="240" w:lineRule="auto"/>
    </w:pPr>
  </w:style>
  <w:style w:type="character" w:customStyle="1" w:styleId="HeaderChar">
    <w:name w:val="Header Char"/>
    <w:basedOn w:val="DefaultParagraphFont"/>
    <w:link w:val="Header"/>
    <w:uiPriority w:val="99"/>
    <w:rsid w:val="006D15F5"/>
    <w:rPr>
      <w:rFonts w:ascii="Times New Roman" w:eastAsia="Times New Roman" w:hAnsi="Times New Roman" w:cs="Times New Roman"/>
      <w:kern w:val="0"/>
      <w:sz w:val="20"/>
      <w:lang w:val="en-GB"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708</Words>
  <Characters>4434</Characters>
  <Application>Microsoft Office Word</Application>
  <DocSecurity>0</DocSecurity>
  <Lines>55</Lines>
  <Paragraphs>13</Paragraphs>
  <ScaleCrop>false</ScaleCrop>
  <Company>NRCan - RNCan</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McGrath, Heather</dc:creator>
  <cp:keywords/>
  <dc:description/>
  <cp:lastModifiedBy>McGrath, Heather</cp:lastModifiedBy>
  <cp:revision>2</cp:revision>
  <dcterms:created xsi:type="dcterms:W3CDTF">2026-01-21T16:18:00Z</dcterms:created>
  <dcterms:modified xsi:type="dcterms:W3CDTF">2026-01-21T16:19:00Z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b323958,16cc94d3,63f286c4</vt:lpwstr>
  </property>
  <property fmtid="{D5CDD505-2E9C-101B-9397-08002B2CF9AE}" pid="3" name="ClassificationContentMarkingHeaderFontProps">
    <vt:lpwstr>#000000,12,Aptos</vt:lpwstr>
  </property>
  <property fmtid="{D5CDD505-2E9C-101B-9397-08002B2CF9AE}" pid="4" name="ClassificationContentMarkingHeaderText">
    <vt:lpwstr>UNCLASSIFIED - NON CLASSIFIÉ</vt:lpwstr>
  </property>
</Properties>
</file>