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C2FD3F" w14:textId="0CF9E419" w:rsidR="00357DF4" w:rsidRPr="008D79A5" w:rsidRDefault="008D79A5" w:rsidP="00E90DB4">
      <w:pPr>
        <w:pStyle w:val="NormalWeb"/>
        <w:shd w:val="clear" w:color="auto" w:fill="FFFFFF" w:themeFill="background1"/>
        <w:spacing w:after="0" w:afterAutospacing="0" w:line="360" w:lineRule="auto"/>
        <w:rPr>
          <w:b/>
          <w:bCs/>
          <w:sz w:val="20"/>
          <w:szCs w:val="20"/>
        </w:rPr>
      </w:pPr>
      <w:r>
        <w:rPr>
          <w:b/>
          <w:bCs/>
          <w:sz w:val="20"/>
          <w:szCs w:val="20"/>
        </w:rPr>
        <w:t>Supplement of</w:t>
      </w:r>
    </w:p>
    <w:p w14:paraId="69DB9B7B" w14:textId="77777777" w:rsidR="00220308" w:rsidRPr="00220308" w:rsidRDefault="00220308" w:rsidP="00123B4A">
      <w:pPr>
        <w:pStyle w:val="MStitle"/>
        <w:spacing w:before="0"/>
        <w:rPr>
          <w:sz w:val="24"/>
        </w:rPr>
      </w:pPr>
      <w:r w:rsidRPr="00220308">
        <w:rPr>
          <w:sz w:val="24"/>
        </w:rPr>
        <w:t>Increasing and Widespread Deposition of Trifluoroacetic Acid from Global Emissions of HFO-1234yf in Mobile-Air Conditioning</w:t>
      </w:r>
    </w:p>
    <w:p w14:paraId="183FBD41" w14:textId="77777777" w:rsidR="004853C0" w:rsidRPr="002A5387" w:rsidRDefault="004853C0" w:rsidP="004853C0">
      <w:pPr>
        <w:pStyle w:val="Authors"/>
        <w:rPr>
          <w:vertAlign w:val="superscript"/>
        </w:rPr>
      </w:pPr>
      <w:r>
        <w:t>Lucy</w:t>
      </w:r>
      <w:r w:rsidRPr="00C26311">
        <w:t xml:space="preserve"> </w:t>
      </w:r>
      <w:r>
        <w:t>Hart</w:t>
      </w:r>
      <w:r w:rsidRPr="00C26311">
        <w:rPr>
          <w:vertAlign w:val="superscript"/>
        </w:rPr>
        <w:t>1</w:t>
      </w:r>
      <w:r w:rsidRPr="00C26311">
        <w:t xml:space="preserve">, </w:t>
      </w:r>
      <w:r>
        <w:t>Ryan</w:t>
      </w:r>
      <w:r w:rsidRPr="00C26311">
        <w:t xml:space="preserve"> </w:t>
      </w:r>
      <w:r>
        <w:t>Hossaini</w:t>
      </w:r>
      <w:r w:rsidRPr="00C26311">
        <w:rPr>
          <w:vertAlign w:val="superscript"/>
        </w:rPr>
        <w:t>1</w:t>
      </w:r>
      <w:r w:rsidRPr="00C26311">
        <w:t xml:space="preserve">, </w:t>
      </w:r>
      <w:r>
        <w:t>Oliver Wild</w:t>
      </w:r>
      <w:r w:rsidRPr="00C26311">
        <w:rPr>
          <w:vertAlign w:val="superscript"/>
        </w:rPr>
        <w:t>1</w:t>
      </w:r>
      <w:r>
        <w:t xml:space="preserve">, </w:t>
      </w:r>
      <w:r w:rsidRPr="00C26311">
        <w:t>C</w:t>
      </w:r>
      <w:r>
        <w:t>rispin</w:t>
      </w:r>
      <w:r w:rsidRPr="00C26311">
        <w:t xml:space="preserve"> </w:t>
      </w:r>
      <w:r>
        <w:t>Halsall</w:t>
      </w:r>
      <w:r w:rsidRPr="00C26311">
        <w:rPr>
          <w:vertAlign w:val="superscript"/>
        </w:rPr>
        <w:t>1</w:t>
      </w:r>
      <w:r>
        <w:t>, Martin K. Vollmer</w:t>
      </w:r>
      <w:r w:rsidRPr="00C26311">
        <w:rPr>
          <w:vertAlign w:val="superscript"/>
        </w:rPr>
        <w:t>2</w:t>
      </w:r>
      <w:r>
        <w:rPr>
          <w:vertAlign w:val="subscript"/>
        </w:rPr>
        <w:t xml:space="preserve">, </w:t>
      </w:r>
      <w:r>
        <w:t>David Sherry</w:t>
      </w:r>
      <w:r>
        <w:rPr>
          <w:vertAlign w:val="superscript"/>
        </w:rPr>
        <w:t>3</w:t>
      </w:r>
    </w:p>
    <w:p w14:paraId="604C1597" w14:textId="77777777" w:rsidR="004853C0" w:rsidRPr="004853C0" w:rsidRDefault="004853C0" w:rsidP="004853C0">
      <w:pPr>
        <w:pStyle w:val="Affiliation"/>
      </w:pPr>
      <w:r w:rsidRPr="004853C0">
        <w:rPr>
          <w:vertAlign w:val="superscript"/>
        </w:rPr>
        <w:t>1</w:t>
      </w:r>
      <w:r w:rsidRPr="004853C0">
        <w:t>Lancaster Environment Centre, Lancaster University, Lancaster, LA1 4YW, UK.</w:t>
      </w:r>
    </w:p>
    <w:p w14:paraId="61E53DC9" w14:textId="77777777" w:rsidR="004853C0" w:rsidRPr="004853C0" w:rsidRDefault="004853C0" w:rsidP="004853C0">
      <w:pPr>
        <w:pStyle w:val="Affiliation"/>
        <w:rPr>
          <w:szCs w:val="20"/>
        </w:rPr>
      </w:pPr>
      <w:r w:rsidRPr="004853C0">
        <w:rPr>
          <w:vertAlign w:val="superscript"/>
        </w:rPr>
        <w:t>2</w:t>
      </w:r>
      <w:r w:rsidRPr="004853C0">
        <w:t xml:space="preserve">Laboratory for Air Pollution/Environmental Technology, </w:t>
      </w:r>
      <w:proofErr w:type="spellStart"/>
      <w:r w:rsidRPr="004853C0">
        <w:t>Empa</w:t>
      </w:r>
      <w:proofErr w:type="spellEnd"/>
      <w:r w:rsidRPr="004853C0">
        <w:t xml:space="preserve">, </w:t>
      </w:r>
      <w:proofErr w:type="spellStart"/>
      <w:r w:rsidRPr="004853C0">
        <w:rPr>
          <w:szCs w:val="20"/>
        </w:rPr>
        <w:t>Dübendorf</w:t>
      </w:r>
      <w:proofErr w:type="spellEnd"/>
      <w:r w:rsidRPr="004853C0">
        <w:rPr>
          <w:szCs w:val="20"/>
        </w:rPr>
        <w:t>, 8600, Switzerland.</w:t>
      </w:r>
    </w:p>
    <w:p w14:paraId="3280327E" w14:textId="77777777" w:rsidR="004853C0" w:rsidRPr="004853C0" w:rsidRDefault="004853C0" w:rsidP="004853C0">
      <w:pPr>
        <w:pStyle w:val="Affiliation"/>
        <w:rPr>
          <w:szCs w:val="20"/>
        </w:rPr>
      </w:pPr>
      <w:r w:rsidRPr="004853C0">
        <w:rPr>
          <w:szCs w:val="20"/>
          <w:vertAlign w:val="superscript"/>
        </w:rPr>
        <w:t>3</w:t>
      </w:r>
      <w:r w:rsidRPr="004853C0">
        <w:rPr>
          <w:szCs w:val="20"/>
        </w:rPr>
        <w:t>Nolan Sherry &amp; Associates (NSA), Surrey, UK.</w:t>
      </w:r>
    </w:p>
    <w:p w14:paraId="7D26D063" w14:textId="1A0268BB" w:rsidR="00220308" w:rsidRDefault="00220308" w:rsidP="00220308">
      <w:pPr>
        <w:pStyle w:val="Correspondence"/>
      </w:pPr>
      <w:r w:rsidRPr="000A1B66">
        <w:rPr>
          <w:i/>
        </w:rPr>
        <w:t>Correspondence to</w:t>
      </w:r>
      <w:r>
        <w:t>: Lucy Hart (</w:t>
      </w:r>
      <w:hyperlink r:id="rId8" w:history="1">
        <w:r w:rsidR="00D66CD2" w:rsidRPr="00E60978">
          <w:rPr>
            <w:rStyle w:val="Hyperlink"/>
          </w:rPr>
          <w:t>l.hart4@lancaster.ac.uk</w:t>
        </w:r>
      </w:hyperlink>
      <w:r>
        <w:t>)</w:t>
      </w:r>
    </w:p>
    <w:p w14:paraId="04C150A0" w14:textId="48D824B5" w:rsidR="008C3CE3" w:rsidRPr="008D79A5" w:rsidRDefault="00192D6C" w:rsidP="004E78E4">
      <w:pPr>
        <w:spacing w:line="240" w:lineRule="auto"/>
        <w:jc w:val="center"/>
        <w:rPr>
          <w:rFonts w:ascii="Times New Roman" w:hAnsi="Times New Roman" w:cs="Times New Roman"/>
          <w:sz w:val="20"/>
          <w:szCs w:val="20"/>
        </w:rPr>
      </w:pPr>
      <w:r>
        <w:rPr>
          <w:rFonts w:ascii="Times New Roman" w:hAnsi="Times New Roman" w:cs="Times New Roman"/>
          <w:noProof/>
          <w:sz w:val="20"/>
          <w:szCs w:val="20"/>
          <w14:ligatures w14:val="standardContextual"/>
        </w:rPr>
        <w:drawing>
          <wp:inline distT="0" distB="0" distL="0" distR="0" wp14:anchorId="2705026E" wp14:editId="49104828">
            <wp:extent cx="5351228" cy="4289994"/>
            <wp:effectExtent l="0" t="0" r="1905" b="0"/>
            <wp:docPr id="622802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802365" name="Picture 622802365"/>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57194" cy="4294777"/>
                    </a:xfrm>
                    <a:prstGeom prst="rect">
                      <a:avLst/>
                    </a:prstGeom>
                  </pic:spPr>
                </pic:pic>
              </a:graphicData>
            </a:graphic>
          </wp:inline>
        </w:drawing>
      </w:r>
    </w:p>
    <w:p w14:paraId="2C19DE9C" w14:textId="4FAE13C5" w:rsidR="00E8788B" w:rsidRPr="00A31074" w:rsidRDefault="00E8788B" w:rsidP="00E8788B">
      <w:pPr>
        <w:spacing w:line="240" w:lineRule="auto"/>
        <w:jc w:val="both"/>
        <w:rPr>
          <w:rFonts w:ascii="Times New Roman" w:hAnsi="Times New Roman" w:cs="Times New Roman"/>
          <w:b/>
          <w:bCs/>
          <w:sz w:val="18"/>
          <w:szCs w:val="18"/>
        </w:rPr>
      </w:pPr>
      <w:r w:rsidRPr="00A31074">
        <w:rPr>
          <w:rFonts w:ascii="Times New Roman" w:hAnsi="Times New Roman" w:cs="Times New Roman"/>
          <w:b/>
          <w:bCs/>
          <w:sz w:val="18"/>
          <w:szCs w:val="18"/>
        </w:rPr>
        <w:t xml:space="preserve">Figure S1. </w:t>
      </w:r>
      <w:r w:rsidR="00D97BE0">
        <w:rPr>
          <w:rFonts w:ascii="Times New Roman" w:hAnsi="Times New Roman" w:cs="Times New Roman"/>
          <w:b/>
          <w:bCs/>
          <w:sz w:val="18"/>
          <w:szCs w:val="18"/>
        </w:rPr>
        <w:t>T</w:t>
      </w:r>
      <w:r w:rsidR="00D97BE0" w:rsidRPr="00D97BE0">
        <w:rPr>
          <w:rFonts w:ascii="Times New Roman" w:hAnsi="Times New Roman" w:cs="Times New Roman"/>
          <w:b/>
          <w:bCs/>
          <w:sz w:val="18"/>
          <w:szCs w:val="18"/>
        </w:rPr>
        <w:t>o explore the sensitivity of the results to the sampling location</w:t>
      </w:r>
      <w:r w:rsidR="00D97BE0">
        <w:rPr>
          <w:rFonts w:ascii="Times New Roman" w:hAnsi="Times New Roman" w:cs="Times New Roman"/>
          <w:b/>
          <w:bCs/>
          <w:sz w:val="18"/>
          <w:szCs w:val="18"/>
        </w:rPr>
        <w:t>, m</w:t>
      </w:r>
      <w:r w:rsidRPr="00A31074">
        <w:rPr>
          <w:rFonts w:ascii="Times New Roman" w:hAnsi="Times New Roman" w:cs="Times New Roman"/>
          <w:b/>
          <w:bCs/>
          <w:sz w:val="18"/>
          <w:szCs w:val="18"/>
        </w:rPr>
        <w:t xml:space="preserve">odelled mole </w:t>
      </w:r>
      <w:r w:rsidRPr="00050224">
        <w:rPr>
          <w:rFonts w:ascii="Times New Roman" w:hAnsi="Times New Roman" w:cs="Times New Roman"/>
          <w:b/>
          <w:bCs/>
          <w:sz w:val="18"/>
          <w:szCs w:val="18"/>
        </w:rPr>
        <w:t>fractions</w:t>
      </w:r>
      <w:r w:rsidRPr="00A31074">
        <w:rPr>
          <w:rFonts w:ascii="Times New Roman" w:hAnsi="Times New Roman" w:cs="Times New Roman"/>
          <w:b/>
          <w:bCs/>
          <w:sz w:val="18"/>
          <w:szCs w:val="18"/>
        </w:rPr>
        <w:t xml:space="preserve"> of HFO-1234yf (ppt) from the modelled middle emissions scenario (red line) </w:t>
      </w:r>
      <w:r w:rsidR="004A680E" w:rsidRPr="00A31074">
        <w:rPr>
          <w:rFonts w:ascii="Times New Roman" w:hAnsi="Times New Roman" w:cs="Times New Roman"/>
          <w:b/>
          <w:bCs/>
          <w:sz w:val="18"/>
          <w:szCs w:val="18"/>
        </w:rPr>
        <w:t>mid ± one standard deviation of a central grid-box and the eight surrounding boxes</w:t>
      </w:r>
      <w:r w:rsidRPr="00A31074">
        <w:rPr>
          <w:rFonts w:ascii="Times New Roman" w:hAnsi="Times New Roman" w:cs="Times New Roman"/>
          <w:b/>
          <w:bCs/>
          <w:sz w:val="18"/>
          <w:szCs w:val="18"/>
        </w:rPr>
        <w:t xml:space="preserve"> (red shading) </w:t>
      </w:r>
      <w:r w:rsidR="00D97BE0">
        <w:rPr>
          <w:rFonts w:ascii="Times New Roman" w:hAnsi="Times New Roman" w:cs="Times New Roman"/>
          <w:b/>
          <w:bCs/>
          <w:sz w:val="18"/>
          <w:szCs w:val="18"/>
        </w:rPr>
        <w:t>are compared to</w:t>
      </w:r>
      <w:r w:rsidRPr="00A31074">
        <w:rPr>
          <w:rFonts w:ascii="Times New Roman" w:hAnsi="Times New Roman" w:cs="Times New Roman"/>
          <w:b/>
          <w:bCs/>
          <w:sz w:val="18"/>
          <w:szCs w:val="18"/>
        </w:rPr>
        <w:t xml:space="preserve"> observed (black) annual mean baseline</w:t>
      </w:r>
      <w:r w:rsidR="00E82255" w:rsidRPr="00A31074">
        <w:rPr>
          <w:rFonts w:ascii="Times New Roman" w:hAnsi="Times New Roman" w:cs="Times New Roman"/>
          <w:b/>
          <w:bCs/>
          <w:sz w:val="18"/>
          <w:szCs w:val="18"/>
        </w:rPr>
        <w:t xml:space="preserve"> (Vollmer et al., 2026).</w:t>
      </w:r>
    </w:p>
    <w:p w14:paraId="41BA9504" w14:textId="777DC695" w:rsidR="001E680B" w:rsidRPr="008D79A5" w:rsidRDefault="001E680B" w:rsidP="001E680B">
      <w:pPr>
        <w:spacing w:line="240" w:lineRule="auto"/>
        <w:jc w:val="both"/>
        <w:rPr>
          <w:rFonts w:ascii="Times New Roman" w:hAnsi="Times New Roman" w:cs="Times New Roman"/>
          <w:sz w:val="20"/>
          <w:szCs w:val="20"/>
        </w:rPr>
      </w:pPr>
    </w:p>
    <w:p w14:paraId="2DF39ABD" w14:textId="300A6DC1" w:rsidR="001E680B" w:rsidRPr="008D79A5" w:rsidRDefault="004719F6" w:rsidP="004E78E4">
      <w:pPr>
        <w:spacing w:line="240" w:lineRule="auto"/>
        <w:jc w:val="center"/>
        <w:rPr>
          <w:rFonts w:ascii="Times New Roman" w:hAnsi="Times New Roman" w:cs="Times New Roman"/>
          <w:sz w:val="20"/>
          <w:szCs w:val="20"/>
        </w:rPr>
      </w:pPr>
      <w:r>
        <w:rPr>
          <w:rFonts w:ascii="Times New Roman" w:hAnsi="Times New Roman" w:cs="Times New Roman"/>
          <w:noProof/>
          <w:sz w:val="20"/>
          <w:szCs w:val="20"/>
          <w14:ligatures w14:val="standardContextual"/>
        </w:rPr>
        <w:lastRenderedPageBreak/>
        <w:drawing>
          <wp:inline distT="0" distB="0" distL="0" distR="0" wp14:anchorId="1B21555D" wp14:editId="2E7272B3">
            <wp:extent cx="5731510" cy="4594860"/>
            <wp:effectExtent l="0" t="0" r="2540" b="0"/>
            <wp:docPr id="2118882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88259" name="Picture 21188825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510" cy="4594860"/>
                    </a:xfrm>
                    <a:prstGeom prst="rect">
                      <a:avLst/>
                    </a:prstGeom>
                  </pic:spPr>
                </pic:pic>
              </a:graphicData>
            </a:graphic>
          </wp:inline>
        </w:drawing>
      </w:r>
    </w:p>
    <w:p w14:paraId="758407CB" w14:textId="44ECFA03" w:rsidR="001E680B" w:rsidRPr="00A31074" w:rsidRDefault="001E680B" w:rsidP="001E680B">
      <w:pPr>
        <w:spacing w:line="240" w:lineRule="auto"/>
        <w:jc w:val="both"/>
        <w:rPr>
          <w:rFonts w:ascii="Times New Roman" w:hAnsi="Times New Roman" w:cs="Times New Roman"/>
          <w:b/>
          <w:bCs/>
          <w:sz w:val="18"/>
          <w:szCs w:val="18"/>
        </w:rPr>
      </w:pPr>
      <w:r w:rsidRPr="00A31074">
        <w:rPr>
          <w:rFonts w:ascii="Times New Roman" w:hAnsi="Times New Roman" w:cs="Times New Roman"/>
          <w:b/>
          <w:bCs/>
          <w:sz w:val="18"/>
          <w:szCs w:val="18"/>
        </w:rPr>
        <w:t>Figure S</w:t>
      </w:r>
      <w:r w:rsidR="00E8788B" w:rsidRPr="00A31074">
        <w:rPr>
          <w:rFonts w:ascii="Times New Roman" w:hAnsi="Times New Roman" w:cs="Times New Roman"/>
          <w:b/>
          <w:bCs/>
          <w:sz w:val="18"/>
          <w:szCs w:val="18"/>
        </w:rPr>
        <w:t>2</w:t>
      </w:r>
      <w:r w:rsidRPr="00A31074">
        <w:rPr>
          <w:rFonts w:ascii="Times New Roman" w:hAnsi="Times New Roman" w:cs="Times New Roman"/>
          <w:b/>
          <w:bCs/>
          <w:sz w:val="18"/>
          <w:szCs w:val="18"/>
        </w:rPr>
        <w:t>. Modelled mole fractions of HFO-1234yf (ppt) from the modelled middle emissions scenario (red line) and low and high bounds (red shading) and observed (black) annual mean baseline</w:t>
      </w:r>
      <w:r w:rsidR="00305540" w:rsidRPr="00A31074">
        <w:rPr>
          <w:rFonts w:ascii="Times New Roman" w:hAnsi="Times New Roman" w:cs="Times New Roman"/>
          <w:b/>
          <w:bCs/>
          <w:sz w:val="18"/>
          <w:szCs w:val="18"/>
        </w:rPr>
        <w:t>, with</w:t>
      </w:r>
      <w:r w:rsidRPr="00A31074">
        <w:rPr>
          <w:rFonts w:ascii="Times New Roman" w:hAnsi="Times New Roman" w:cs="Times New Roman"/>
          <w:b/>
          <w:bCs/>
          <w:sz w:val="18"/>
          <w:szCs w:val="18"/>
        </w:rPr>
        <w:t xml:space="preserve"> </w:t>
      </w:r>
      <w:r w:rsidR="00305540" w:rsidRPr="00A31074">
        <w:rPr>
          <w:rFonts w:ascii="Times New Roman" w:hAnsi="Times New Roman" w:cs="Times New Roman"/>
          <w:b/>
          <w:bCs/>
          <w:sz w:val="18"/>
          <w:szCs w:val="18"/>
        </w:rPr>
        <w:t>observations labelled as</w:t>
      </w:r>
      <w:r w:rsidRPr="00A31074">
        <w:rPr>
          <w:rFonts w:ascii="Times New Roman" w:hAnsi="Times New Roman" w:cs="Times New Roman"/>
          <w:b/>
          <w:bCs/>
          <w:sz w:val="18"/>
          <w:szCs w:val="18"/>
        </w:rPr>
        <w:t xml:space="preserve"> polluted events filtered </w:t>
      </w:r>
      <w:r w:rsidR="00305540" w:rsidRPr="00A31074">
        <w:rPr>
          <w:rFonts w:ascii="Times New Roman" w:hAnsi="Times New Roman" w:cs="Times New Roman"/>
          <w:b/>
          <w:bCs/>
          <w:sz w:val="18"/>
          <w:szCs w:val="18"/>
        </w:rPr>
        <w:t xml:space="preserve">out from the AGAGE data </w:t>
      </w:r>
      <w:r w:rsidR="00433960" w:rsidRPr="00A31074">
        <w:rPr>
          <w:rFonts w:ascii="Times New Roman" w:hAnsi="Times New Roman" w:cs="Times New Roman"/>
          <w:b/>
          <w:bCs/>
          <w:sz w:val="18"/>
          <w:szCs w:val="18"/>
        </w:rPr>
        <w:t>(Vollmer et al., 2026).</w:t>
      </w:r>
    </w:p>
    <w:p w14:paraId="21622B61" w14:textId="50910945" w:rsidR="004B1101" w:rsidRPr="008D79A5" w:rsidRDefault="004B1101" w:rsidP="004B1101">
      <w:pPr>
        <w:spacing w:line="360" w:lineRule="auto"/>
        <w:jc w:val="center"/>
        <w:rPr>
          <w:rFonts w:ascii="Times New Roman" w:hAnsi="Times New Roman" w:cs="Times New Roman"/>
          <w:sz w:val="20"/>
          <w:szCs w:val="20"/>
        </w:rPr>
      </w:pPr>
    </w:p>
    <w:p w14:paraId="4E26F377" w14:textId="243E7CFB" w:rsidR="004B1101" w:rsidRPr="00B1361D" w:rsidRDefault="00C64F52" w:rsidP="004B1101">
      <w:pPr>
        <w:spacing w:line="360" w:lineRule="auto"/>
        <w:rPr>
          <w:rFonts w:ascii="Times New Roman" w:hAnsi="Times New Roman" w:cs="Times New Roman"/>
          <w:b/>
          <w:bCs/>
          <w:sz w:val="18"/>
          <w:szCs w:val="18"/>
        </w:rPr>
      </w:pPr>
      <w:r>
        <w:rPr>
          <w:rFonts w:ascii="Times New Roman" w:hAnsi="Times New Roman" w:cs="Times New Roman"/>
          <w:b/>
          <w:bCs/>
          <w:noProof/>
          <w:sz w:val="18"/>
          <w:szCs w:val="18"/>
          <w14:ligatures w14:val="standardContextual"/>
        </w:rPr>
        <w:lastRenderedPageBreak/>
        <w:drawing>
          <wp:inline distT="0" distB="0" distL="0" distR="0" wp14:anchorId="0C4D637B" wp14:editId="420C9F45">
            <wp:extent cx="5731510" cy="4608195"/>
            <wp:effectExtent l="0" t="0" r="2540" b="1905"/>
            <wp:docPr id="811854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854997" name="Picture 81185499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4608195"/>
                    </a:xfrm>
                    <a:prstGeom prst="rect">
                      <a:avLst/>
                    </a:prstGeom>
                  </pic:spPr>
                </pic:pic>
              </a:graphicData>
            </a:graphic>
          </wp:inline>
        </w:drawing>
      </w:r>
    </w:p>
    <w:p w14:paraId="49A95C4A" w14:textId="3C25E347" w:rsidR="00B1361D" w:rsidRPr="003872BC" w:rsidRDefault="00B1361D" w:rsidP="00B1361D">
      <w:pPr>
        <w:pStyle w:val="Caption"/>
        <w:rPr>
          <w:rFonts w:ascii="Times New Roman" w:hAnsi="Times New Roman" w:cs="Times New Roman"/>
          <w:b/>
          <w:bCs/>
          <w:i w:val="0"/>
          <w:iCs w:val="0"/>
          <w:color w:val="auto"/>
        </w:rPr>
      </w:pPr>
      <w:r w:rsidRPr="003872BC">
        <w:rPr>
          <w:rFonts w:ascii="Times New Roman" w:hAnsi="Times New Roman" w:cs="Times New Roman"/>
          <w:b/>
          <w:bCs/>
          <w:i w:val="0"/>
          <w:iCs w:val="0"/>
          <w:color w:val="auto"/>
        </w:rPr>
        <w:t xml:space="preserve">Figure </w:t>
      </w:r>
      <w:r w:rsidR="00494E8D" w:rsidRPr="003872BC">
        <w:rPr>
          <w:rFonts w:ascii="Times New Roman" w:hAnsi="Times New Roman" w:cs="Times New Roman"/>
          <w:b/>
          <w:bCs/>
          <w:i w:val="0"/>
          <w:iCs w:val="0"/>
          <w:color w:val="auto"/>
        </w:rPr>
        <w:t>S</w:t>
      </w:r>
      <w:r w:rsidRPr="003872BC">
        <w:rPr>
          <w:rFonts w:ascii="Times New Roman" w:hAnsi="Times New Roman" w:cs="Times New Roman"/>
          <w:b/>
          <w:bCs/>
          <w:i w:val="0"/>
          <w:iCs w:val="0"/>
          <w:color w:val="auto"/>
        </w:rPr>
        <w:t xml:space="preserve">3. Modelled annual mean surface mole fractions of HFO-1234yf in ppt from the middle emissions scenario (red line), low and high bounds (red shading), and observed mole fractions (black) at AGAGE measurement stations (Vollmer et al., 2026). Annual mean mole fraction from a sensitivity run with an additional point source of estimated production emissions </w:t>
      </w:r>
      <w:r w:rsidR="002703E1">
        <w:rPr>
          <w:rFonts w:ascii="Times New Roman" w:hAnsi="Times New Roman" w:cs="Times New Roman"/>
          <w:b/>
          <w:bCs/>
          <w:i w:val="0"/>
          <w:iCs w:val="0"/>
          <w:color w:val="auto"/>
        </w:rPr>
        <w:t>in 2024</w:t>
      </w:r>
      <w:r w:rsidRPr="003872BC">
        <w:rPr>
          <w:rFonts w:ascii="Times New Roman" w:hAnsi="Times New Roman" w:cs="Times New Roman"/>
          <w:b/>
          <w:bCs/>
          <w:i w:val="0"/>
          <w:iCs w:val="0"/>
          <w:color w:val="auto"/>
        </w:rPr>
        <w:t xml:space="preserve"> are shown </w:t>
      </w:r>
      <w:r w:rsidR="004E272D">
        <w:rPr>
          <w:rFonts w:ascii="Times New Roman" w:hAnsi="Times New Roman" w:cs="Times New Roman"/>
          <w:b/>
          <w:bCs/>
          <w:i w:val="0"/>
          <w:iCs w:val="0"/>
          <w:color w:val="auto"/>
        </w:rPr>
        <w:t xml:space="preserve">in blue </w:t>
      </w:r>
      <w:r w:rsidRPr="003872BC">
        <w:rPr>
          <w:rFonts w:ascii="Times New Roman" w:hAnsi="Times New Roman" w:cs="Times New Roman"/>
          <w:b/>
          <w:bCs/>
          <w:i w:val="0"/>
          <w:iCs w:val="0"/>
          <w:color w:val="auto"/>
        </w:rPr>
        <w:t>(</w:t>
      </w:r>
      <w:r w:rsidR="004E272D">
        <w:rPr>
          <w:rFonts w:ascii="Times New Roman" w:hAnsi="Times New Roman" w:cs="Times New Roman"/>
          <w:b/>
          <w:bCs/>
          <w:i w:val="0"/>
          <w:iCs w:val="0"/>
          <w:color w:val="auto"/>
        </w:rPr>
        <w:t>Sensitivity 1</w:t>
      </w:r>
      <w:r w:rsidRPr="003872BC">
        <w:rPr>
          <w:rFonts w:ascii="Times New Roman" w:hAnsi="Times New Roman" w:cs="Times New Roman"/>
          <w:b/>
          <w:bCs/>
          <w:i w:val="0"/>
          <w:iCs w:val="0"/>
          <w:color w:val="auto"/>
        </w:rPr>
        <w:t xml:space="preserve">) and a sensitivity with the 12 Gg emission distribution reported by </w:t>
      </w:r>
      <w:r w:rsidRPr="003872BC">
        <w:rPr>
          <w:rFonts w:ascii="Times New Roman" w:hAnsi="Times New Roman" w:cs="Times New Roman"/>
          <w:b/>
          <w:bCs/>
          <w:i w:val="0"/>
          <w:iCs w:val="0"/>
          <w:color w:val="auto"/>
        </w:rPr>
        <w:fldChar w:fldCharType="begin"/>
      </w:r>
      <w:r w:rsidRPr="003872BC">
        <w:rPr>
          <w:rFonts w:ascii="Times New Roman" w:hAnsi="Times New Roman" w:cs="Times New Roman"/>
          <w:b/>
          <w:bCs/>
          <w:i w:val="0"/>
          <w:iCs w:val="0"/>
          <w:color w:val="auto"/>
        </w:rPr>
        <w:instrText xml:space="preserve"> ADDIN EN.CITE &lt;EndNote&gt;&lt;Cite AuthorYear="1"&gt;&lt;Author&gt;Holland&lt;/Author&gt;&lt;Year&gt;2026&lt;/Year&gt;&lt;RecNum&gt;218&lt;/RecNum&gt;&lt;DisplayText&gt;Holland et al. (2026)&lt;/DisplayText&gt;&lt;record&gt;&lt;rec-number&gt;218&lt;/rec-number&gt;&lt;foreign-keys&gt;&lt;key app="EN" db-id="prtxpzvtkaat9ce2fe5xwwped25xefdzxvfp" timestamp="1781688406"&gt;218&lt;/key&gt;&lt;/foreign-keys&gt;&lt;ref-type name="Journal Article"&gt;17&lt;/ref-type&gt;&lt;contributors&gt;&lt;authors&gt;&lt;author&gt;Holland, Rayne&lt;/author&gt;&lt;author&gt;Adam, Ben&lt;/author&gt;&lt;author&gt;H Khan, M. Anwar&lt;/author&gt;&lt;author&gt;Young, Dickon&lt;/author&gt;&lt;author&gt;O’Doherty, Simon&lt;/author&gt;&lt;author&gt;Stanley, Kieran M.&lt;/author&gt;&lt;author&gt;Rigby, Matthew&lt;/author&gt;&lt;author&gt;Shallcross, Dudley E.&lt;/author&gt;&lt;/authors&gt;&lt;/contributors&gt;&lt;titles&gt;&lt;title&gt;TFA Generation and Deposition over Europe May Currently See a Greater Influence from HFO-1234yf than HFC-134a&lt;/title&gt;&lt;secondary-title&gt;Environmental Science &amp;amp; Technology Letters&lt;/secondary-title&gt;&lt;/titles&gt;&lt;periodical&gt;&lt;full-title&gt;Environmental Science &amp;amp; Technology Letters&lt;/full-title&gt;&lt;/periodical&gt;&lt;dates&gt;&lt;year&gt;2026&lt;/year&gt;&lt;pub-dates&gt;&lt;date&gt;2026/06/15&lt;/date&gt;&lt;/pub-dates&gt;&lt;/dates&gt;&lt;publisher&gt;American Chemical Society&lt;/publisher&gt;&lt;urls&gt;&lt;related-urls&gt;&lt;url&gt;https://doi.org/10.1021/acs.estlett.6c00356&lt;/url&gt;&lt;/related-urls&gt;&lt;/urls&gt;&lt;electronic-resource-num&gt;10.1021/acs.estlett.6c00356&lt;/electronic-resource-num&gt;&lt;/record&gt;&lt;/Cite&gt;&lt;/EndNote&gt;</w:instrText>
      </w:r>
      <w:r w:rsidRPr="003872BC">
        <w:rPr>
          <w:rFonts w:ascii="Times New Roman" w:hAnsi="Times New Roman" w:cs="Times New Roman"/>
          <w:b/>
          <w:bCs/>
          <w:i w:val="0"/>
          <w:iCs w:val="0"/>
          <w:color w:val="auto"/>
        </w:rPr>
        <w:fldChar w:fldCharType="separate"/>
      </w:r>
      <w:r w:rsidRPr="003872BC">
        <w:rPr>
          <w:rFonts w:ascii="Times New Roman" w:hAnsi="Times New Roman" w:cs="Times New Roman"/>
          <w:b/>
          <w:bCs/>
          <w:i w:val="0"/>
          <w:iCs w:val="0"/>
          <w:noProof/>
          <w:color w:val="auto"/>
        </w:rPr>
        <w:t>Holland et al. (2026)</w:t>
      </w:r>
      <w:r w:rsidRPr="003872BC">
        <w:rPr>
          <w:rFonts w:ascii="Times New Roman" w:hAnsi="Times New Roman" w:cs="Times New Roman"/>
          <w:b/>
          <w:bCs/>
          <w:i w:val="0"/>
          <w:iCs w:val="0"/>
          <w:color w:val="auto"/>
        </w:rPr>
        <w:fldChar w:fldCharType="end"/>
      </w:r>
      <w:r w:rsidRPr="003872BC">
        <w:rPr>
          <w:rFonts w:ascii="Times New Roman" w:hAnsi="Times New Roman" w:cs="Times New Roman"/>
          <w:b/>
          <w:bCs/>
          <w:i w:val="0"/>
          <w:iCs w:val="0"/>
          <w:color w:val="auto"/>
        </w:rPr>
        <w:t xml:space="preserve"> in purple</w:t>
      </w:r>
      <w:r w:rsidR="004E272D">
        <w:rPr>
          <w:rFonts w:ascii="Times New Roman" w:hAnsi="Times New Roman" w:cs="Times New Roman"/>
          <w:b/>
          <w:bCs/>
          <w:i w:val="0"/>
          <w:iCs w:val="0"/>
          <w:color w:val="auto"/>
        </w:rPr>
        <w:t xml:space="preserve"> (Sensitivity 2)</w:t>
      </w:r>
      <w:r w:rsidRPr="003872BC">
        <w:rPr>
          <w:rFonts w:ascii="Times New Roman" w:hAnsi="Times New Roman" w:cs="Times New Roman"/>
          <w:b/>
          <w:bCs/>
          <w:i w:val="0"/>
          <w:iCs w:val="0"/>
          <w:color w:val="auto"/>
        </w:rPr>
        <w:t xml:space="preserve">. </w:t>
      </w:r>
    </w:p>
    <w:p w14:paraId="571AB856" w14:textId="77777777" w:rsidR="004B1101" w:rsidRPr="008D79A5" w:rsidRDefault="004B1101" w:rsidP="001E680B">
      <w:pPr>
        <w:spacing w:line="240" w:lineRule="auto"/>
        <w:jc w:val="both"/>
        <w:rPr>
          <w:rFonts w:ascii="Times New Roman" w:hAnsi="Times New Roman" w:cs="Times New Roman"/>
          <w:sz w:val="20"/>
          <w:szCs w:val="20"/>
        </w:rPr>
      </w:pPr>
    </w:p>
    <w:p w14:paraId="415F6A9F" w14:textId="2DB68DE6" w:rsidR="00D66EA1" w:rsidRPr="008D79A5" w:rsidRDefault="00D66EA1" w:rsidP="00AA01EA">
      <w:pPr>
        <w:spacing w:line="240" w:lineRule="auto"/>
        <w:jc w:val="center"/>
        <w:rPr>
          <w:rFonts w:ascii="Times New Roman" w:hAnsi="Times New Roman" w:cs="Times New Roman"/>
          <w:sz w:val="20"/>
          <w:szCs w:val="20"/>
        </w:rPr>
      </w:pPr>
    </w:p>
    <w:p w14:paraId="652BED5B" w14:textId="77777777" w:rsidR="001E680B" w:rsidRPr="008D79A5" w:rsidRDefault="001E680B" w:rsidP="001E680B">
      <w:pPr>
        <w:spacing w:line="240" w:lineRule="auto"/>
        <w:rPr>
          <w:rFonts w:ascii="Times New Roman" w:hAnsi="Times New Roman" w:cs="Times New Roman"/>
          <w:b/>
          <w:bCs/>
          <w:iCs/>
          <w:sz w:val="20"/>
          <w:szCs w:val="20"/>
        </w:rPr>
      </w:pPr>
      <w:r w:rsidRPr="008D79A5">
        <w:rPr>
          <w:rFonts w:ascii="Times New Roman" w:hAnsi="Times New Roman" w:cs="Times New Roman"/>
          <w:b/>
          <w:bCs/>
          <w:iCs/>
          <w:noProof/>
          <w:sz w:val="20"/>
          <w:szCs w:val="20"/>
        </w:rPr>
        <w:lastRenderedPageBreak/>
        <w:drawing>
          <wp:inline distT="0" distB="0" distL="0" distR="0" wp14:anchorId="5B7EE1EC" wp14:editId="2DADF746">
            <wp:extent cx="6213461" cy="7506269"/>
            <wp:effectExtent l="0" t="0" r="0" b="0"/>
            <wp:docPr id="21463259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325948" name="Picture 214632594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21068" cy="7515458"/>
                    </a:xfrm>
                    <a:prstGeom prst="rect">
                      <a:avLst/>
                    </a:prstGeom>
                  </pic:spPr>
                </pic:pic>
              </a:graphicData>
            </a:graphic>
          </wp:inline>
        </w:drawing>
      </w:r>
    </w:p>
    <w:p w14:paraId="613DAA93" w14:textId="79753189" w:rsidR="001E680B" w:rsidRPr="00A31074" w:rsidRDefault="001E680B" w:rsidP="001E680B">
      <w:pPr>
        <w:spacing w:line="240" w:lineRule="auto"/>
        <w:jc w:val="both"/>
        <w:rPr>
          <w:rFonts w:ascii="Times New Roman" w:hAnsi="Times New Roman" w:cs="Times New Roman"/>
          <w:b/>
          <w:bCs/>
          <w:sz w:val="18"/>
          <w:szCs w:val="18"/>
        </w:rPr>
      </w:pPr>
      <w:r w:rsidRPr="00A31074">
        <w:rPr>
          <w:rFonts w:ascii="Times New Roman" w:hAnsi="Times New Roman" w:cs="Times New Roman"/>
          <w:b/>
          <w:bCs/>
          <w:sz w:val="18"/>
          <w:szCs w:val="18"/>
        </w:rPr>
        <w:t>Figure S</w:t>
      </w:r>
      <w:r w:rsidR="00494E8D">
        <w:rPr>
          <w:rFonts w:ascii="Times New Roman" w:hAnsi="Times New Roman" w:cs="Times New Roman"/>
          <w:b/>
          <w:bCs/>
          <w:sz w:val="18"/>
          <w:szCs w:val="18"/>
        </w:rPr>
        <w:t>4</w:t>
      </w:r>
      <w:r w:rsidRPr="00A31074">
        <w:rPr>
          <w:rFonts w:ascii="Times New Roman" w:hAnsi="Times New Roman" w:cs="Times New Roman"/>
          <w:b/>
          <w:bCs/>
          <w:sz w:val="18"/>
          <w:szCs w:val="18"/>
        </w:rPr>
        <w:t xml:space="preserve">. Source receptor influence matrices for (a) BASE-MAX, (b) BASE-MIN, (c) BASE-LOWET, (d) BASE-LODRY, and (e) BASE-OH, showing the mass (kg) of TFA deposited in region </w:t>
      </w:r>
      <w:r w:rsidRPr="00A31074">
        <w:rPr>
          <w:rFonts w:ascii="Times New Roman" w:hAnsi="Times New Roman" w:cs="Times New Roman"/>
          <w:b/>
          <w:bCs/>
          <w:i/>
          <w:iCs/>
          <w:sz w:val="18"/>
          <w:szCs w:val="18"/>
        </w:rPr>
        <w:t>j</w:t>
      </w:r>
      <w:r w:rsidRPr="00A31074">
        <w:rPr>
          <w:rFonts w:ascii="Times New Roman" w:hAnsi="Times New Roman" w:cs="Times New Roman"/>
          <w:b/>
          <w:bCs/>
          <w:sz w:val="18"/>
          <w:szCs w:val="18"/>
        </w:rPr>
        <w:t xml:space="preserve"> from HFO-1234yf emissions in region </w:t>
      </w:r>
      <w:proofErr w:type="spellStart"/>
      <w:r w:rsidRPr="00A31074">
        <w:rPr>
          <w:rFonts w:ascii="Times New Roman" w:hAnsi="Times New Roman" w:cs="Times New Roman"/>
          <w:b/>
          <w:bCs/>
          <w:i/>
          <w:iCs/>
          <w:sz w:val="18"/>
          <w:szCs w:val="18"/>
        </w:rPr>
        <w:t>i</w:t>
      </w:r>
      <w:proofErr w:type="spellEnd"/>
      <w:r w:rsidRPr="00A31074">
        <w:rPr>
          <w:rFonts w:ascii="Times New Roman" w:hAnsi="Times New Roman" w:cs="Times New Roman"/>
          <w:b/>
          <w:bCs/>
          <w:sz w:val="18"/>
          <w:szCs w:val="18"/>
        </w:rPr>
        <w:t>.</w:t>
      </w:r>
    </w:p>
    <w:p w14:paraId="15C5C689" w14:textId="77777777" w:rsidR="001E680B" w:rsidRPr="008D79A5" w:rsidRDefault="001E680B" w:rsidP="001E680B">
      <w:pPr>
        <w:spacing w:line="240" w:lineRule="auto"/>
        <w:rPr>
          <w:rFonts w:ascii="Times New Roman" w:hAnsi="Times New Roman" w:cs="Times New Roman"/>
          <w:sz w:val="20"/>
          <w:szCs w:val="20"/>
        </w:rPr>
      </w:pPr>
      <w:r w:rsidRPr="008D79A5">
        <w:rPr>
          <w:rFonts w:ascii="Times New Roman" w:hAnsi="Times New Roman" w:cs="Times New Roman"/>
          <w:noProof/>
          <w:sz w:val="20"/>
          <w:szCs w:val="20"/>
        </w:rPr>
        <w:lastRenderedPageBreak/>
        <w:drawing>
          <wp:inline distT="0" distB="0" distL="0" distR="0" wp14:anchorId="05F3F86C" wp14:editId="2276F7E1">
            <wp:extent cx="5730407" cy="1783533"/>
            <wp:effectExtent l="0" t="0" r="3810" b="7620"/>
            <wp:docPr id="20558997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899710" name="Picture 2055899710"/>
                    <pic:cNvPicPr/>
                  </pic:nvPicPr>
                  <pic:blipFill rotWithShape="1">
                    <a:blip r:embed="rId13" cstate="print">
                      <a:extLst>
                        <a:ext uri="{28A0092B-C50C-407E-A947-70E740481C1C}">
                          <a14:useLocalDpi xmlns:a14="http://schemas.microsoft.com/office/drawing/2010/main" val="0"/>
                        </a:ext>
                      </a:extLst>
                    </a:blip>
                    <a:srcRect t="8845" b="8163"/>
                    <a:stretch>
                      <a:fillRect/>
                    </a:stretch>
                  </pic:blipFill>
                  <pic:spPr bwMode="auto">
                    <a:xfrm>
                      <a:off x="0" y="0"/>
                      <a:ext cx="5731510" cy="1783876"/>
                    </a:xfrm>
                    <a:prstGeom prst="rect">
                      <a:avLst/>
                    </a:prstGeom>
                    <a:ln>
                      <a:noFill/>
                    </a:ln>
                    <a:extLst>
                      <a:ext uri="{53640926-AAD7-44D8-BBD7-CCE9431645EC}">
                        <a14:shadowObscured xmlns:a14="http://schemas.microsoft.com/office/drawing/2010/main"/>
                      </a:ext>
                    </a:extLst>
                  </pic:spPr>
                </pic:pic>
              </a:graphicData>
            </a:graphic>
          </wp:inline>
        </w:drawing>
      </w:r>
    </w:p>
    <w:p w14:paraId="6F683BEC" w14:textId="09B4D9CB" w:rsidR="001E680B" w:rsidRPr="00A31074" w:rsidRDefault="001E680B" w:rsidP="001E680B">
      <w:pPr>
        <w:spacing w:line="240" w:lineRule="auto"/>
        <w:jc w:val="both"/>
        <w:rPr>
          <w:rFonts w:ascii="Times New Roman" w:hAnsi="Times New Roman" w:cs="Times New Roman"/>
          <w:b/>
          <w:bCs/>
          <w:color w:val="000000"/>
          <w:sz w:val="18"/>
          <w:szCs w:val="18"/>
          <w:shd w:val="clear" w:color="auto" w:fill="FFFFFF"/>
        </w:rPr>
      </w:pPr>
      <w:r w:rsidRPr="00A31074">
        <w:rPr>
          <w:rFonts w:ascii="Times New Roman" w:hAnsi="Times New Roman" w:cs="Times New Roman"/>
          <w:b/>
          <w:bCs/>
          <w:iCs/>
          <w:sz w:val="18"/>
          <w:szCs w:val="18"/>
        </w:rPr>
        <w:t>Figure S</w:t>
      </w:r>
      <w:r w:rsidR="00494E8D">
        <w:rPr>
          <w:rFonts w:ascii="Times New Roman" w:hAnsi="Times New Roman" w:cs="Times New Roman"/>
          <w:b/>
          <w:bCs/>
          <w:iCs/>
          <w:sz w:val="18"/>
          <w:szCs w:val="18"/>
        </w:rPr>
        <w:t>5</w:t>
      </w:r>
      <w:r w:rsidRPr="00A31074">
        <w:rPr>
          <w:rFonts w:ascii="Times New Roman" w:hAnsi="Times New Roman" w:cs="Times New Roman"/>
          <w:b/>
          <w:bCs/>
          <w:iCs/>
          <w:noProof/>
          <w:sz w:val="18"/>
          <w:szCs w:val="18"/>
        </w:rPr>
        <w:t>.</w:t>
      </w:r>
      <w:r w:rsidRPr="00A31074">
        <w:rPr>
          <w:rFonts w:ascii="Times New Roman" w:hAnsi="Times New Roman" w:cs="Times New Roman"/>
          <w:b/>
          <w:bCs/>
          <w:iCs/>
          <w:sz w:val="18"/>
          <w:szCs w:val="18"/>
        </w:rPr>
        <w:t xml:space="preserve"> </w:t>
      </w:r>
      <w:r w:rsidRPr="00A31074" w:rsidDel="00DD333B">
        <w:rPr>
          <w:rFonts w:ascii="Times New Roman" w:hAnsi="Times New Roman" w:cs="Times New Roman"/>
          <w:b/>
          <w:bCs/>
          <w:color w:val="000000"/>
          <w:sz w:val="18"/>
          <w:szCs w:val="18"/>
          <w:shd w:val="clear" w:color="auto" w:fill="FFFFFF"/>
        </w:rPr>
        <w:t xml:space="preserve">Comparison of the change in </w:t>
      </w:r>
      <w:r w:rsidRPr="00A31074">
        <w:rPr>
          <w:rFonts w:ascii="Times New Roman" w:hAnsi="Times New Roman" w:cs="Times New Roman"/>
          <w:b/>
          <w:bCs/>
          <w:color w:val="000000"/>
          <w:sz w:val="18"/>
          <w:szCs w:val="18"/>
          <w:shd w:val="clear" w:color="auto" w:fill="FFFFFF"/>
        </w:rPr>
        <w:t xml:space="preserve">surface OH mixing ratios </w:t>
      </w:r>
      <w:r w:rsidRPr="00A31074" w:rsidDel="00DD333B">
        <w:rPr>
          <w:rFonts w:ascii="Times New Roman" w:hAnsi="Times New Roman" w:cs="Times New Roman"/>
          <w:b/>
          <w:bCs/>
          <w:color w:val="000000"/>
          <w:sz w:val="18"/>
          <w:szCs w:val="18"/>
          <w:shd w:val="clear" w:color="auto" w:fill="FFFFFF"/>
        </w:rPr>
        <w:t>between runs BASE</w:t>
      </w:r>
      <w:r w:rsidRPr="00A31074">
        <w:rPr>
          <w:rFonts w:ascii="Times New Roman" w:hAnsi="Times New Roman" w:cs="Times New Roman"/>
          <w:b/>
          <w:bCs/>
          <w:color w:val="000000"/>
          <w:sz w:val="18"/>
          <w:szCs w:val="18"/>
          <w:shd w:val="clear" w:color="auto" w:fill="FFFFFF"/>
        </w:rPr>
        <w:t xml:space="preserve"> </w:t>
      </w:r>
      <w:r w:rsidRPr="00A31074" w:rsidDel="00DD333B">
        <w:rPr>
          <w:rFonts w:ascii="Times New Roman" w:hAnsi="Times New Roman" w:cs="Times New Roman"/>
          <w:b/>
          <w:bCs/>
          <w:color w:val="000000"/>
          <w:sz w:val="18"/>
          <w:szCs w:val="18"/>
          <w:shd w:val="clear" w:color="auto" w:fill="FFFFFF"/>
        </w:rPr>
        <w:t>and BASE-</w:t>
      </w:r>
      <w:r w:rsidRPr="00A31074">
        <w:rPr>
          <w:rFonts w:ascii="Times New Roman" w:hAnsi="Times New Roman" w:cs="Times New Roman"/>
          <w:b/>
          <w:bCs/>
          <w:color w:val="000000"/>
          <w:sz w:val="18"/>
          <w:szCs w:val="18"/>
          <w:shd w:val="clear" w:color="auto" w:fill="FFFFFF"/>
        </w:rPr>
        <w:t>OH</w:t>
      </w:r>
      <w:r w:rsidRPr="00A31074" w:rsidDel="00DD333B">
        <w:rPr>
          <w:rFonts w:ascii="Times New Roman" w:hAnsi="Times New Roman" w:cs="Times New Roman"/>
          <w:b/>
          <w:bCs/>
          <w:color w:val="000000"/>
          <w:sz w:val="18"/>
          <w:szCs w:val="18"/>
          <w:shd w:val="clear" w:color="auto" w:fill="FFFFFF"/>
        </w:rPr>
        <w:t xml:space="preserve">, showing (a) the absolute difference in </w:t>
      </w:r>
      <w:r w:rsidRPr="00A31074">
        <w:rPr>
          <w:rFonts w:ascii="Times New Roman" w:hAnsi="Times New Roman" w:cs="Times New Roman"/>
          <w:b/>
          <w:bCs/>
          <w:color w:val="000000"/>
          <w:sz w:val="18"/>
          <w:szCs w:val="18"/>
          <w:shd w:val="clear" w:color="auto" w:fill="FFFFFF"/>
        </w:rPr>
        <w:t>surface mixing ratio</w:t>
      </w:r>
      <w:r w:rsidRPr="00A31074" w:rsidDel="00DD333B">
        <w:rPr>
          <w:rFonts w:ascii="Times New Roman" w:hAnsi="Times New Roman" w:cs="Times New Roman"/>
          <w:b/>
          <w:bCs/>
          <w:color w:val="000000"/>
          <w:sz w:val="18"/>
          <w:szCs w:val="18"/>
          <w:shd w:val="clear" w:color="auto" w:fill="FFFFFF"/>
        </w:rPr>
        <w:t xml:space="preserve"> (</w:t>
      </w:r>
      <w:r w:rsidRPr="00A31074">
        <w:rPr>
          <w:rFonts w:ascii="Times New Roman" w:hAnsi="Times New Roman" w:cs="Times New Roman"/>
          <w:b/>
          <w:bCs/>
          <w:color w:val="000000"/>
          <w:sz w:val="18"/>
          <w:szCs w:val="18"/>
          <w:shd w:val="clear" w:color="auto" w:fill="FFFFFF"/>
        </w:rPr>
        <w:t>ppt</w:t>
      </w:r>
      <w:r w:rsidRPr="00A31074" w:rsidDel="00DD333B">
        <w:rPr>
          <w:rFonts w:ascii="Times New Roman" w:hAnsi="Times New Roman" w:cs="Times New Roman"/>
          <w:b/>
          <w:bCs/>
          <w:color w:val="000000"/>
          <w:sz w:val="18"/>
          <w:szCs w:val="18"/>
          <w:shd w:val="clear" w:color="auto" w:fill="FFFFFF"/>
        </w:rPr>
        <w:t>), and (b) the percentage difference relative to BASE</w:t>
      </w:r>
      <w:r w:rsidRPr="00A31074">
        <w:rPr>
          <w:rFonts w:ascii="Times New Roman" w:hAnsi="Times New Roman" w:cs="Times New Roman"/>
          <w:b/>
          <w:bCs/>
          <w:color w:val="000000"/>
          <w:sz w:val="18"/>
          <w:szCs w:val="18"/>
          <w:shd w:val="clear" w:color="auto" w:fill="FFFFFF"/>
        </w:rPr>
        <w:t xml:space="preserve"> </w:t>
      </w:r>
      <w:r w:rsidRPr="00A31074" w:rsidDel="00DD333B">
        <w:rPr>
          <w:rFonts w:ascii="Times New Roman" w:hAnsi="Times New Roman" w:cs="Times New Roman"/>
          <w:b/>
          <w:bCs/>
          <w:color w:val="000000"/>
          <w:sz w:val="18"/>
          <w:szCs w:val="18"/>
          <w:shd w:val="clear" w:color="auto" w:fill="FFFFFF"/>
        </w:rPr>
        <w:t xml:space="preserve">(%). Positive values (red) show regions where </w:t>
      </w:r>
      <w:r w:rsidRPr="00A31074">
        <w:rPr>
          <w:rFonts w:ascii="Times New Roman" w:hAnsi="Times New Roman" w:cs="Times New Roman"/>
          <w:b/>
          <w:bCs/>
          <w:color w:val="000000"/>
          <w:sz w:val="18"/>
          <w:szCs w:val="18"/>
          <w:shd w:val="clear" w:color="auto" w:fill="FFFFFF"/>
        </w:rPr>
        <w:t xml:space="preserve">mixing ratio </w:t>
      </w:r>
      <w:r w:rsidRPr="00A31074" w:rsidDel="00DD333B">
        <w:rPr>
          <w:rFonts w:ascii="Times New Roman" w:hAnsi="Times New Roman" w:cs="Times New Roman"/>
          <w:b/>
          <w:bCs/>
          <w:color w:val="000000"/>
          <w:sz w:val="18"/>
          <w:szCs w:val="18"/>
          <w:shd w:val="clear" w:color="auto" w:fill="FFFFFF"/>
        </w:rPr>
        <w:t xml:space="preserve">was </w:t>
      </w:r>
      <w:r w:rsidRPr="00A31074">
        <w:rPr>
          <w:rFonts w:ascii="Times New Roman" w:hAnsi="Times New Roman" w:cs="Times New Roman"/>
          <w:b/>
          <w:bCs/>
          <w:color w:val="000000"/>
          <w:sz w:val="18"/>
          <w:szCs w:val="18"/>
          <w:shd w:val="clear" w:color="auto" w:fill="FFFFFF"/>
        </w:rPr>
        <w:t>lower</w:t>
      </w:r>
      <w:r w:rsidRPr="00A31074" w:rsidDel="00DD333B">
        <w:rPr>
          <w:rFonts w:ascii="Times New Roman" w:hAnsi="Times New Roman" w:cs="Times New Roman"/>
          <w:b/>
          <w:bCs/>
          <w:color w:val="000000"/>
          <w:sz w:val="18"/>
          <w:szCs w:val="18"/>
          <w:shd w:val="clear" w:color="auto" w:fill="FFFFFF"/>
        </w:rPr>
        <w:t xml:space="preserve"> in BASE-</w:t>
      </w:r>
      <w:r w:rsidRPr="00A31074">
        <w:rPr>
          <w:rFonts w:ascii="Times New Roman" w:hAnsi="Times New Roman" w:cs="Times New Roman"/>
          <w:b/>
          <w:bCs/>
          <w:color w:val="000000"/>
          <w:sz w:val="18"/>
          <w:szCs w:val="18"/>
          <w:shd w:val="clear" w:color="auto" w:fill="FFFFFF"/>
        </w:rPr>
        <w:t>OH</w:t>
      </w:r>
      <w:r w:rsidRPr="00A31074" w:rsidDel="00DD333B">
        <w:rPr>
          <w:rFonts w:ascii="Times New Roman" w:hAnsi="Times New Roman" w:cs="Times New Roman"/>
          <w:b/>
          <w:bCs/>
          <w:color w:val="000000"/>
          <w:sz w:val="18"/>
          <w:szCs w:val="18"/>
          <w:shd w:val="clear" w:color="auto" w:fill="FFFFFF"/>
        </w:rPr>
        <w:t xml:space="preserve"> than BAS</w:t>
      </w:r>
      <w:r w:rsidRPr="00A31074">
        <w:rPr>
          <w:rFonts w:ascii="Times New Roman" w:hAnsi="Times New Roman" w:cs="Times New Roman"/>
          <w:b/>
          <w:bCs/>
          <w:color w:val="000000"/>
          <w:sz w:val="18"/>
          <w:szCs w:val="18"/>
          <w:shd w:val="clear" w:color="auto" w:fill="FFFFFF"/>
        </w:rPr>
        <w:t>E</w:t>
      </w:r>
      <w:r w:rsidRPr="00A31074" w:rsidDel="00DD333B">
        <w:rPr>
          <w:rFonts w:ascii="Times New Roman" w:hAnsi="Times New Roman" w:cs="Times New Roman"/>
          <w:b/>
          <w:bCs/>
          <w:color w:val="000000"/>
          <w:sz w:val="18"/>
          <w:szCs w:val="18"/>
          <w:shd w:val="clear" w:color="auto" w:fill="FFFFFF"/>
        </w:rPr>
        <w:t>, and regions where deposition was</w:t>
      </w:r>
      <w:r w:rsidRPr="00A31074">
        <w:rPr>
          <w:rFonts w:ascii="Times New Roman" w:hAnsi="Times New Roman" w:cs="Times New Roman"/>
          <w:b/>
          <w:bCs/>
          <w:color w:val="000000"/>
          <w:sz w:val="18"/>
          <w:szCs w:val="18"/>
          <w:shd w:val="clear" w:color="auto" w:fill="FFFFFF"/>
        </w:rPr>
        <w:t xml:space="preserve"> high</w:t>
      </w:r>
      <w:r w:rsidRPr="00A31074" w:rsidDel="00DD333B">
        <w:rPr>
          <w:rFonts w:ascii="Times New Roman" w:hAnsi="Times New Roman" w:cs="Times New Roman"/>
          <w:b/>
          <w:bCs/>
          <w:color w:val="000000"/>
          <w:sz w:val="18"/>
          <w:szCs w:val="18"/>
          <w:shd w:val="clear" w:color="auto" w:fill="FFFFFF"/>
        </w:rPr>
        <w:t>er in BAS</w:t>
      </w:r>
      <w:r w:rsidRPr="00A31074">
        <w:rPr>
          <w:rFonts w:ascii="Times New Roman" w:hAnsi="Times New Roman" w:cs="Times New Roman"/>
          <w:b/>
          <w:bCs/>
          <w:color w:val="000000"/>
          <w:sz w:val="18"/>
          <w:szCs w:val="18"/>
          <w:shd w:val="clear" w:color="auto" w:fill="FFFFFF"/>
        </w:rPr>
        <w:t>E-OH</w:t>
      </w:r>
      <w:r w:rsidRPr="00A31074" w:rsidDel="00DD333B">
        <w:rPr>
          <w:rFonts w:ascii="Times New Roman" w:hAnsi="Times New Roman" w:cs="Times New Roman"/>
          <w:b/>
          <w:bCs/>
          <w:color w:val="000000"/>
          <w:sz w:val="18"/>
          <w:szCs w:val="18"/>
          <w:shd w:val="clear" w:color="auto" w:fill="FFFFFF"/>
        </w:rPr>
        <w:t xml:space="preserve"> are shown in blue.</w:t>
      </w:r>
    </w:p>
    <w:p w14:paraId="42643655" w14:textId="77777777" w:rsidR="004E272D" w:rsidRDefault="00797641" w:rsidP="004E272D">
      <w:pPr>
        <w:pStyle w:val="NormalWeb"/>
        <w:shd w:val="clear" w:color="auto" w:fill="FFFFFF"/>
        <w:spacing w:after="240" w:afterAutospacing="0" w:line="360" w:lineRule="auto"/>
        <w:jc w:val="both"/>
        <w:rPr>
          <w:b/>
          <w:sz w:val="18"/>
          <w:szCs w:val="18"/>
        </w:rPr>
      </w:pPr>
      <w:r w:rsidRPr="008D79A5">
        <w:rPr>
          <w:bCs/>
          <w:noProof/>
          <w:sz w:val="20"/>
          <w:szCs w:val="20"/>
        </w:rPr>
        <w:drawing>
          <wp:inline distT="0" distB="0" distL="0" distR="0" wp14:anchorId="5BDDE88E" wp14:editId="3778703F">
            <wp:extent cx="5198080" cy="3465195"/>
            <wp:effectExtent l="0" t="0" r="3175" b="1905"/>
            <wp:docPr id="14597937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123643" name="Picture 31212364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00378" cy="3466727"/>
                    </a:xfrm>
                    <a:prstGeom prst="rect">
                      <a:avLst/>
                    </a:prstGeom>
                  </pic:spPr>
                </pic:pic>
              </a:graphicData>
            </a:graphic>
          </wp:inline>
        </w:drawing>
      </w:r>
    </w:p>
    <w:p w14:paraId="40D37A18" w14:textId="034D2A81" w:rsidR="00797641" w:rsidRPr="00A31074" w:rsidRDefault="00797641" w:rsidP="004E272D">
      <w:pPr>
        <w:pStyle w:val="NormalWeb"/>
        <w:shd w:val="clear" w:color="auto" w:fill="FFFFFF"/>
        <w:spacing w:after="240" w:afterAutospacing="0" w:line="360" w:lineRule="auto"/>
        <w:jc w:val="both"/>
        <w:rPr>
          <w:b/>
          <w:sz w:val="18"/>
          <w:szCs w:val="18"/>
        </w:rPr>
      </w:pPr>
      <w:r w:rsidRPr="00A31074">
        <w:rPr>
          <w:b/>
          <w:sz w:val="18"/>
          <w:szCs w:val="18"/>
        </w:rPr>
        <w:t>Figure S</w:t>
      </w:r>
      <w:r w:rsidR="00494E8D">
        <w:rPr>
          <w:b/>
          <w:sz w:val="18"/>
          <w:szCs w:val="18"/>
        </w:rPr>
        <w:t>6</w:t>
      </w:r>
      <w:r w:rsidRPr="00A31074">
        <w:rPr>
          <w:b/>
          <w:sz w:val="18"/>
          <w:szCs w:val="18"/>
        </w:rPr>
        <w:t>. Total annual TFA deposition per unit emission in regions EUR (orange), NAM (green), EAS (blue), SAS (pink), SAM (brown), SAF (purple), and PAN (red) from emissions in each respective region (panels (a) – (g)).</w:t>
      </w:r>
    </w:p>
    <w:p w14:paraId="0CCFB2DD" w14:textId="4B0CA827" w:rsidR="001E680B" w:rsidRPr="00FF5A90" w:rsidRDefault="001E680B" w:rsidP="001E680B">
      <w:pPr>
        <w:tabs>
          <w:tab w:val="left" w:pos="720"/>
        </w:tabs>
        <w:spacing w:before="240" w:line="240" w:lineRule="auto"/>
        <w:rPr>
          <w:rFonts w:ascii="Times New Roman" w:hAnsi="Times New Roman" w:cs="Times New Roman"/>
          <w:b/>
          <w:bCs/>
          <w:i/>
          <w:iCs/>
          <w:sz w:val="18"/>
          <w:szCs w:val="18"/>
        </w:rPr>
      </w:pPr>
      <w:r w:rsidRPr="00FF5A90">
        <w:rPr>
          <w:rFonts w:ascii="Times New Roman" w:hAnsi="Times New Roman" w:cs="Times New Roman"/>
          <w:b/>
          <w:bCs/>
          <w:iCs/>
          <w:sz w:val="18"/>
          <w:szCs w:val="18"/>
        </w:rPr>
        <w:t>Table S</w:t>
      </w:r>
      <w:r w:rsidR="00917277" w:rsidRPr="00FF5A90">
        <w:rPr>
          <w:rFonts w:ascii="Times New Roman" w:hAnsi="Times New Roman" w:cs="Times New Roman"/>
          <w:b/>
          <w:bCs/>
          <w:iCs/>
          <w:sz w:val="18"/>
          <w:szCs w:val="18"/>
        </w:rPr>
        <w:t>1</w:t>
      </w:r>
      <w:r w:rsidRPr="00FF5A90">
        <w:rPr>
          <w:rFonts w:ascii="Times New Roman" w:hAnsi="Times New Roman" w:cs="Times New Roman"/>
          <w:b/>
          <w:bCs/>
          <w:iCs/>
          <w:noProof/>
          <w:sz w:val="18"/>
          <w:szCs w:val="18"/>
        </w:rPr>
        <w:t>.</w:t>
      </w:r>
      <w:r w:rsidRPr="00FF5A90">
        <w:rPr>
          <w:rFonts w:ascii="Times New Roman" w:hAnsi="Times New Roman" w:cs="Times New Roman"/>
          <w:b/>
          <w:bCs/>
          <w:iCs/>
          <w:sz w:val="18"/>
          <w:szCs w:val="18"/>
        </w:rPr>
        <w:t xml:space="preserve"> </w:t>
      </w:r>
      <w:proofErr w:type="spellStart"/>
      <w:r w:rsidRPr="00FF5A90">
        <w:rPr>
          <w:rFonts w:ascii="Times New Roman" w:hAnsi="Times New Roman" w:cs="Times New Roman"/>
          <w:b/>
          <w:bCs/>
          <w:sz w:val="18"/>
          <w:szCs w:val="18"/>
          <w:shd w:val="clear" w:color="auto" w:fill="FFFFFF"/>
        </w:rPr>
        <w:t>Hk</w:t>
      </w:r>
      <w:r w:rsidRPr="00FF5A90">
        <w:rPr>
          <w:rFonts w:ascii="Times New Roman" w:hAnsi="Times New Roman" w:cs="Times New Roman"/>
          <w:b/>
          <w:bCs/>
          <w:sz w:val="18"/>
          <w:szCs w:val="18"/>
          <w:shd w:val="clear" w:color="auto" w:fill="FFFFFF"/>
          <w:vertAlign w:val="subscript"/>
        </w:rPr>
        <w:t>hyd</w:t>
      </w:r>
      <w:proofErr w:type="spellEnd"/>
      <w:r w:rsidRPr="00FF5A90">
        <w:rPr>
          <w:rFonts w:ascii="Times New Roman" w:hAnsi="Times New Roman" w:cs="Times New Roman"/>
          <w:b/>
          <w:bCs/>
          <w:sz w:val="18"/>
          <w:szCs w:val="18"/>
          <w:shd w:val="clear" w:color="auto" w:fill="FFFFFF"/>
          <w:vertAlign w:val="subscript"/>
        </w:rPr>
        <w:t xml:space="preserve"> </w:t>
      </w:r>
      <w:r w:rsidRPr="00FF5A90">
        <w:rPr>
          <w:rFonts w:ascii="Times New Roman" w:hAnsi="Times New Roman" w:cs="Times New Roman"/>
          <w:b/>
          <w:bCs/>
          <w:sz w:val="18"/>
          <w:szCs w:val="18"/>
          <w:shd w:val="clear" w:color="auto" w:fill="FFFFFF"/>
        </w:rPr>
        <w:t xml:space="preserve">values (M </w:t>
      </w:r>
      <w:r w:rsidRPr="00FF5A90">
        <w:rPr>
          <w:rFonts w:ascii="Times New Roman" w:hAnsi="Times New Roman" w:cs="Times New Roman"/>
          <w:b/>
          <w:bCs/>
          <w:sz w:val="18"/>
          <w:szCs w:val="18"/>
        </w:rPr>
        <w:t>atm</w:t>
      </w:r>
      <w:r w:rsidRPr="00FF5A90">
        <w:rPr>
          <w:rFonts w:ascii="Times New Roman" w:hAnsi="Times New Roman" w:cs="Times New Roman"/>
          <w:b/>
          <w:bCs/>
          <w:sz w:val="18"/>
          <w:szCs w:val="18"/>
          <w:shd w:val="clear" w:color="auto" w:fill="FFFFFF"/>
          <w:vertAlign w:val="superscript"/>
        </w:rPr>
        <w:t xml:space="preserve">-1 </w:t>
      </w:r>
      <w:r w:rsidRPr="00FF5A90">
        <w:rPr>
          <w:rFonts w:ascii="Times New Roman" w:hAnsi="Times New Roman" w:cs="Times New Roman"/>
          <w:b/>
          <w:bCs/>
          <w:sz w:val="18"/>
          <w:szCs w:val="18"/>
          <w:shd w:val="clear" w:color="auto" w:fill="FFFFFF"/>
        </w:rPr>
        <w:t>s</w:t>
      </w:r>
      <w:r w:rsidRPr="00FF5A90">
        <w:rPr>
          <w:rFonts w:ascii="Times New Roman" w:hAnsi="Times New Roman" w:cs="Times New Roman"/>
          <w:b/>
          <w:bCs/>
          <w:sz w:val="18"/>
          <w:szCs w:val="18"/>
          <w:shd w:val="clear" w:color="auto" w:fill="FFFFFF"/>
          <w:vertAlign w:val="superscript"/>
        </w:rPr>
        <w:t>-1</w:t>
      </w:r>
      <w:r w:rsidRPr="00FF5A90">
        <w:rPr>
          <w:rFonts w:ascii="Times New Roman" w:hAnsi="Times New Roman" w:cs="Times New Roman"/>
          <w:b/>
          <w:bCs/>
          <w:sz w:val="18"/>
          <w:szCs w:val="18"/>
          <w:shd w:val="clear" w:color="auto" w:fill="FFFFFF"/>
        </w:rPr>
        <w:t xml:space="preserve">) of Heterogeneous Reactions. </w:t>
      </w:r>
      <w:proofErr w:type="spellStart"/>
      <w:r w:rsidRPr="00FF5A90">
        <w:rPr>
          <w:rFonts w:ascii="Times New Roman" w:hAnsi="Times New Roman" w:cs="Times New Roman"/>
          <w:b/>
          <w:bCs/>
          <w:sz w:val="18"/>
          <w:szCs w:val="18"/>
          <w:shd w:val="clear" w:color="auto" w:fill="FFFFFF"/>
        </w:rPr>
        <w:t>lw</w:t>
      </w:r>
      <w:proofErr w:type="spellEnd"/>
      <w:r w:rsidRPr="00FF5A90">
        <w:rPr>
          <w:rFonts w:ascii="Times New Roman" w:hAnsi="Times New Roman" w:cs="Times New Roman"/>
          <w:b/>
          <w:bCs/>
          <w:sz w:val="18"/>
          <w:szCs w:val="18"/>
          <w:shd w:val="clear" w:color="auto" w:fill="FFFFFF"/>
        </w:rPr>
        <w:t xml:space="preserve"> = liquid water.</w:t>
      </w:r>
    </w:p>
    <w:tbl>
      <w:tblPr>
        <w:tblW w:w="0" w:type="auto"/>
        <w:jc w:val="center"/>
        <w:tblLook w:val="04A0" w:firstRow="1" w:lastRow="0" w:firstColumn="1" w:lastColumn="0" w:noHBand="0" w:noVBand="1"/>
      </w:tblPr>
      <w:tblGrid>
        <w:gridCol w:w="2974"/>
        <w:gridCol w:w="995"/>
        <w:gridCol w:w="892"/>
        <w:gridCol w:w="1276"/>
        <w:gridCol w:w="1990"/>
      </w:tblGrid>
      <w:tr w:rsidR="001E680B" w:rsidRPr="008D79A5" w14:paraId="61C882BA" w14:textId="77777777" w:rsidTr="00DC1930">
        <w:trPr>
          <w:jc w:val="center"/>
        </w:trPr>
        <w:tc>
          <w:tcPr>
            <w:tcW w:w="2974" w:type="dxa"/>
            <w:tcBorders>
              <w:top w:val="single" w:sz="18" w:space="0" w:color="auto"/>
              <w:left w:val="nil"/>
              <w:bottom w:val="single" w:sz="18" w:space="0" w:color="auto"/>
              <w:right w:val="nil"/>
            </w:tcBorders>
            <w:hideMark/>
          </w:tcPr>
          <w:p w14:paraId="170D91F1"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Reaction</w:t>
            </w:r>
          </w:p>
        </w:tc>
        <w:tc>
          <w:tcPr>
            <w:tcW w:w="995" w:type="dxa"/>
            <w:tcBorders>
              <w:top w:val="single" w:sz="18" w:space="0" w:color="auto"/>
              <w:left w:val="nil"/>
              <w:bottom w:val="single" w:sz="18" w:space="0" w:color="auto"/>
              <w:right w:val="nil"/>
            </w:tcBorders>
            <w:hideMark/>
          </w:tcPr>
          <w:p w14:paraId="7EA4933A"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BASE-MIN</w:t>
            </w:r>
          </w:p>
        </w:tc>
        <w:tc>
          <w:tcPr>
            <w:tcW w:w="892" w:type="dxa"/>
            <w:tcBorders>
              <w:top w:val="single" w:sz="18" w:space="0" w:color="auto"/>
              <w:left w:val="nil"/>
              <w:bottom w:val="single" w:sz="18" w:space="0" w:color="auto"/>
              <w:right w:val="nil"/>
            </w:tcBorders>
            <w:hideMark/>
          </w:tcPr>
          <w:p w14:paraId="0AB11F9F"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BASE</w:t>
            </w:r>
          </w:p>
        </w:tc>
        <w:tc>
          <w:tcPr>
            <w:tcW w:w="1276" w:type="dxa"/>
            <w:tcBorders>
              <w:top w:val="single" w:sz="18" w:space="0" w:color="auto"/>
              <w:left w:val="nil"/>
              <w:bottom w:val="single" w:sz="18" w:space="0" w:color="auto"/>
              <w:right w:val="nil"/>
            </w:tcBorders>
            <w:hideMark/>
          </w:tcPr>
          <w:p w14:paraId="4816BA81"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BASE-MAX</w:t>
            </w:r>
          </w:p>
        </w:tc>
        <w:tc>
          <w:tcPr>
            <w:tcW w:w="1990" w:type="dxa"/>
            <w:tcBorders>
              <w:top w:val="single" w:sz="18" w:space="0" w:color="auto"/>
              <w:left w:val="nil"/>
              <w:bottom w:val="single" w:sz="18" w:space="0" w:color="auto"/>
              <w:right w:val="nil"/>
            </w:tcBorders>
            <w:hideMark/>
          </w:tcPr>
          <w:p w14:paraId="2AFDB2FE"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Source</w:t>
            </w:r>
          </w:p>
        </w:tc>
      </w:tr>
      <w:tr w:rsidR="001E680B" w:rsidRPr="008D79A5" w14:paraId="3503EB65" w14:textId="77777777" w:rsidTr="00DC1930">
        <w:trPr>
          <w:jc w:val="center"/>
        </w:trPr>
        <w:tc>
          <w:tcPr>
            <w:tcW w:w="2974" w:type="dxa"/>
            <w:tcBorders>
              <w:top w:val="single" w:sz="18" w:space="0" w:color="auto"/>
              <w:left w:val="nil"/>
              <w:right w:val="nil"/>
            </w:tcBorders>
            <w:hideMark/>
          </w:tcPr>
          <w:p w14:paraId="644C0C35" w14:textId="77777777" w:rsidR="001E680B" w:rsidRPr="008D79A5" w:rsidRDefault="001E680B" w:rsidP="00DC1930">
            <w:pPr>
              <w:spacing w:after="0" w:line="240" w:lineRule="auto"/>
              <w:rPr>
                <w:rFonts w:ascii="Times New Roman" w:hAnsi="Times New Roman" w:cs="Times New Roman"/>
                <w:i/>
                <w:iCs/>
                <w:sz w:val="20"/>
                <w:szCs w:val="20"/>
              </w:rPr>
            </w:pPr>
            <w:r w:rsidRPr="008D79A5">
              <w:rPr>
                <w:rFonts w:ascii="Times New Roman" w:hAnsi="Times New Roman" w:cs="Times New Roman"/>
                <w:sz w:val="20"/>
                <w:szCs w:val="20"/>
              </w:rPr>
              <w:t xml:space="preserve">CF3C(O)Cl + </w:t>
            </w:r>
            <w:proofErr w:type="spellStart"/>
            <w:r w:rsidRPr="008D79A5">
              <w:rPr>
                <w:rFonts w:ascii="Times New Roman" w:hAnsi="Times New Roman" w:cs="Times New Roman"/>
                <w:i/>
                <w:iCs/>
                <w:sz w:val="20"/>
                <w:szCs w:val="20"/>
              </w:rPr>
              <w:t>lw</w:t>
            </w:r>
            <w:proofErr w:type="spellEnd"/>
            <w:r w:rsidRPr="008D79A5">
              <w:rPr>
                <w:rFonts w:ascii="Times New Roman" w:hAnsi="Times New Roman" w:cs="Times New Roman"/>
                <w:sz w:val="20"/>
                <w:szCs w:val="20"/>
              </w:rPr>
              <w:t>→ CF</w:t>
            </w:r>
            <w:r w:rsidRPr="008D79A5">
              <w:rPr>
                <w:rFonts w:ascii="Times New Roman" w:hAnsi="Times New Roman" w:cs="Times New Roman"/>
                <w:sz w:val="20"/>
                <w:szCs w:val="20"/>
                <w:vertAlign w:val="subscript"/>
              </w:rPr>
              <w:t>3</w:t>
            </w:r>
            <w:r w:rsidRPr="008D79A5">
              <w:rPr>
                <w:rFonts w:ascii="Times New Roman" w:hAnsi="Times New Roman" w:cs="Times New Roman"/>
                <w:sz w:val="20"/>
                <w:szCs w:val="20"/>
              </w:rPr>
              <w:t>COOH</w:t>
            </w:r>
          </w:p>
        </w:tc>
        <w:tc>
          <w:tcPr>
            <w:tcW w:w="995" w:type="dxa"/>
            <w:tcBorders>
              <w:top w:val="single" w:sz="18" w:space="0" w:color="auto"/>
              <w:left w:val="nil"/>
              <w:right w:val="nil"/>
            </w:tcBorders>
            <w:hideMark/>
          </w:tcPr>
          <w:p w14:paraId="547D4A02"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1.20</w:t>
            </w:r>
          </w:p>
        </w:tc>
        <w:tc>
          <w:tcPr>
            <w:tcW w:w="892" w:type="dxa"/>
            <w:tcBorders>
              <w:top w:val="single" w:sz="18" w:space="0" w:color="auto"/>
              <w:left w:val="nil"/>
              <w:right w:val="nil"/>
            </w:tcBorders>
            <w:hideMark/>
          </w:tcPr>
          <w:p w14:paraId="658D191F"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5.3</w:t>
            </w:r>
          </w:p>
        </w:tc>
        <w:tc>
          <w:tcPr>
            <w:tcW w:w="1276" w:type="dxa"/>
            <w:tcBorders>
              <w:top w:val="single" w:sz="18" w:space="0" w:color="auto"/>
              <w:left w:val="nil"/>
              <w:right w:val="nil"/>
            </w:tcBorders>
            <w:hideMark/>
          </w:tcPr>
          <w:p w14:paraId="7109B7C4"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27.0</w:t>
            </w:r>
          </w:p>
        </w:tc>
        <w:tc>
          <w:tcPr>
            <w:tcW w:w="1990" w:type="dxa"/>
            <w:tcBorders>
              <w:top w:val="single" w:sz="18" w:space="0" w:color="auto"/>
              <w:left w:val="nil"/>
              <w:right w:val="nil"/>
            </w:tcBorders>
            <w:hideMark/>
          </w:tcPr>
          <w:p w14:paraId="1CDBBD8F" w14:textId="286A7D45"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fldChar w:fldCharType="begin"/>
            </w:r>
            <w:r w:rsidR="00C67A2B" w:rsidRPr="008D79A5">
              <w:rPr>
                <w:rFonts w:ascii="Times New Roman" w:hAnsi="Times New Roman" w:cs="Times New Roman"/>
                <w:sz w:val="20"/>
                <w:szCs w:val="20"/>
              </w:rPr>
              <w:instrText xml:space="preserve"> ADDIN EN.CITE &lt;EndNote&gt;&lt;Cite&gt;&lt;Author&gt;Wild&lt;/Author&gt;&lt;Year&gt;1996&lt;/Year&gt;&lt;RecNum&gt;177&lt;/RecNum&gt;&lt;DisplayText&gt;(Wild et al., 1996)&lt;/DisplayText&gt;&lt;record&gt;&lt;rec-number&gt;177&lt;/rec-number&gt;&lt;foreign-keys&gt;&lt;key app="EN" db-id="prtxpzvtkaat9ce2fe5xwwped25xefdzxvfp" timestamp="1715761352"&gt;177&lt;/key&gt;&lt;/foreign-keys&gt;&lt;ref-type name="Journal Article"&gt;17&lt;/ref-type&gt;&lt;contributors&gt;&lt;authors&gt;&lt;author&gt;Wild, Oliver&lt;/author&gt;&lt;author&gt;Rattigan, Oliver V.&lt;/author&gt;&lt;author&gt;Jones, Roderic L.&lt;/author&gt;&lt;author&gt;Pyle, John A.&lt;/author&gt;&lt;author&gt;Cox, R. Anthony&lt;/author&gt;&lt;/authors&gt;&lt;/contributors&gt;&lt;titles&gt;&lt;title&gt;Two-dimensional modelling of some CFC replacement compounds&lt;/title&gt;&lt;secondary-title&gt;Journal of Atmospheric Chemistry&lt;/secondary-title&gt;&lt;/titles&gt;&lt;periodical&gt;&lt;full-title&gt;Journal of Atmospheric Chemistry&lt;/full-title&gt;&lt;/periodical&gt;&lt;pages&gt;167-199&lt;/pages&gt;&lt;volume&gt;25&lt;/volume&gt;&lt;number&gt;2&lt;/number&gt;&lt;dates&gt;&lt;year&gt;1996&lt;/year&gt;&lt;pub-dates&gt;&lt;date&gt;1996/10/01&lt;/date&gt;&lt;/pub-dates&gt;&lt;/dates&gt;&lt;isbn&gt;1573-0662&lt;/isbn&gt;&lt;urls&gt;&lt;related-urls&gt;&lt;url&gt;https://doi.org/10.1007/BF00053790&lt;/url&gt;&lt;/related-urls&gt;&lt;/urls&gt;&lt;electronic-resource-num&gt;10.1007/BF00053790&lt;/electronic-resource-num&gt;&lt;/record&gt;&lt;/Cite&gt;&lt;/EndNote&gt;</w:instrText>
            </w:r>
            <w:r w:rsidRPr="008D79A5">
              <w:rPr>
                <w:rFonts w:ascii="Times New Roman" w:hAnsi="Times New Roman" w:cs="Times New Roman"/>
                <w:sz w:val="20"/>
                <w:szCs w:val="20"/>
              </w:rPr>
              <w:fldChar w:fldCharType="separate"/>
            </w:r>
            <w:r w:rsidR="00C67A2B" w:rsidRPr="008D79A5">
              <w:rPr>
                <w:rFonts w:ascii="Times New Roman" w:hAnsi="Times New Roman" w:cs="Times New Roman"/>
                <w:noProof/>
                <w:sz w:val="20"/>
                <w:szCs w:val="20"/>
              </w:rPr>
              <w:t>(Wild et al., 1996)</w:t>
            </w:r>
            <w:r w:rsidRPr="008D79A5">
              <w:rPr>
                <w:rFonts w:ascii="Times New Roman" w:hAnsi="Times New Roman" w:cs="Times New Roman"/>
                <w:sz w:val="20"/>
                <w:szCs w:val="20"/>
              </w:rPr>
              <w:fldChar w:fldCharType="end"/>
            </w:r>
          </w:p>
        </w:tc>
      </w:tr>
      <w:tr w:rsidR="001E680B" w:rsidRPr="008D79A5" w14:paraId="718B3AD0" w14:textId="77777777" w:rsidTr="00DC1930">
        <w:trPr>
          <w:jc w:val="center"/>
        </w:trPr>
        <w:tc>
          <w:tcPr>
            <w:tcW w:w="2974" w:type="dxa"/>
            <w:tcBorders>
              <w:left w:val="nil"/>
              <w:right w:val="nil"/>
            </w:tcBorders>
            <w:hideMark/>
          </w:tcPr>
          <w:p w14:paraId="726A505D"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 xml:space="preserve">CF3C(O)F + </w:t>
            </w:r>
            <w:proofErr w:type="spellStart"/>
            <w:r w:rsidRPr="008D79A5">
              <w:rPr>
                <w:rFonts w:ascii="Times New Roman" w:hAnsi="Times New Roman" w:cs="Times New Roman"/>
                <w:i/>
                <w:iCs/>
                <w:sz w:val="20"/>
                <w:szCs w:val="20"/>
              </w:rPr>
              <w:t>lw</w:t>
            </w:r>
            <w:proofErr w:type="spellEnd"/>
            <w:r w:rsidRPr="008D79A5">
              <w:rPr>
                <w:rFonts w:ascii="Times New Roman" w:hAnsi="Times New Roman" w:cs="Times New Roman"/>
                <w:sz w:val="20"/>
                <w:szCs w:val="20"/>
              </w:rPr>
              <w:t>→ CF</w:t>
            </w:r>
            <w:r w:rsidRPr="008D79A5">
              <w:rPr>
                <w:rFonts w:ascii="Times New Roman" w:hAnsi="Times New Roman" w:cs="Times New Roman"/>
                <w:sz w:val="20"/>
                <w:szCs w:val="20"/>
                <w:vertAlign w:val="subscript"/>
              </w:rPr>
              <w:t>3</w:t>
            </w:r>
            <w:r w:rsidRPr="008D79A5">
              <w:rPr>
                <w:rFonts w:ascii="Times New Roman" w:hAnsi="Times New Roman" w:cs="Times New Roman"/>
                <w:sz w:val="20"/>
                <w:szCs w:val="20"/>
              </w:rPr>
              <w:t>COOH</w:t>
            </w:r>
          </w:p>
        </w:tc>
        <w:tc>
          <w:tcPr>
            <w:tcW w:w="995" w:type="dxa"/>
            <w:tcBorders>
              <w:left w:val="nil"/>
              <w:right w:val="nil"/>
            </w:tcBorders>
            <w:hideMark/>
          </w:tcPr>
          <w:p w14:paraId="7399F558"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4.30</w:t>
            </w:r>
          </w:p>
        </w:tc>
        <w:tc>
          <w:tcPr>
            <w:tcW w:w="892" w:type="dxa"/>
            <w:tcBorders>
              <w:left w:val="nil"/>
              <w:right w:val="nil"/>
            </w:tcBorders>
            <w:hideMark/>
          </w:tcPr>
          <w:p w14:paraId="74663105"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15.0</w:t>
            </w:r>
          </w:p>
        </w:tc>
        <w:tc>
          <w:tcPr>
            <w:tcW w:w="1276" w:type="dxa"/>
            <w:tcBorders>
              <w:left w:val="nil"/>
              <w:right w:val="nil"/>
            </w:tcBorders>
            <w:hideMark/>
          </w:tcPr>
          <w:p w14:paraId="0F7376FE"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96.0</w:t>
            </w:r>
          </w:p>
        </w:tc>
        <w:tc>
          <w:tcPr>
            <w:tcW w:w="1990" w:type="dxa"/>
            <w:tcBorders>
              <w:left w:val="nil"/>
              <w:right w:val="nil"/>
            </w:tcBorders>
            <w:hideMark/>
          </w:tcPr>
          <w:p w14:paraId="5BA8B095" w14:textId="05784786"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fldChar w:fldCharType="begin"/>
            </w:r>
            <w:r w:rsidR="00C67A2B" w:rsidRPr="008D79A5">
              <w:rPr>
                <w:rFonts w:ascii="Times New Roman" w:hAnsi="Times New Roman" w:cs="Times New Roman"/>
                <w:sz w:val="20"/>
                <w:szCs w:val="20"/>
              </w:rPr>
              <w:instrText xml:space="preserve"> ADDIN EN.CITE &lt;EndNote&gt;&lt;Cite&gt;&lt;Author&gt;Wild&lt;/Author&gt;&lt;Year&gt;1996&lt;/Year&gt;&lt;RecNum&gt;177&lt;/RecNum&gt;&lt;DisplayText&gt;(Wild et al., 1996)&lt;/DisplayText&gt;&lt;record&gt;&lt;rec-number&gt;177&lt;/rec-number&gt;&lt;foreign-keys&gt;&lt;key app="EN" db-id="prtxpzvtkaat9ce2fe5xwwped25xefdzxvfp" timestamp="1715761352"&gt;177&lt;/key&gt;&lt;/foreign-keys&gt;&lt;ref-type name="Journal Article"&gt;17&lt;/ref-type&gt;&lt;contributors&gt;&lt;authors&gt;&lt;author&gt;Wild, Oliver&lt;/author&gt;&lt;author&gt;Rattigan, Oliver V.&lt;/author&gt;&lt;author&gt;Jones, Roderic L.&lt;/author&gt;&lt;author&gt;Pyle, John A.&lt;/author&gt;&lt;author&gt;Cox, R. Anthony&lt;/author&gt;&lt;/authors&gt;&lt;/contributors&gt;&lt;titles&gt;&lt;title&gt;Two-dimensional modelling of some CFC replacement compounds&lt;/title&gt;&lt;secondary-title&gt;Journal of Atmospheric Chemistry&lt;/secondary-title&gt;&lt;/titles&gt;&lt;periodical&gt;&lt;full-title&gt;Journal of Atmospheric Chemistry&lt;/full-title&gt;&lt;/periodical&gt;&lt;pages&gt;167-199&lt;/pages&gt;&lt;volume&gt;25&lt;/volume&gt;&lt;number&gt;2&lt;/number&gt;&lt;dates&gt;&lt;year&gt;1996&lt;/year&gt;&lt;pub-dates&gt;&lt;date&gt;1996/10/01&lt;/date&gt;&lt;/pub-dates&gt;&lt;/dates&gt;&lt;isbn&gt;1573-0662&lt;/isbn&gt;&lt;urls&gt;&lt;related-urls&gt;&lt;url&gt;https://doi.org/10.1007/BF00053790&lt;/url&gt;&lt;/related-urls&gt;&lt;/urls&gt;&lt;electronic-resource-num&gt;10.1007/BF00053790&lt;/electronic-resource-num&gt;&lt;/record&gt;&lt;/Cite&gt;&lt;/EndNote&gt;</w:instrText>
            </w:r>
            <w:r w:rsidRPr="008D79A5">
              <w:rPr>
                <w:rFonts w:ascii="Times New Roman" w:hAnsi="Times New Roman" w:cs="Times New Roman"/>
                <w:sz w:val="20"/>
                <w:szCs w:val="20"/>
              </w:rPr>
              <w:fldChar w:fldCharType="separate"/>
            </w:r>
            <w:r w:rsidR="00C67A2B" w:rsidRPr="008D79A5">
              <w:rPr>
                <w:rFonts w:ascii="Times New Roman" w:hAnsi="Times New Roman" w:cs="Times New Roman"/>
                <w:noProof/>
                <w:sz w:val="20"/>
                <w:szCs w:val="20"/>
              </w:rPr>
              <w:t>(Wild et al., 1996)</w:t>
            </w:r>
            <w:r w:rsidRPr="008D79A5">
              <w:rPr>
                <w:rFonts w:ascii="Times New Roman" w:hAnsi="Times New Roman" w:cs="Times New Roman"/>
                <w:sz w:val="20"/>
                <w:szCs w:val="20"/>
              </w:rPr>
              <w:fldChar w:fldCharType="end"/>
            </w:r>
          </w:p>
        </w:tc>
      </w:tr>
      <w:tr w:rsidR="001E680B" w:rsidRPr="008D79A5" w14:paraId="1D70484D" w14:textId="77777777" w:rsidTr="00DC1930">
        <w:trPr>
          <w:jc w:val="center"/>
        </w:trPr>
        <w:tc>
          <w:tcPr>
            <w:tcW w:w="2974" w:type="dxa"/>
            <w:tcBorders>
              <w:left w:val="nil"/>
              <w:bottom w:val="single" w:sz="18" w:space="0" w:color="auto"/>
              <w:right w:val="nil"/>
            </w:tcBorders>
            <w:hideMark/>
          </w:tcPr>
          <w:p w14:paraId="055C32FB"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 xml:space="preserve">CF3C(O)H + </w:t>
            </w:r>
            <w:proofErr w:type="spellStart"/>
            <w:r w:rsidRPr="008D79A5">
              <w:rPr>
                <w:rFonts w:ascii="Times New Roman" w:hAnsi="Times New Roman" w:cs="Times New Roman"/>
                <w:i/>
                <w:iCs/>
                <w:sz w:val="20"/>
                <w:szCs w:val="20"/>
              </w:rPr>
              <w:t>lw</w:t>
            </w:r>
            <w:proofErr w:type="spellEnd"/>
            <w:r w:rsidRPr="008D79A5">
              <w:rPr>
                <w:rFonts w:ascii="Times New Roman" w:hAnsi="Times New Roman" w:cs="Times New Roman"/>
                <w:sz w:val="20"/>
                <w:szCs w:val="20"/>
              </w:rPr>
              <w:t>→ CF</w:t>
            </w:r>
            <w:r w:rsidRPr="008D79A5">
              <w:rPr>
                <w:rFonts w:ascii="Times New Roman" w:hAnsi="Times New Roman" w:cs="Times New Roman"/>
                <w:sz w:val="20"/>
                <w:szCs w:val="20"/>
                <w:vertAlign w:val="subscript"/>
              </w:rPr>
              <w:t>3</w:t>
            </w:r>
            <w:r w:rsidRPr="008D79A5">
              <w:rPr>
                <w:rFonts w:ascii="Times New Roman" w:hAnsi="Times New Roman" w:cs="Times New Roman"/>
                <w:sz w:val="20"/>
                <w:szCs w:val="20"/>
              </w:rPr>
              <w:t>COOH</w:t>
            </w:r>
          </w:p>
        </w:tc>
        <w:tc>
          <w:tcPr>
            <w:tcW w:w="995" w:type="dxa"/>
            <w:tcBorders>
              <w:left w:val="nil"/>
              <w:bottom w:val="single" w:sz="18" w:space="0" w:color="auto"/>
              <w:right w:val="nil"/>
            </w:tcBorders>
            <w:hideMark/>
          </w:tcPr>
          <w:p w14:paraId="3D1C6C93"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4.30</w:t>
            </w:r>
          </w:p>
        </w:tc>
        <w:tc>
          <w:tcPr>
            <w:tcW w:w="892" w:type="dxa"/>
            <w:tcBorders>
              <w:left w:val="nil"/>
              <w:bottom w:val="single" w:sz="18" w:space="0" w:color="auto"/>
              <w:right w:val="nil"/>
            </w:tcBorders>
            <w:hideMark/>
          </w:tcPr>
          <w:p w14:paraId="067E0F62"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15.0</w:t>
            </w:r>
          </w:p>
        </w:tc>
        <w:tc>
          <w:tcPr>
            <w:tcW w:w="1276" w:type="dxa"/>
            <w:tcBorders>
              <w:left w:val="nil"/>
              <w:bottom w:val="single" w:sz="18" w:space="0" w:color="auto"/>
              <w:right w:val="nil"/>
            </w:tcBorders>
            <w:hideMark/>
          </w:tcPr>
          <w:p w14:paraId="2D20DD1F"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96.0</w:t>
            </w:r>
          </w:p>
        </w:tc>
        <w:tc>
          <w:tcPr>
            <w:tcW w:w="1990" w:type="dxa"/>
            <w:tcBorders>
              <w:left w:val="nil"/>
              <w:bottom w:val="single" w:sz="18" w:space="0" w:color="auto"/>
              <w:right w:val="nil"/>
            </w:tcBorders>
            <w:hideMark/>
          </w:tcPr>
          <w:p w14:paraId="60CFC2C7"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As CF</w:t>
            </w:r>
            <w:r w:rsidRPr="008D79A5">
              <w:rPr>
                <w:rFonts w:ascii="Times New Roman" w:hAnsi="Times New Roman" w:cs="Times New Roman"/>
                <w:sz w:val="20"/>
                <w:szCs w:val="20"/>
                <w:vertAlign w:val="subscript"/>
              </w:rPr>
              <w:t>3</w:t>
            </w:r>
            <w:r w:rsidRPr="008D79A5">
              <w:rPr>
                <w:rFonts w:ascii="Times New Roman" w:hAnsi="Times New Roman" w:cs="Times New Roman"/>
                <w:sz w:val="20"/>
                <w:szCs w:val="20"/>
              </w:rPr>
              <w:t>C(O)F</w:t>
            </w:r>
          </w:p>
        </w:tc>
      </w:tr>
    </w:tbl>
    <w:p w14:paraId="77927D0C" w14:textId="77777777" w:rsidR="001E680B" w:rsidRPr="008D79A5" w:rsidRDefault="001E680B" w:rsidP="001E680B">
      <w:pPr>
        <w:spacing w:line="240" w:lineRule="auto"/>
        <w:rPr>
          <w:rFonts w:ascii="Times New Roman" w:hAnsi="Times New Roman" w:cs="Times New Roman"/>
          <w:b/>
          <w:bCs/>
          <w:iCs/>
          <w:sz w:val="20"/>
          <w:szCs w:val="20"/>
        </w:rPr>
      </w:pPr>
    </w:p>
    <w:p w14:paraId="4351D90E" w14:textId="77777777" w:rsidR="00123B4A" w:rsidRDefault="00123B4A" w:rsidP="001E680B">
      <w:pPr>
        <w:spacing w:line="240" w:lineRule="auto"/>
        <w:rPr>
          <w:rFonts w:ascii="Times New Roman" w:hAnsi="Times New Roman" w:cs="Times New Roman"/>
          <w:b/>
          <w:bCs/>
          <w:iCs/>
          <w:sz w:val="18"/>
          <w:szCs w:val="18"/>
        </w:rPr>
      </w:pPr>
    </w:p>
    <w:p w14:paraId="52119B2B" w14:textId="77777777" w:rsidR="00123B4A" w:rsidRDefault="00123B4A" w:rsidP="001E680B">
      <w:pPr>
        <w:spacing w:line="240" w:lineRule="auto"/>
        <w:rPr>
          <w:rFonts w:ascii="Times New Roman" w:hAnsi="Times New Roman" w:cs="Times New Roman"/>
          <w:b/>
          <w:bCs/>
          <w:iCs/>
          <w:sz w:val="18"/>
          <w:szCs w:val="18"/>
        </w:rPr>
      </w:pPr>
    </w:p>
    <w:p w14:paraId="7E148C0B" w14:textId="77777777" w:rsidR="00123B4A" w:rsidRDefault="00123B4A" w:rsidP="001E680B">
      <w:pPr>
        <w:spacing w:line="240" w:lineRule="auto"/>
        <w:rPr>
          <w:rFonts w:ascii="Times New Roman" w:hAnsi="Times New Roman" w:cs="Times New Roman"/>
          <w:b/>
          <w:bCs/>
          <w:iCs/>
          <w:sz w:val="18"/>
          <w:szCs w:val="18"/>
        </w:rPr>
      </w:pPr>
    </w:p>
    <w:p w14:paraId="6B518C5B" w14:textId="77777777" w:rsidR="00123B4A" w:rsidRDefault="00123B4A" w:rsidP="001E680B">
      <w:pPr>
        <w:spacing w:line="240" w:lineRule="auto"/>
        <w:rPr>
          <w:rFonts w:ascii="Times New Roman" w:hAnsi="Times New Roman" w:cs="Times New Roman"/>
          <w:b/>
          <w:bCs/>
          <w:iCs/>
          <w:sz w:val="18"/>
          <w:szCs w:val="18"/>
        </w:rPr>
      </w:pPr>
    </w:p>
    <w:p w14:paraId="49D435B6" w14:textId="19479CA8" w:rsidR="001E680B" w:rsidRPr="00FF5A90" w:rsidRDefault="001E680B" w:rsidP="001E680B">
      <w:pPr>
        <w:spacing w:line="240" w:lineRule="auto"/>
        <w:rPr>
          <w:rFonts w:ascii="Times New Roman" w:hAnsi="Times New Roman" w:cs="Times New Roman"/>
          <w:b/>
          <w:bCs/>
          <w:sz w:val="18"/>
          <w:szCs w:val="18"/>
          <w:shd w:val="clear" w:color="auto" w:fill="FFFFFF"/>
        </w:rPr>
      </w:pPr>
      <w:r w:rsidRPr="00FF5A90">
        <w:rPr>
          <w:rFonts w:ascii="Times New Roman" w:hAnsi="Times New Roman" w:cs="Times New Roman"/>
          <w:b/>
          <w:bCs/>
          <w:iCs/>
          <w:sz w:val="18"/>
          <w:szCs w:val="18"/>
        </w:rPr>
        <w:t>Table S</w:t>
      </w:r>
      <w:r w:rsidR="00917277" w:rsidRPr="00FF5A90">
        <w:rPr>
          <w:rFonts w:ascii="Times New Roman" w:hAnsi="Times New Roman" w:cs="Times New Roman"/>
          <w:b/>
          <w:bCs/>
          <w:iCs/>
          <w:sz w:val="18"/>
          <w:szCs w:val="18"/>
        </w:rPr>
        <w:t>2</w:t>
      </w:r>
      <w:r w:rsidRPr="00FF5A90">
        <w:rPr>
          <w:rFonts w:ascii="Times New Roman" w:hAnsi="Times New Roman" w:cs="Times New Roman"/>
          <w:b/>
          <w:bCs/>
          <w:iCs/>
          <w:sz w:val="18"/>
          <w:szCs w:val="18"/>
        </w:rPr>
        <w:t>.</w:t>
      </w:r>
      <w:r w:rsidRPr="00FF5A90">
        <w:rPr>
          <w:rFonts w:ascii="Times New Roman" w:hAnsi="Times New Roman" w:cs="Times New Roman"/>
          <w:b/>
          <w:bCs/>
          <w:iCs/>
          <w:sz w:val="18"/>
          <w:szCs w:val="18"/>
          <w:shd w:val="clear" w:color="auto" w:fill="FFFFFF"/>
        </w:rPr>
        <w:t xml:space="preserve"> </w:t>
      </w:r>
      <w:r w:rsidRPr="00FF5A90">
        <w:rPr>
          <w:rFonts w:ascii="Times New Roman" w:hAnsi="Times New Roman" w:cs="Times New Roman"/>
          <w:b/>
          <w:bCs/>
          <w:sz w:val="18"/>
          <w:szCs w:val="18"/>
          <w:shd w:val="clear" w:color="auto" w:fill="FFFFFF"/>
        </w:rPr>
        <w:t>Henry’s law constants (M atm</w:t>
      </w:r>
      <w:r w:rsidRPr="00FF5A90">
        <w:rPr>
          <w:rFonts w:ascii="Times New Roman" w:hAnsi="Times New Roman" w:cs="Times New Roman"/>
          <w:b/>
          <w:bCs/>
          <w:sz w:val="18"/>
          <w:szCs w:val="18"/>
          <w:shd w:val="clear" w:color="auto" w:fill="FFFFFF"/>
          <w:vertAlign w:val="superscript"/>
        </w:rPr>
        <w:t>-1</w:t>
      </w:r>
      <w:r w:rsidRPr="00FF5A90">
        <w:rPr>
          <w:rFonts w:ascii="Times New Roman" w:hAnsi="Times New Roman" w:cs="Times New Roman"/>
          <w:b/>
          <w:bCs/>
          <w:sz w:val="18"/>
          <w:szCs w:val="18"/>
          <w:shd w:val="clear" w:color="auto" w:fill="FFFFFF"/>
        </w:rPr>
        <w:t>) for runs BASE-MIN, BASE, and BASE-MAX.</w:t>
      </w:r>
    </w:p>
    <w:tbl>
      <w:tblPr>
        <w:tblW w:w="0" w:type="auto"/>
        <w:jc w:val="center"/>
        <w:tblLook w:val="04A0" w:firstRow="1" w:lastRow="0" w:firstColumn="1" w:lastColumn="0" w:noHBand="0" w:noVBand="1"/>
      </w:tblPr>
      <w:tblGrid>
        <w:gridCol w:w="1560"/>
        <w:gridCol w:w="1559"/>
        <w:gridCol w:w="992"/>
        <w:gridCol w:w="1603"/>
      </w:tblGrid>
      <w:tr w:rsidR="001E680B" w:rsidRPr="008D79A5" w14:paraId="1D74A8A7" w14:textId="77777777" w:rsidTr="00DC1930">
        <w:trPr>
          <w:jc w:val="center"/>
        </w:trPr>
        <w:tc>
          <w:tcPr>
            <w:tcW w:w="1560" w:type="dxa"/>
            <w:tcBorders>
              <w:top w:val="single" w:sz="18" w:space="0" w:color="auto"/>
              <w:left w:val="nil"/>
              <w:bottom w:val="single" w:sz="18" w:space="0" w:color="auto"/>
              <w:right w:val="nil"/>
            </w:tcBorders>
          </w:tcPr>
          <w:p w14:paraId="6D1D66CC" w14:textId="77777777" w:rsidR="001E680B" w:rsidRPr="008D79A5" w:rsidRDefault="001E680B" w:rsidP="00DC1930">
            <w:pPr>
              <w:spacing w:after="0" w:line="240" w:lineRule="auto"/>
              <w:rPr>
                <w:rFonts w:ascii="Times New Roman" w:hAnsi="Times New Roman" w:cs="Times New Roman"/>
                <w:sz w:val="20"/>
                <w:szCs w:val="20"/>
              </w:rPr>
            </w:pPr>
          </w:p>
        </w:tc>
        <w:tc>
          <w:tcPr>
            <w:tcW w:w="1559" w:type="dxa"/>
            <w:tcBorders>
              <w:top w:val="single" w:sz="18" w:space="0" w:color="auto"/>
              <w:left w:val="nil"/>
              <w:bottom w:val="single" w:sz="18" w:space="0" w:color="auto"/>
              <w:right w:val="nil"/>
            </w:tcBorders>
            <w:hideMark/>
          </w:tcPr>
          <w:p w14:paraId="1BFD9E97"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BASE-MIN</w:t>
            </w:r>
          </w:p>
        </w:tc>
        <w:tc>
          <w:tcPr>
            <w:tcW w:w="992" w:type="dxa"/>
            <w:tcBorders>
              <w:top w:val="single" w:sz="18" w:space="0" w:color="auto"/>
              <w:left w:val="nil"/>
              <w:bottom w:val="single" w:sz="18" w:space="0" w:color="auto"/>
              <w:right w:val="nil"/>
            </w:tcBorders>
            <w:hideMark/>
          </w:tcPr>
          <w:p w14:paraId="6BB9D1B5"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BASE</w:t>
            </w:r>
          </w:p>
        </w:tc>
        <w:tc>
          <w:tcPr>
            <w:tcW w:w="1603" w:type="dxa"/>
            <w:tcBorders>
              <w:top w:val="single" w:sz="18" w:space="0" w:color="auto"/>
              <w:left w:val="nil"/>
              <w:bottom w:val="single" w:sz="18" w:space="0" w:color="auto"/>
              <w:right w:val="nil"/>
            </w:tcBorders>
            <w:hideMark/>
          </w:tcPr>
          <w:p w14:paraId="52AEF833"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BASE-MAX</w:t>
            </w:r>
          </w:p>
        </w:tc>
      </w:tr>
      <w:tr w:rsidR="001E680B" w:rsidRPr="008D79A5" w14:paraId="5413F746" w14:textId="77777777" w:rsidTr="00DC1930">
        <w:trPr>
          <w:jc w:val="center"/>
        </w:trPr>
        <w:tc>
          <w:tcPr>
            <w:tcW w:w="1560" w:type="dxa"/>
            <w:tcBorders>
              <w:top w:val="single" w:sz="18" w:space="0" w:color="auto"/>
              <w:left w:val="nil"/>
              <w:bottom w:val="nil"/>
              <w:right w:val="nil"/>
            </w:tcBorders>
            <w:hideMark/>
          </w:tcPr>
          <w:p w14:paraId="1F76C644"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CF3C(O)Cl</w:t>
            </w:r>
          </w:p>
        </w:tc>
        <w:tc>
          <w:tcPr>
            <w:tcW w:w="1559" w:type="dxa"/>
            <w:tcBorders>
              <w:top w:val="single" w:sz="18" w:space="0" w:color="auto"/>
              <w:left w:val="nil"/>
              <w:bottom w:val="nil"/>
              <w:right w:val="nil"/>
            </w:tcBorders>
            <w:hideMark/>
          </w:tcPr>
          <w:p w14:paraId="2AA0F000"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2.0</w:t>
            </w:r>
          </w:p>
        </w:tc>
        <w:tc>
          <w:tcPr>
            <w:tcW w:w="992" w:type="dxa"/>
            <w:tcBorders>
              <w:top w:val="single" w:sz="18" w:space="0" w:color="auto"/>
              <w:left w:val="nil"/>
              <w:bottom w:val="nil"/>
              <w:right w:val="nil"/>
            </w:tcBorders>
            <w:hideMark/>
          </w:tcPr>
          <w:p w14:paraId="7B240CE8"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1.1</w:t>
            </w:r>
          </w:p>
        </w:tc>
        <w:tc>
          <w:tcPr>
            <w:tcW w:w="1603" w:type="dxa"/>
            <w:tcBorders>
              <w:top w:val="single" w:sz="18" w:space="0" w:color="auto"/>
              <w:left w:val="nil"/>
              <w:bottom w:val="nil"/>
              <w:right w:val="nil"/>
            </w:tcBorders>
            <w:hideMark/>
          </w:tcPr>
          <w:p w14:paraId="3110297A"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0.27</w:t>
            </w:r>
          </w:p>
        </w:tc>
      </w:tr>
      <w:tr w:rsidR="001E680B" w:rsidRPr="008D79A5" w14:paraId="3B5749CC" w14:textId="77777777" w:rsidTr="00DC1930">
        <w:trPr>
          <w:jc w:val="center"/>
        </w:trPr>
        <w:tc>
          <w:tcPr>
            <w:tcW w:w="1560" w:type="dxa"/>
            <w:tcBorders>
              <w:top w:val="nil"/>
              <w:left w:val="nil"/>
              <w:bottom w:val="nil"/>
              <w:right w:val="nil"/>
            </w:tcBorders>
            <w:hideMark/>
          </w:tcPr>
          <w:p w14:paraId="1D021CFC"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CF</w:t>
            </w:r>
            <w:r w:rsidRPr="008D79A5">
              <w:rPr>
                <w:rFonts w:ascii="Times New Roman" w:hAnsi="Times New Roman" w:cs="Times New Roman"/>
                <w:sz w:val="20"/>
                <w:szCs w:val="20"/>
                <w:vertAlign w:val="subscript"/>
              </w:rPr>
              <w:t>3</w:t>
            </w:r>
            <w:r w:rsidRPr="008D79A5">
              <w:rPr>
                <w:rFonts w:ascii="Times New Roman" w:hAnsi="Times New Roman" w:cs="Times New Roman"/>
                <w:sz w:val="20"/>
                <w:szCs w:val="20"/>
              </w:rPr>
              <w:t>C(O)F</w:t>
            </w:r>
          </w:p>
        </w:tc>
        <w:tc>
          <w:tcPr>
            <w:tcW w:w="1559" w:type="dxa"/>
            <w:tcBorders>
              <w:top w:val="nil"/>
              <w:left w:val="nil"/>
              <w:bottom w:val="nil"/>
              <w:right w:val="nil"/>
            </w:tcBorders>
            <w:hideMark/>
          </w:tcPr>
          <w:p w14:paraId="751EC03E"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3.0</w:t>
            </w:r>
          </w:p>
        </w:tc>
        <w:tc>
          <w:tcPr>
            <w:tcW w:w="992" w:type="dxa"/>
            <w:tcBorders>
              <w:top w:val="nil"/>
              <w:left w:val="nil"/>
              <w:bottom w:val="nil"/>
              <w:right w:val="nil"/>
            </w:tcBorders>
            <w:hideMark/>
          </w:tcPr>
          <w:p w14:paraId="37C1FC6A"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2.0</w:t>
            </w:r>
          </w:p>
        </w:tc>
        <w:tc>
          <w:tcPr>
            <w:tcW w:w="1603" w:type="dxa"/>
            <w:tcBorders>
              <w:top w:val="nil"/>
              <w:left w:val="nil"/>
              <w:bottom w:val="nil"/>
              <w:right w:val="nil"/>
            </w:tcBorders>
            <w:hideMark/>
          </w:tcPr>
          <w:p w14:paraId="27FD4BF2"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0.96</w:t>
            </w:r>
          </w:p>
        </w:tc>
      </w:tr>
      <w:tr w:rsidR="001E680B" w:rsidRPr="008D79A5" w14:paraId="7478707F" w14:textId="77777777" w:rsidTr="00DC1930">
        <w:trPr>
          <w:jc w:val="center"/>
        </w:trPr>
        <w:tc>
          <w:tcPr>
            <w:tcW w:w="1560" w:type="dxa"/>
            <w:tcBorders>
              <w:top w:val="nil"/>
              <w:left w:val="nil"/>
              <w:bottom w:val="nil"/>
              <w:right w:val="nil"/>
            </w:tcBorders>
            <w:hideMark/>
          </w:tcPr>
          <w:p w14:paraId="1EB6EA82"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CF3C(O)H</w:t>
            </w:r>
          </w:p>
        </w:tc>
        <w:tc>
          <w:tcPr>
            <w:tcW w:w="1559" w:type="dxa"/>
            <w:tcBorders>
              <w:top w:val="nil"/>
              <w:left w:val="nil"/>
              <w:bottom w:val="nil"/>
              <w:right w:val="nil"/>
            </w:tcBorders>
            <w:hideMark/>
          </w:tcPr>
          <w:p w14:paraId="6A4F3712"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3.0</w:t>
            </w:r>
          </w:p>
        </w:tc>
        <w:tc>
          <w:tcPr>
            <w:tcW w:w="992" w:type="dxa"/>
            <w:tcBorders>
              <w:top w:val="nil"/>
              <w:left w:val="nil"/>
              <w:bottom w:val="nil"/>
              <w:right w:val="nil"/>
            </w:tcBorders>
            <w:hideMark/>
          </w:tcPr>
          <w:p w14:paraId="7C009011"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2.0</w:t>
            </w:r>
          </w:p>
        </w:tc>
        <w:tc>
          <w:tcPr>
            <w:tcW w:w="1603" w:type="dxa"/>
            <w:tcBorders>
              <w:top w:val="nil"/>
              <w:left w:val="nil"/>
              <w:bottom w:val="nil"/>
              <w:right w:val="nil"/>
            </w:tcBorders>
            <w:hideMark/>
          </w:tcPr>
          <w:p w14:paraId="3CA3D6E9"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0.96</w:t>
            </w:r>
          </w:p>
        </w:tc>
      </w:tr>
      <w:tr w:rsidR="001E680B" w:rsidRPr="008D79A5" w14:paraId="03C1B8AA" w14:textId="77777777" w:rsidTr="00DC1930">
        <w:trPr>
          <w:jc w:val="center"/>
        </w:trPr>
        <w:tc>
          <w:tcPr>
            <w:tcW w:w="1560" w:type="dxa"/>
            <w:tcBorders>
              <w:top w:val="nil"/>
              <w:left w:val="nil"/>
              <w:bottom w:val="single" w:sz="18" w:space="0" w:color="auto"/>
              <w:right w:val="nil"/>
            </w:tcBorders>
            <w:hideMark/>
          </w:tcPr>
          <w:p w14:paraId="4B80BFC2"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CF</w:t>
            </w:r>
            <w:r w:rsidRPr="008D79A5">
              <w:rPr>
                <w:rFonts w:ascii="Times New Roman" w:hAnsi="Times New Roman" w:cs="Times New Roman"/>
                <w:sz w:val="20"/>
                <w:szCs w:val="20"/>
                <w:vertAlign w:val="subscript"/>
              </w:rPr>
              <w:t>3</w:t>
            </w:r>
            <w:r w:rsidRPr="008D79A5">
              <w:rPr>
                <w:rFonts w:ascii="Times New Roman" w:hAnsi="Times New Roman" w:cs="Times New Roman"/>
                <w:sz w:val="20"/>
                <w:szCs w:val="20"/>
              </w:rPr>
              <w:t>COOH</w:t>
            </w:r>
          </w:p>
        </w:tc>
        <w:tc>
          <w:tcPr>
            <w:tcW w:w="1559" w:type="dxa"/>
            <w:tcBorders>
              <w:top w:val="nil"/>
              <w:left w:val="nil"/>
              <w:bottom w:val="single" w:sz="18" w:space="0" w:color="auto"/>
              <w:right w:val="nil"/>
            </w:tcBorders>
            <w:hideMark/>
          </w:tcPr>
          <w:p w14:paraId="254946A0"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232</w:t>
            </w:r>
          </w:p>
        </w:tc>
        <w:tc>
          <w:tcPr>
            <w:tcW w:w="992" w:type="dxa"/>
            <w:tcBorders>
              <w:top w:val="nil"/>
              <w:left w:val="nil"/>
              <w:bottom w:val="single" w:sz="18" w:space="0" w:color="auto"/>
              <w:right w:val="nil"/>
            </w:tcBorders>
            <w:hideMark/>
          </w:tcPr>
          <w:p w14:paraId="0727371A"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5700</w:t>
            </w:r>
          </w:p>
        </w:tc>
        <w:tc>
          <w:tcPr>
            <w:tcW w:w="1603" w:type="dxa"/>
            <w:tcBorders>
              <w:top w:val="nil"/>
              <w:left w:val="nil"/>
              <w:bottom w:val="single" w:sz="18" w:space="0" w:color="auto"/>
              <w:right w:val="nil"/>
            </w:tcBorders>
            <w:hideMark/>
          </w:tcPr>
          <w:p w14:paraId="0679A529" w14:textId="77777777" w:rsidR="001E680B" w:rsidRPr="008D79A5" w:rsidRDefault="001E680B" w:rsidP="00DC1930">
            <w:pPr>
              <w:spacing w:after="0" w:line="240" w:lineRule="auto"/>
              <w:rPr>
                <w:rFonts w:ascii="Times New Roman" w:hAnsi="Times New Roman" w:cs="Times New Roman"/>
                <w:sz w:val="20"/>
                <w:szCs w:val="20"/>
              </w:rPr>
            </w:pPr>
            <w:r w:rsidRPr="008D79A5">
              <w:rPr>
                <w:rFonts w:ascii="Times New Roman" w:hAnsi="Times New Roman" w:cs="Times New Roman"/>
                <w:sz w:val="20"/>
                <w:szCs w:val="20"/>
              </w:rPr>
              <w:t>56740</w:t>
            </w:r>
          </w:p>
        </w:tc>
      </w:tr>
    </w:tbl>
    <w:p w14:paraId="430B2207" w14:textId="5A9E9310" w:rsidR="003326F8" w:rsidRDefault="001E680B" w:rsidP="001E680B">
      <w:pPr>
        <w:spacing w:line="240" w:lineRule="auto"/>
        <w:rPr>
          <w:rFonts w:ascii="Times New Roman" w:hAnsi="Times New Roman" w:cs="Times New Roman"/>
          <w:sz w:val="20"/>
          <w:szCs w:val="20"/>
        </w:rPr>
      </w:pPr>
      <w:r w:rsidRPr="008D79A5">
        <w:rPr>
          <w:rFonts w:ascii="Times New Roman" w:hAnsi="Times New Roman" w:cs="Times New Roman"/>
          <w:i/>
          <w:iCs/>
          <w:sz w:val="20"/>
          <w:szCs w:val="20"/>
        </w:rPr>
        <w:t>Note</w:t>
      </w:r>
      <w:r w:rsidRPr="008D79A5">
        <w:rPr>
          <w:rFonts w:ascii="Times New Roman" w:hAnsi="Times New Roman" w:cs="Times New Roman"/>
          <w:sz w:val="20"/>
          <w:szCs w:val="20"/>
        </w:rPr>
        <w:t xml:space="preserve">: The Henry’s law constants are taken from </w:t>
      </w:r>
      <w:r w:rsidRPr="008D79A5">
        <w:rPr>
          <w:rFonts w:ascii="Times New Roman" w:hAnsi="Times New Roman" w:cs="Times New Roman"/>
          <w:sz w:val="20"/>
          <w:szCs w:val="20"/>
        </w:rPr>
        <w:fldChar w:fldCharType="begin"/>
      </w:r>
      <w:r w:rsidR="00C67A2B" w:rsidRPr="008D79A5">
        <w:rPr>
          <w:rFonts w:ascii="Times New Roman" w:hAnsi="Times New Roman" w:cs="Times New Roman"/>
          <w:sz w:val="20"/>
          <w:szCs w:val="20"/>
        </w:rPr>
        <w:instrText xml:space="preserve"> ADDIN EN.CITE &lt;EndNote&gt;&lt;Cite&gt;&lt;Author&gt;Sander&lt;/Author&gt;&lt;Year&gt;2023&lt;/Year&gt;&lt;RecNum&gt;219&lt;/RecNum&gt;&lt;DisplayText&gt;(Sander, 2023)&lt;/DisplayText&gt;&lt;record&gt;&lt;rec-number&gt;219&lt;/rec-number&gt;&lt;foreign-keys&gt;&lt;key app="EN" db-id="prtxpzvtkaat9ce2fe5xwwped25xefdzxvfp" timestamp="1730716461"&gt;219&lt;/key&gt;&lt;/foreign-keys&gt;&lt;ref-type name="Journal Article"&gt;17&lt;/ref-type&gt;&lt;contributors&gt;&lt;authors&gt;&lt;author&gt;Sander, R.&lt;/author&gt;&lt;/authors&gt;&lt;/contributors&gt;&lt;titles&gt;&lt;title&gt;Compilation of Henry&amp;apos;s law constants (version 5.0.0) for water as solvent&lt;/title&gt;&lt;secondary-title&gt;Atmos. Chem. Phys.&lt;/secondary-title&gt;&lt;/titles&gt;&lt;periodical&gt;&lt;full-title&gt;Atmos. Chem. Phys.&lt;/full-title&gt;&lt;/periodical&gt;&lt;pages&gt;10901-12440&lt;/pages&gt;&lt;volume&gt;23&lt;/volume&gt;&lt;number&gt;19&lt;/number&gt;&lt;dates&gt;&lt;year&gt;2023&lt;/year&gt;&lt;/dates&gt;&lt;publisher&gt;Copernicus Publications&lt;/publisher&gt;&lt;isbn&gt;1680-7324&lt;/isbn&gt;&lt;urls&gt;&lt;related-urls&gt;&lt;url&gt;https://acp.copernicus.org/articles/23/10901/2023/&lt;/url&gt;&lt;/related-urls&gt;&lt;/urls&gt;&lt;electronic-resource-num&gt;10.5194/acp-23-10901-2023&lt;/electronic-resource-num&gt;&lt;/record&gt;&lt;/Cite&gt;&lt;/EndNote&gt;</w:instrText>
      </w:r>
      <w:r w:rsidRPr="008D79A5">
        <w:rPr>
          <w:rFonts w:ascii="Times New Roman" w:hAnsi="Times New Roman" w:cs="Times New Roman"/>
          <w:sz w:val="20"/>
          <w:szCs w:val="20"/>
        </w:rPr>
        <w:fldChar w:fldCharType="separate"/>
      </w:r>
      <w:r w:rsidR="00C67A2B" w:rsidRPr="008D79A5">
        <w:rPr>
          <w:rFonts w:ascii="Times New Roman" w:hAnsi="Times New Roman" w:cs="Times New Roman"/>
          <w:noProof/>
          <w:sz w:val="20"/>
          <w:szCs w:val="20"/>
        </w:rPr>
        <w:t>(Sander, 2023)</w:t>
      </w:r>
      <w:r w:rsidRPr="008D79A5">
        <w:rPr>
          <w:rFonts w:ascii="Times New Roman" w:hAnsi="Times New Roman" w:cs="Times New Roman"/>
          <w:sz w:val="20"/>
          <w:szCs w:val="20"/>
        </w:rPr>
        <w:fldChar w:fldCharType="end"/>
      </w:r>
      <w:r w:rsidRPr="008D79A5">
        <w:rPr>
          <w:rFonts w:ascii="Times New Roman" w:hAnsi="Times New Roman" w:cs="Times New Roman"/>
          <w:sz w:val="20"/>
          <w:szCs w:val="20"/>
        </w:rPr>
        <w:t xml:space="preserve"> and references therein. The values for BASE-MAX and BASE-MIN have been chosen to maximise and minimise TFA deposition, i.e. deposition is maximised through the maximum Henry’s law constant for TFA, and the minimum Henry’s law constant of the precursors.</w:t>
      </w:r>
    </w:p>
    <w:p w14:paraId="40080C31" w14:textId="77777777" w:rsidR="00123B4A" w:rsidRPr="008D79A5" w:rsidRDefault="00123B4A" w:rsidP="001E680B">
      <w:pPr>
        <w:spacing w:line="240" w:lineRule="auto"/>
        <w:rPr>
          <w:rFonts w:ascii="Times New Roman" w:hAnsi="Times New Roman" w:cs="Times New Roman"/>
          <w:sz w:val="20"/>
          <w:szCs w:val="20"/>
        </w:rPr>
      </w:pPr>
    </w:p>
    <w:p w14:paraId="64318DD8" w14:textId="654509F8" w:rsidR="001E680B" w:rsidRPr="00FF5A90" w:rsidRDefault="001E680B" w:rsidP="001E680B">
      <w:pPr>
        <w:spacing w:line="240" w:lineRule="auto"/>
        <w:rPr>
          <w:rFonts w:ascii="Times New Roman" w:hAnsi="Times New Roman" w:cs="Times New Roman"/>
          <w:b/>
          <w:bCs/>
          <w:i/>
          <w:iCs/>
          <w:sz w:val="18"/>
          <w:szCs w:val="18"/>
        </w:rPr>
      </w:pPr>
      <w:r w:rsidRPr="00FF5A90">
        <w:rPr>
          <w:rFonts w:ascii="Times New Roman" w:hAnsi="Times New Roman" w:cs="Times New Roman"/>
          <w:b/>
          <w:bCs/>
          <w:iCs/>
          <w:sz w:val="18"/>
          <w:szCs w:val="18"/>
        </w:rPr>
        <w:t>Table S</w:t>
      </w:r>
      <w:r w:rsidR="00917277" w:rsidRPr="00FF5A90">
        <w:rPr>
          <w:rFonts w:ascii="Times New Roman" w:hAnsi="Times New Roman" w:cs="Times New Roman"/>
          <w:b/>
          <w:bCs/>
          <w:iCs/>
          <w:sz w:val="18"/>
          <w:szCs w:val="18"/>
        </w:rPr>
        <w:t>3</w:t>
      </w:r>
      <w:r w:rsidRPr="00FF5A90">
        <w:rPr>
          <w:rFonts w:ascii="Times New Roman" w:hAnsi="Times New Roman" w:cs="Times New Roman"/>
          <w:b/>
          <w:bCs/>
          <w:iCs/>
          <w:noProof/>
          <w:sz w:val="18"/>
          <w:szCs w:val="18"/>
        </w:rPr>
        <w:t>.</w:t>
      </w:r>
      <w:r w:rsidRPr="00FF5A90">
        <w:rPr>
          <w:rFonts w:ascii="Times New Roman" w:hAnsi="Times New Roman" w:cs="Times New Roman"/>
          <w:b/>
          <w:bCs/>
          <w:iCs/>
          <w:sz w:val="18"/>
          <w:szCs w:val="18"/>
        </w:rPr>
        <w:t xml:space="preserve"> </w:t>
      </w:r>
      <w:r w:rsidRPr="00FF5A90">
        <w:rPr>
          <w:rFonts w:ascii="Times New Roman" w:hAnsi="Times New Roman" w:cs="Times New Roman"/>
          <w:b/>
          <w:bCs/>
          <w:sz w:val="18"/>
          <w:szCs w:val="18"/>
        </w:rPr>
        <w:t xml:space="preserve">Source regions included in the study and corresponding ISO 3166 country codes. </w:t>
      </w:r>
    </w:p>
    <w:tbl>
      <w:tblPr>
        <w:tblStyle w:val="TableGrid"/>
        <w:tblW w:w="9072" w:type="dxa"/>
        <w:tblBorders>
          <w:insideH w:val="none" w:sz="0" w:space="0" w:color="auto"/>
          <w:insideV w:val="none" w:sz="0" w:space="0" w:color="auto"/>
        </w:tblBorders>
        <w:tblLook w:val="04A0" w:firstRow="1" w:lastRow="0" w:firstColumn="1" w:lastColumn="0" w:noHBand="0" w:noVBand="1"/>
      </w:tblPr>
      <w:tblGrid>
        <w:gridCol w:w="568"/>
        <w:gridCol w:w="846"/>
        <w:gridCol w:w="2385"/>
        <w:gridCol w:w="5273"/>
      </w:tblGrid>
      <w:tr w:rsidR="001E680B" w:rsidRPr="008D79A5" w14:paraId="79D26158" w14:textId="77777777" w:rsidTr="00DC1930">
        <w:tc>
          <w:tcPr>
            <w:tcW w:w="568" w:type="dxa"/>
            <w:tcBorders>
              <w:top w:val="single" w:sz="18" w:space="0" w:color="auto"/>
              <w:left w:val="nil"/>
              <w:bottom w:val="single" w:sz="18" w:space="0" w:color="auto"/>
            </w:tcBorders>
          </w:tcPr>
          <w:p w14:paraId="5C1B853D" w14:textId="77777777" w:rsidR="001E680B" w:rsidRPr="008D79A5" w:rsidRDefault="001E680B" w:rsidP="00DC1930">
            <w:pPr>
              <w:pStyle w:val="NormalWeb"/>
              <w:spacing w:after="0" w:afterAutospacing="0"/>
              <w:rPr>
                <w:b/>
                <w:bCs/>
                <w:color w:val="000000"/>
                <w:sz w:val="20"/>
                <w:szCs w:val="20"/>
              </w:rPr>
            </w:pPr>
          </w:p>
        </w:tc>
        <w:tc>
          <w:tcPr>
            <w:tcW w:w="846" w:type="dxa"/>
            <w:tcBorders>
              <w:top w:val="single" w:sz="18" w:space="0" w:color="auto"/>
              <w:bottom w:val="single" w:sz="18" w:space="0" w:color="auto"/>
            </w:tcBorders>
          </w:tcPr>
          <w:p w14:paraId="26D352F9" w14:textId="77777777" w:rsidR="001E680B" w:rsidRPr="008D79A5" w:rsidRDefault="001E680B" w:rsidP="00DC1930">
            <w:pPr>
              <w:pStyle w:val="NormalWeb"/>
              <w:spacing w:after="0" w:afterAutospacing="0"/>
              <w:jc w:val="both"/>
              <w:rPr>
                <w:b/>
                <w:bCs/>
                <w:color w:val="000000"/>
                <w:sz w:val="20"/>
                <w:szCs w:val="20"/>
              </w:rPr>
            </w:pPr>
            <w:r w:rsidRPr="008D79A5">
              <w:rPr>
                <w:b/>
                <w:bCs/>
                <w:color w:val="000000"/>
                <w:sz w:val="20"/>
                <w:szCs w:val="20"/>
              </w:rPr>
              <w:t>Region</w:t>
            </w:r>
          </w:p>
        </w:tc>
        <w:tc>
          <w:tcPr>
            <w:tcW w:w="2385" w:type="dxa"/>
            <w:tcBorders>
              <w:top w:val="single" w:sz="18" w:space="0" w:color="auto"/>
              <w:bottom w:val="single" w:sz="18" w:space="0" w:color="auto"/>
              <w:right w:val="nil"/>
            </w:tcBorders>
          </w:tcPr>
          <w:p w14:paraId="1422DDD2" w14:textId="77777777" w:rsidR="001E680B" w:rsidRPr="008D79A5" w:rsidRDefault="001E680B" w:rsidP="00DC1930">
            <w:pPr>
              <w:pStyle w:val="NormalWeb"/>
              <w:spacing w:after="0" w:afterAutospacing="0"/>
              <w:jc w:val="both"/>
              <w:rPr>
                <w:b/>
                <w:bCs/>
                <w:color w:val="000000"/>
                <w:sz w:val="20"/>
                <w:szCs w:val="20"/>
              </w:rPr>
            </w:pPr>
            <w:r w:rsidRPr="008D79A5">
              <w:rPr>
                <w:b/>
                <w:bCs/>
                <w:color w:val="000000"/>
                <w:sz w:val="20"/>
                <w:szCs w:val="20"/>
              </w:rPr>
              <w:t>Description</w:t>
            </w:r>
          </w:p>
        </w:tc>
        <w:tc>
          <w:tcPr>
            <w:tcW w:w="5273" w:type="dxa"/>
            <w:tcBorders>
              <w:top w:val="single" w:sz="18" w:space="0" w:color="auto"/>
              <w:bottom w:val="single" w:sz="18" w:space="0" w:color="auto"/>
              <w:right w:val="nil"/>
            </w:tcBorders>
          </w:tcPr>
          <w:p w14:paraId="18A48015" w14:textId="77777777" w:rsidR="001E680B" w:rsidRPr="008D79A5" w:rsidRDefault="001E680B" w:rsidP="00DC1930">
            <w:pPr>
              <w:pStyle w:val="NormalWeb"/>
              <w:spacing w:after="0" w:afterAutospacing="0"/>
              <w:jc w:val="both"/>
              <w:rPr>
                <w:b/>
                <w:bCs/>
                <w:color w:val="000000"/>
                <w:sz w:val="20"/>
                <w:szCs w:val="20"/>
              </w:rPr>
            </w:pPr>
            <w:r w:rsidRPr="008D79A5">
              <w:rPr>
                <w:b/>
                <w:bCs/>
                <w:color w:val="000000"/>
                <w:sz w:val="20"/>
                <w:szCs w:val="20"/>
              </w:rPr>
              <w:t>ISO 366 Country Codes</w:t>
            </w:r>
          </w:p>
        </w:tc>
      </w:tr>
      <w:tr w:rsidR="001E680B" w:rsidRPr="008D79A5" w14:paraId="25D306B6" w14:textId="77777777" w:rsidTr="00DC1930">
        <w:tc>
          <w:tcPr>
            <w:tcW w:w="568" w:type="dxa"/>
            <w:tcBorders>
              <w:top w:val="single" w:sz="18" w:space="0" w:color="auto"/>
              <w:left w:val="nil"/>
              <w:bottom w:val="nil"/>
            </w:tcBorders>
          </w:tcPr>
          <w:p w14:paraId="16ED6442" w14:textId="77777777" w:rsidR="001E680B" w:rsidRPr="008D79A5" w:rsidRDefault="001E680B" w:rsidP="00DC1930">
            <w:pPr>
              <w:pStyle w:val="NormalWeb"/>
              <w:spacing w:after="240" w:afterAutospacing="0"/>
              <w:rPr>
                <w:color w:val="000000"/>
                <w:sz w:val="20"/>
                <w:szCs w:val="20"/>
              </w:rPr>
            </w:pPr>
            <w:r w:rsidRPr="008D79A5">
              <w:rPr>
                <w:color w:val="000000"/>
                <w:sz w:val="20"/>
                <w:szCs w:val="20"/>
              </w:rPr>
              <w:t>01</w:t>
            </w:r>
          </w:p>
        </w:tc>
        <w:tc>
          <w:tcPr>
            <w:tcW w:w="846" w:type="dxa"/>
            <w:tcBorders>
              <w:top w:val="single" w:sz="18" w:space="0" w:color="auto"/>
              <w:bottom w:val="nil"/>
            </w:tcBorders>
          </w:tcPr>
          <w:p w14:paraId="2C2BF20C"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EUR</w:t>
            </w:r>
          </w:p>
        </w:tc>
        <w:tc>
          <w:tcPr>
            <w:tcW w:w="2385" w:type="dxa"/>
            <w:tcBorders>
              <w:top w:val="single" w:sz="18" w:space="0" w:color="auto"/>
              <w:bottom w:val="nil"/>
              <w:right w:val="nil"/>
            </w:tcBorders>
          </w:tcPr>
          <w:p w14:paraId="2CF1876F" w14:textId="0416C983" w:rsidR="001E680B" w:rsidRPr="008D79A5" w:rsidRDefault="001E680B" w:rsidP="00DC1930">
            <w:pPr>
              <w:pStyle w:val="NormalWeb"/>
              <w:spacing w:after="240" w:afterAutospacing="0"/>
              <w:jc w:val="both"/>
              <w:rPr>
                <w:color w:val="000000"/>
                <w:sz w:val="20"/>
                <w:szCs w:val="20"/>
              </w:rPr>
            </w:pPr>
            <w:r w:rsidRPr="008D79A5">
              <w:rPr>
                <w:color w:val="000000"/>
                <w:sz w:val="20"/>
                <w:szCs w:val="20"/>
              </w:rPr>
              <w:t>EU27</w:t>
            </w:r>
            <w:r w:rsidR="0000296E">
              <w:rPr>
                <w:color w:val="000000"/>
                <w:sz w:val="20"/>
                <w:szCs w:val="20"/>
              </w:rPr>
              <w:t xml:space="preserve"> </w:t>
            </w:r>
            <w:r w:rsidRPr="008D79A5">
              <w:rPr>
                <w:color w:val="000000"/>
                <w:sz w:val="20"/>
                <w:szCs w:val="20"/>
              </w:rPr>
              <w:t xml:space="preserve">+ </w:t>
            </w:r>
            <w:r w:rsidR="0000296E">
              <w:rPr>
                <w:color w:val="000000"/>
                <w:sz w:val="20"/>
                <w:szCs w:val="20"/>
              </w:rPr>
              <w:t>(</w:t>
            </w:r>
            <w:r w:rsidR="004F4150">
              <w:rPr>
                <w:color w:val="000000"/>
                <w:sz w:val="20"/>
                <w:szCs w:val="20"/>
              </w:rPr>
              <w:t>Norway</w:t>
            </w:r>
            <w:r w:rsidR="0000296E">
              <w:rPr>
                <w:color w:val="000000"/>
                <w:sz w:val="20"/>
                <w:szCs w:val="20"/>
              </w:rPr>
              <w:t>,</w:t>
            </w:r>
            <w:r w:rsidRPr="008D79A5">
              <w:rPr>
                <w:color w:val="000000"/>
                <w:sz w:val="20"/>
                <w:szCs w:val="20"/>
              </w:rPr>
              <w:t xml:space="preserve"> </w:t>
            </w:r>
            <w:r w:rsidR="00FB036E">
              <w:rPr>
                <w:color w:val="000000"/>
                <w:sz w:val="20"/>
                <w:szCs w:val="20"/>
              </w:rPr>
              <w:t xml:space="preserve">Moldova, </w:t>
            </w:r>
            <w:r w:rsidRPr="008D79A5">
              <w:rPr>
                <w:color w:val="000000"/>
                <w:sz w:val="20"/>
                <w:szCs w:val="20"/>
              </w:rPr>
              <w:t>Switzerland</w:t>
            </w:r>
            <w:r w:rsidR="0000296E">
              <w:rPr>
                <w:color w:val="000000"/>
                <w:sz w:val="20"/>
                <w:szCs w:val="20"/>
              </w:rPr>
              <w:t>,</w:t>
            </w:r>
            <w:r w:rsidRPr="008D79A5">
              <w:rPr>
                <w:color w:val="000000"/>
                <w:sz w:val="20"/>
                <w:szCs w:val="20"/>
              </w:rPr>
              <w:t xml:space="preserve"> Turkey</w:t>
            </w:r>
            <w:r w:rsidR="0000296E">
              <w:rPr>
                <w:color w:val="000000"/>
                <w:sz w:val="20"/>
                <w:szCs w:val="20"/>
              </w:rPr>
              <w:t>,</w:t>
            </w:r>
            <w:r w:rsidR="004F4150">
              <w:rPr>
                <w:color w:val="000000"/>
                <w:sz w:val="20"/>
                <w:szCs w:val="20"/>
              </w:rPr>
              <w:t xml:space="preserve"> </w:t>
            </w:r>
            <w:r w:rsidR="00FB036E">
              <w:rPr>
                <w:color w:val="000000"/>
                <w:sz w:val="20"/>
                <w:szCs w:val="20"/>
              </w:rPr>
              <w:t xml:space="preserve">Western Balkans, </w:t>
            </w:r>
            <w:r w:rsidR="004F4150">
              <w:rPr>
                <w:color w:val="000000"/>
                <w:sz w:val="20"/>
                <w:szCs w:val="20"/>
              </w:rPr>
              <w:t>UK</w:t>
            </w:r>
            <w:r w:rsidR="00FB036E">
              <w:rPr>
                <w:color w:val="000000"/>
                <w:sz w:val="20"/>
                <w:szCs w:val="20"/>
              </w:rPr>
              <w:t>)</w:t>
            </w:r>
            <w:r w:rsidR="0000296E">
              <w:rPr>
                <w:color w:val="000000"/>
                <w:sz w:val="20"/>
                <w:szCs w:val="20"/>
              </w:rPr>
              <w:t xml:space="preserve"> </w:t>
            </w:r>
            <w:r w:rsidR="0000296E" w:rsidRPr="008D79A5">
              <w:rPr>
                <w:color w:val="000000"/>
                <w:sz w:val="20"/>
                <w:szCs w:val="20"/>
              </w:rPr>
              <w:t>up to 66 N</w:t>
            </w:r>
          </w:p>
        </w:tc>
        <w:tc>
          <w:tcPr>
            <w:tcW w:w="5273" w:type="dxa"/>
            <w:tcBorders>
              <w:top w:val="single" w:sz="18" w:space="0" w:color="auto"/>
              <w:bottom w:val="nil"/>
              <w:right w:val="nil"/>
            </w:tcBorders>
          </w:tcPr>
          <w:p w14:paraId="48E57555"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ALB, AUT, BEL, BGR, BIH, CHE, CYP, CZE, DNK, DEU, ESP, EST, FIN, FRA, GBR, GRC, HRV, HUN, ITA, IRL, LTU, LUX, LVA, MDA, MKD, MLT, MNE, NLD, NOR, POL, PRT, ROU, SRB, SVN, SWE, SVK, TUR</w:t>
            </w:r>
          </w:p>
        </w:tc>
      </w:tr>
      <w:tr w:rsidR="001E680B" w:rsidRPr="008D79A5" w14:paraId="0B96B697" w14:textId="77777777" w:rsidTr="00DC1930">
        <w:tc>
          <w:tcPr>
            <w:tcW w:w="568" w:type="dxa"/>
            <w:tcBorders>
              <w:top w:val="nil"/>
              <w:left w:val="nil"/>
              <w:bottom w:val="nil"/>
            </w:tcBorders>
          </w:tcPr>
          <w:p w14:paraId="2BB53CE0"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02</w:t>
            </w:r>
          </w:p>
        </w:tc>
        <w:tc>
          <w:tcPr>
            <w:tcW w:w="846" w:type="dxa"/>
            <w:tcBorders>
              <w:top w:val="nil"/>
              <w:bottom w:val="nil"/>
            </w:tcBorders>
          </w:tcPr>
          <w:p w14:paraId="62ED1F29"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NAM</w:t>
            </w:r>
          </w:p>
        </w:tc>
        <w:tc>
          <w:tcPr>
            <w:tcW w:w="2385" w:type="dxa"/>
            <w:tcBorders>
              <w:top w:val="nil"/>
              <w:bottom w:val="nil"/>
              <w:right w:val="nil"/>
            </w:tcBorders>
          </w:tcPr>
          <w:p w14:paraId="3DD1542B"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US + Canada (up to 66 N)</w:t>
            </w:r>
          </w:p>
        </w:tc>
        <w:tc>
          <w:tcPr>
            <w:tcW w:w="5273" w:type="dxa"/>
            <w:tcBorders>
              <w:top w:val="nil"/>
              <w:bottom w:val="nil"/>
              <w:right w:val="nil"/>
            </w:tcBorders>
          </w:tcPr>
          <w:p w14:paraId="2296BB28"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USA, CAN</w:t>
            </w:r>
          </w:p>
        </w:tc>
      </w:tr>
      <w:tr w:rsidR="001E680B" w:rsidRPr="008D79A5" w14:paraId="1A73C0EA" w14:textId="77777777" w:rsidTr="00DC1930">
        <w:tc>
          <w:tcPr>
            <w:tcW w:w="568" w:type="dxa"/>
            <w:tcBorders>
              <w:top w:val="nil"/>
              <w:left w:val="nil"/>
              <w:bottom w:val="nil"/>
            </w:tcBorders>
          </w:tcPr>
          <w:p w14:paraId="2FE77627"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03</w:t>
            </w:r>
          </w:p>
        </w:tc>
        <w:tc>
          <w:tcPr>
            <w:tcW w:w="846" w:type="dxa"/>
            <w:tcBorders>
              <w:top w:val="nil"/>
              <w:bottom w:val="nil"/>
            </w:tcBorders>
          </w:tcPr>
          <w:p w14:paraId="5DAC91F4"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SAS</w:t>
            </w:r>
          </w:p>
        </w:tc>
        <w:tc>
          <w:tcPr>
            <w:tcW w:w="2385" w:type="dxa"/>
            <w:tcBorders>
              <w:top w:val="nil"/>
              <w:bottom w:val="nil"/>
              <w:right w:val="nil"/>
            </w:tcBorders>
          </w:tcPr>
          <w:p w14:paraId="40682B09" w14:textId="77777777" w:rsidR="001E680B" w:rsidRPr="008D79A5" w:rsidRDefault="001E680B" w:rsidP="00DC1930">
            <w:pPr>
              <w:pStyle w:val="NormalWeb"/>
              <w:spacing w:after="240" w:afterAutospacing="0"/>
              <w:rPr>
                <w:color w:val="000000"/>
                <w:sz w:val="20"/>
                <w:szCs w:val="20"/>
              </w:rPr>
            </w:pPr>
            <w:r w:rsidRPr="008D79A5">
              <w:rPr>
                <w:color w:val="000000"/>
                <w:sz w:val="20"/>
                <w:szCs w:val="20"/>
              </w:rPr>
              <w:t>Afghanistan, Bangladesh, India, Nepal, Pakistan, Sri Lanka</w:t>
            </w:r>
          </w:p>
        </w:tc>
        <w:tc>
          <w:tcPr>
            <w:tcW w:w="5273" w:type="dxa"/>
            <w:tcBorders>
              <w:top w:val="nil"/>
              <w:bottom w:val="nil"/>
              <w:right w:val="nil"/>
            </w:tcBorders>
          </w:tcPr>
          <w:p w14:paraId="7747D999"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AFG, BGD, IND, LPK, NPL, PAK</w:t>
            </w:r>
          </w:p>
        </w:tc>
      </w:tr>
      <w:tr w:rsidR="001E680B" w:rsidRPr="008D79A5" w14:paraId="46760B2A" w14:textId="77777777" w:rsidTr="00DC1930">
        <w:tc>
          <w:tcPr>
            <w:tcW w:w="568" w:type="dxa"/>
            <w:tcBorders>
              <w:top w:val="nil"/>
              <w:left w:val="nil"/>
              <w:bottom w:val="nil"/>
            </w:tcBorders>
          </w:tcPr>
          <w:p w14:paraId="65BC8E13"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04</w:t>
            </w:r>
          </w:p>
        </w:tc>
        <w:tc>
          <w:tcPr>
            <w:tcW w:w="846" w:type="dxa"/>
            <w:tcBorders>
              <w:top w:val="nil"/>
              <w:bottom w:val="nil"/>
            </w:tcBorders>
          </w:tcPr>
          <w:p w14:paraId="0DA34A2B"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EAS</w:t>
            </w:r>
          </w:p>
        </w:tc>
        <w:tc>
          <w:tcPr>
            <w:tcW w:w="2385" w:type="dxa"/>
            <w:tcBorders>
              <w:top w:val="nil"/>
              <w:bottom w:val="nil"/>
              <w:right w:val="nil"/>
            </w:tcBorders>
          </w:tcPr>
          <w:p w14:paraId="4C61103D" w14:textId="77777777" w:rsidR="001E680B" w:rsidRPr="008D79A5" w:rsidRDefault="001E680B" w:rsidP="00DC1930">
            <w:pPr>
              <w:pStyle w:val="NormalWeb"/>
              <w:spacing w:after="240" w:afterAutospacing="0"/>
              <w:rPr>
                <w:color w:val="000000"/>
                <w:sz w:val="20"/>
                <w:szCs w:val="20"/>
              </w:rPr>
            </w:pPr>
            <w:r w:rsidRPr="008D79A5">
              <w:rPr>
                <w:color w:val="000000"/>
                <w:sz w:val="20"/>
                <w:szCs w:val="20"/>
              </w:rPr>
              <w:t>China, Korea, Japan</w:t>
            </w:r>
          </w:p>
        </w:tc>
        <w:tc>
          <w:tcPr>
            <w:tcW w:w="5273" w:type="dxa"/>
            <w:tcBorders>
              <w:top w:val="nil"/>
              <w:bottom w:val="nil"/>
              <w:right w:val="nil"/>
            </w:tcBorders>
          </w:tcPr>
          <w:p w14:paraId="42B8CBFA"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CHN, JPN, KOR</w:t>
            </w:r>
          </w:p>
        </w:tc>
      </w:tr>
      <w:tr w:rsidR="001E680B" w:rsidRPr="008D79A5" w14:paraId="620EE213" w14:textId="77777777" w:rsidTr="00DC1930">
        <w:tc>
          <w:tcPr>
            <w:tcW w:w="568" w:type="dxa"/>
            <w:tcBorders>
              <w:top w:val="nil"/>
              <w:left w:val="nil"/>
              <w:bottom w:val="nil"/>
            </w:tcBorders>
          </w:tcPr>
          <w:p w14:paraId="39971FD4"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05</w:t>
            </w:r>
          </w:p>
        </w:tc>
        <w:tc>
          <w:tcPr>
            <w:tcW w:w="846" w:type="dxa"/>
            <w:tcBorders>
              <w:top w:val="nil"/>
              <w:bottom w:val="nil"/>
            </w:tcBorders>
          </w:tcPr>
          <w:p w14:paraId="75ACCC1F"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PAN</w:t>
            </w:r>
          </w:p>
        </w:tc>
        <w:tc>
          <w:tcPr>
            <w:tcW w:w="2385" w:type="dxa"/>
            <w:tcBorders>
              <w:top w:val="nil"/>
              <w:bottom w:val="nil"/>
              <w:right w:val="nil"/>
            </w:tcBorders>
          </w:tcPr>
          <w:p w14:paraId="011FC5BD" w14:textId="77777777" w:rsidR="001E680B" w:rsidRPr="008D79A5" w:rsidRDefault="001E680B" w:rsidP="00DC1930">
            <w:pPr>
              <w:pStyle w:val="NormalWeb"/>
              <w:spacing w:after="240" w:afterAutospacing="0"/>
              <w:rPr>
                <w:color w:val="000000"/>
                <w:sz w:val="20"/>
                <w:szCs w:val="20"/>
              </w:rPr>
            </w:pPr>
            <w:r w:rsidRPr="008D79A5">
              <w:rPr>
                <w:color w:val="000000"/>
                <w:sz w:val="20"/>
                <w:szCs w:val="20"/>
              </w:rPr>
              <w:t>Australia, New Zealand</w:t>
            </w:r>
          </w:p>
        </w:tc>
        <w:tc>
          <w:tcPr>
            <w:tcW w:w="5273" w:type="dxa"/>
            <w:tcBorders>
              <w:top w:val="nil"/>
              <w:bottom w:val="nil"/>
              <w:right w:val="nil"/>
            </w:tcBorders>
          </w:tcPr>
          <w:p w14:paraId="3AF19C88"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AUS, NZL</w:t>
            </w:r>
          </w:p>
        </w:tc>
      </w:tr>
      <w:tr w:rsidR="001E680B" w:rsidRPr="008D79A5" w14:paraId="23A36722" w14:textId="77777777" w:rsidTr="00DC1930">
        <w:trPr>
          <w:trHeight w:val="95"/>
        </w:trPr>
        <w:tc>
          <w:tcPr>
            <w:tcW w:w="568" w:type="dxa"/>
            <w:tcBorders>
              <w:top w:val="nil"/>
              <w:left w:val="nil"/>
              <w:bottom w:val="nil"/>
            </w:tcBorders>
          </w:tcPr>
          <w:p w14:paraId="7003E1F2"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06</w:t>
            </w:r>
          </w:p>
        </w:tc>
        <w:tc>
          <w:tcPr>
            <w:tcW w:w="846" w:type="dxa"/>
            <w:tcBorders>
              <w:top w:val="nil"/>
              <w:bottom w:val="nil"/>
            </w:tcBorders>
          </w:tcPr>
          <w:p w14:paraId="5FFFE218"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SAF</w:t>
            </w:r>
          </w:p>
        </w:tc>
        <w:tc>
          <w:tcPr>
            <w:tcW w:w="2385" w:type="dxa"/>
            <w:tcBorders>
              <w:top w:val="nil"/>
              <w:bottom w:val="nil"/>
              <w:right w:val="nil"/>
            </w:tcBorders>
          </w:tcPr>
          <w:p w14:paraId="7691A32F" w14:textId="77777777" w:rsidR="001E680B" w:rsidRPr="008D79A5" w:rsidRDefault="001E680B" w:rsidP="00DC1930">
            <w:pPr>
              <w:pStyle w:val="NormalWeb"/>
              <w:spacing w:after="240" w:afterAutospacing="0"/>
              <w:rPr>
                <w:color w:val="000000"/>
                <w:sz w:val="20"/>
                <w:szCs w:val="20"/>
              </w:rPr>
            </w:pPr>
            <w:r w:rsidRPr="008D79A5">
              <w:rPr>
                <w:color w:val="000000"/>
                <w:sz w:val="20"/>
                <w:szCs w:val="20"/>
              </w:rPr>
              <w:t>Sub Saharan Africa</w:t>
            </w:r>
          </w:p>
        </w:tc>
        <w:tc>
          <w:tcPr>
            <w:tcW w:w="5273" w:type="dxa"/>
            <w:tcBorders>
              <w:top w:val="nil"/>
              <w:bottom w:val="nil"/>
              <w:right w:val="nil"/>
            </w:tcBorders>
          </w:tcPr>
          <w:p w14:paraId="4C2E3490"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AGO, BDI, BEN, BFA, BWA, CAF, CIV, CMR, COG, DJI, ETH, ERI, GAB, GHA, GIN, GMB, GNB, GNQ, KEN, LBR, LSO, MDG, MLI, MOZ, MWI, MUS, NAM, NER, NGA, RWA, SDN, SEN, SLE, SOM, SSD, SWZ, TCD, TGO, TZA, UGA, ZAF, ZMB, ZWE</w:t>
            </w:r>
          </w:p>
        </w:tc>
      </w:tr>
      <w:tr w:rsidR="001E680B" w:rsidRPr="00B837D7" w14:paraId="393ED4EA" w14:textId="77777777" w:rsidTr="00DC1930">
        <w:tc>
          <w:tcPr>
            <w:tcW w:w="568" w:type="dxa"/>
            <w:tcBorders>
              <w:top w:val="nil"/>
              <w:left w:val="nil"/>
              <w:bottom w:val="single" w:sz="18" w:space="0" w:color="auto"/>
            </w:tcBorders>
          </w:tcPr>
          <w:p w14:paraId="4EB84FA1"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07</w:t>
            </w:r>
          </w:p>
        </w:tc>
        <w:tc>
          <w:tcPr>
            <w:tcW w:w="846" w:type="dxa"/>
            <w:tcBorders>
              <w:top w:val="nil"/>
              <w:bottom w:val="single" w:sz="18" w:space="0" w:color="auto"/>
            </w:tcBorders>
          </w:tcPr>
          <w:p w14:paraId="0FD3A9E2" w14:textId="77777777" w:rsidR="001E680B" w:rsidRPr="008D79A5" w:rsidRDefault="001E680B" w:rsidP="00DC1930">
            <w:pPr>
              <w:pStyle w:val="NormalWeb"/>
              <w:spacing w:after="240" w:afterAutospacing="0"/>
              <w:jc w:val="both"/>
              <w:rPr>
                <w:color w:val="000000"/>
                <w:sz w:val="20"/>
                <w:szCs w:val="20"/>
              </w:rPr>
            </w:pPr>
            <w:r w:rsidRPr="008D79A5">
              <w:rPr>
                <w:color w:val="000000"/>
                <w:sz w:val="20"/>
                <w:szCs w:val="20"/>
              </w:rPr>
              <w:t>SAM</w:t>
            </w:r>
          </w:p>
        </w:tc>
        <w:tc>
          <w:tcPr>
            <w:tcW w:w="2385" w:type="dxa"/>
            <w:tcBorders>
              <w:top w:val="nil"/>
              <w:bottom w:val="single" w:sz="18" w:space="0" w:color="auto"/>
              <w:right w:val="nil"/>
            </w:tcBorders>
          </w:tcPr>
          <w:p w14:paraId="46290723" w14:textId="77777777" w:rsidR="001E680B" w:rsidRPr="008D79A5" w:rsidRDefault="001E680B" w:rsidP="00DC1930">
            <w:pPr>
              <w:pStyle w:val="NormalWeb"/>
              <w:spacing w:after="240" w:afterAutospacing="0"/>
              <w:rPr>
                <w:color w:val="000000"/>
                <w:sz w:val="20"/>
                <w:szCs w:val="20"/>
              </w:rPr>
            </w:pPr>
            <w:r w:rsidRPr="008D79A5">
              <w:rPr>
                <w:color w:val="000000"/>
                <w:sz w:val="20"/>
                <w:szCs w:val="20"/>
              </w:rPr>
              <w:t>South America</w:t>
            </w:r>
          </w:p>
        </w:tc>
        <w:tc>
          <w:tcPr>
            <w:tcW w:w="5273" w:type="dxa"/>
            <w:tcBorders>
              <w:top w:val="nil"/>
              <w:bottom w:val="single" w:sz="18" w:space="0" w:color="auto"/>
              <w:right w:val="nil"/>
            </w:tcBorders>
          </w:tcPr>
          <w:p w14:paraId="2F03A0DC" w14:textId="77777777" w:rsidR="001E680B" w:rsidRPr="008D79A5" w:rsidRDefault="001E680B" w:rsidP="00DC1930">
            <w:pPr>
              <w:pStyle w:val="NormalWeb"/>
              <w:spacing w:after="240" w:afterAutospacing="0"/>
              <w:jc w:val="both"/>
              <w:rPr>
                <w:color w:val="000000"/>
                <w:sz w:val="20"/>
                <w:szCs w:val="20"/>
                <w:lang w:val="it-IT"/>
              </w:rPr>
            </w:pPr>
            <w:r w:rsidRPr="008D79A5">
              <w:rPr>
                <w:color w:val="000000"/>
                <w:sz w:val="20"/>
                <w:szCs w:val="20"/>
                <w:lang w:val="it-IT"/>
              </w:rPr>
              <w:t>ARG, BOL, BRA, CHL, ECU, PRY, PER, URY</w:t>
            </w:r>
          </w:p>
        </w:tc>
      </w:tr>
    </w:tbl>
    <w:p w14:paraId="3A7AE94E" w14:textId="22DFE685" w:rsidR="001E680B" w:rsidRPr="00FF5A90" w:rsidRDefault="001E680B" w:rsidP="001E680B">
      <w:pPr>
        <w:spacing w:before="240" w:line="240" w:lineRule="auto"/>
        <w:rPr>
          <w:rFonts w:ascii="Times New Roman" w:hAnsi="Times New Roman" w:cs="Times New Roman"/>
          <w:b/>
          <w:bCs/>
          <w:sz w:val="18"/>
          <w:szCs w:val="18"/>
        </w:rPr>
      </w:pPr>
      <w:r w:rsidRPr="00FF5A90">
        <w:rPr>
          <w:rFonts w:ascii="Times New Roman" w:hAnsi="Times New Roman" w:cs="Times New Roman"/>
          <w:b/>
          <w:bCs/>
          <w:sz w:val="18"/>
          <w:szCs w:val="18"/>
        </w:rPr>
        <w:t>Table S</w:t>
      </w:r>
      <w:r w:rsidR="00917277" w:rsidRPr="00FF5A90">
        <w:rPr>
          <w:rFonts w:ascii="Times New Roman" w:hAnsi="Times New Roman" w:cs="Times New Roman"/>
          <w:b/>
          <w:bCs/>
          <w:sz w:val="18"/>
          <w:szCs w:val="18"/>
        </w:rPr>
        <w:t>4</w:t>
      </w:r>
      <w:r w:rsidRPr="00FF5A90">
        <w:rPr>
          <w:rFonts w:ascii="Times New Roman" w:hAnsi="Times New Roman" w:cs="Times New Roman"/>
          <w:b/>
          <w:bCs/>
          <w:sz w:val="18"/>
          <w:szCs w:val="18"/>
        </w:rPr>
        <w:t>. Global emissions of HCFCs</w:t>
      </w:r>
      <w:r w:rsidR="00C001A6" w:rsidRPr="00FF5A90">
        <w:rPr>
          <w:rFonts w:ascii="Times New Roman" w:hAnsi="Times New Roman" w:cs="Times New Roman"/>
          <w:b/>
          <w:bCs/>
          <w:sz w:val="18"/>
          <w:szCs w:val="18"/>
        </w:rPr>
        <w:t xml:space="preserve"> and</w:t>
      </w:r>
      <w:r w:rsidRPr="00FF5A90">
        <w:rPr>
          <w:rFonts w:ascii="Times New Roman" w:hAnsi="Times New Roman" w:cs="Times New Roman"/>
          <w:b/>
          <w:bCs/>
          <w:sz w:val="18"/>
          <w:szCs w:val="18"/>
        </w:rPr>
        <w:t xml:space="preserve"> HFCs (Gg/yr) from the AGAGE 12-box model</w:t>
      </w:r>
      <w:r w:rsidR="00FA3F65" w:rsidRPr="00FF5A90">
        <w:rPr>
          <w:rFonts w:ascii="Times New Roman" w:hAnsi="Times New Roman" w:cs="Times New Roman"/>
          <w:b/>
          <w:bCs/>
          <w:sz w:val="18"/>
          <w:szCs w:val="18"/>
        </w:rPr>
        <w:t xml:space="preserve"> </w:t>
      </w:r>
      <w:r w:rsidR="00FA3F65" w:rsidRPr="00FF5A90">
        <w:rPr>
          <w:rFonts w:ascii="Times New Roman" w:hAnsi="Times New Roman" w:cs="Times New Roman"/>
          <w:b/>
          <w:bCs/>
          <w:sz w:val="18"/>
          <w:szCs w:val="18"/>
        </w:rPr>
        <w:fldChar w:fldCharType="begin"/>
      </w:r>
      <w:r w:rsidR="00C67A2B" w:rsidRPr="00FF5A90">
        <w:rPr>
          <w:rFonts w:ascii="Times New Roman" w:hAnsi="Times New Roman" w:cs="Times New Roman"/>
          <w:b/>
          <w:bCs/>
          <w:sz w:val="18"/>
          <w:szCs w:val="18"/>
        </w:rPr>
        <w:instrText xml:space="preserve"> ADDIN EN.CITE &lt;EndNote&gt;&lt;Cite&gt;&lt;Author&gt;Western&lt;/Author&gt;&lt;Year&gt;2025&lt;/Year&gt;&lt;RecNum&gt;172&lt;/RecNum&gt;&lt;DisplayText&gt;(Western et al., 2025)&lt;/DisplayText&gt;&lt;record&gt;&lt;rec-number&gt;172&lt;/rec-number&gt;&lt;foreign-keys&gt;&lt;key app="EN" db-id="prtxpzvtkaat9ce2fe5xwwped25xefdzxvfp" timestamp="1771259082"&gt;172&lt;/key&gt;&lt;/foreign-keys&gt;&lt;ref-type name="Journal Article"&gt;17&lt;/ref-type&gt;&lt;contributors&gt;&lt;authors&gt;&lt;author&gt;Western, L. M.&lt;/author&gt;&lt;author&gt;Rigby, M.&lt;/author&gt;&lt;author&gt;Mühle, J.&lt;/author&gt;&lt;author&gt;Krummel, P. B.&lt;/author&gt;&lt;author&gt;Lunder, C. R.&lt;/author&gt;&lt;author&gt;O&amp;apos;Doherty, S.&lt;/author&gt;&lt;author&gt;Reimann, S.&lt;/author&gt;&lt;author&gt;Vollmer, M. K.&lt;/author&gt;&lt;author&gt;Young, D.&lt;/author&gt;&lt;author&gt;Adam, B.&lt;/author&gt;&lt;author&gt;Fraser, P. J.&lt;/author&gt;&lt;author&gt;Ganesan, A. L.&lt;/author&gt;&lt;author&gt;Harth, C. M.&lt;/author&gt;&lt;author&gt;Hermansen, O.&lt;/author&gt;&lt;author&gt;Kim, J.&lt;/author&gt;&lt;author&gt;Langenfelds, R. L.&lt;/author&gt;&lt;author&gt;Loh, Z. M.&lt;/author&gt;&lt;author&gt;Mitrevski, B.&lt;/author&gt;&lt;author&gt;Pitt, J. R.&lt;/author&gt;&lt;author&gt;Salameh, P. K.&lt;/author&gt;&lt;author&gt;Schmidt, R.&lt;/author&gt;&lt;author&gt;Stanley, K.&lt;/author&gt;&lt;author&gt;Stavert, A. R.&lt;/author&gt;&lt;author&gt;Wang, H. J.&lt;/author&gt;&lt;author&gt;Weiss, R. F.&lt;/author&gt;&lt;author&gt;Prinn, R. G.&lt;/author&gt;&lt;/authors&gt;&lt;/contributors&gt;&lt;titles&gt;&lt;title&gt;Global emissions and abundances of chemically and radiatively important trace gases from the AGAGE network&lt;/title&gt;&lt;secondary-title&gt;Earth Syst. Sci. Data&lt;/secondary-title&gt;&lt;/titles&gt;&lt;periodical&gt;&lt;full-title&gt;Earth Syst. Sci. Data&lt;/full-title&gt;&lt;/periodical&gt;&lt;pages&gt;6557-6582&lt;/pages&gt;&lt;volume&gt;17&lt;/volume&gt;&lt;number&gt;11&lt;/number&gt;&lt;dates&gt;&lt;year&gt;2025&lt;/year&gt;&lt;/dates&gt;&lt;publisher&gt;Copernicus Publications&lt;/publisher&gt;&lt;isbn&gt;1866-3516&lt;/isbn&gt;&lt;urls&gt;&lt;related-urls&gt;&lt;url&gt;https://essd.copernicus.org/articles/17/6557/2025/&lt;/url&gt;&lt;/related-urls&gt;&lt;/urls&gt;&lt;electronic-resource-num&gt;10.5194/essd-17-6557-2025&lt;/electronic-resource-num&gt;&lt;/record&gt;&lt;/Cite&gt;&lt;/EndNote&gt;</w:instrText>
      </w:r>
      <w:r w:rsidR="00FA3F65" w:rsidRPr="00FF5A90">
        <w:rPr>
          <w:rFonts w:ascii="Times New Roman" w:hAnsi="Times New Roman" w:cs="Times New Roman"/>
          <w:b/>
          <w:bCs/>
          <w:sz w:val="18"/>
          <w:szCs w:val="18"/>
        </w:rPr>
        <w:fldChar w:fldCharType="separate"/>
      </w:r>
      <w:r w:rsidR="00C67A2B" w:rsidRPr="00FF5A90">
        <w:rPr>
          <w:rFonts w:ascii="Times New Roman" w:hAnsi="Times New Roman" w:cs="Times New Roman"/>
          <w:b/>
          <w:bCs/>
          <w:noProof/>
          <w:sz w:val="18"/>
          <w:szCs w:val="18"/>
        </w:rPr>
        <w:t>(Western et al., 2025)</w:t>
      </w:r>
      <w:r w:rsidR="00FA3F65" w:rsidRPr="00FF5A90">
        <w:rPr>
          <w:rFonts w:ascii="Times New Roman" w:hAnsi="Times New Roman" w:cs="Times New Roman"/>
          <w:b/>
          <w:bCs/>
          <w:sz w:val="18"/>
          <w:szCs w:val="18"/>
        </w:rPr>
        <w:fldChar w:fldCharType="end"/>
      </w:r>
      <w:r w:rsidR="00FA3F65" w:rsidRPr="00FF5A90">
        <w:rPr>
          <w:rFonts w:ascii="Times New Roman" w:hAnsi="Times New Roman" w:cs="Times New Roman"/>
          <w:b/>
          <w:bCs/>
          <w:sz w:val="18"/>
          <w:szCs w:val="18"/>
        </w:rPr>
        <w:t>,</w:t>
      </w:r>
      <w:r w:rsidRPr="00FF5A90">
        <w:rPr>
          <w:rFonts w:ascii="Times New Roman" w:hAnsi="Times New Roman" w:cs="Times New Roman"/>
          <w:b/>
          <w:bCs/>
          <w:sz w:val="18"/>
          <w:szCs w:val="18"/>
        </w:rPr>
        <w:t xml:space="preserve">and HFO-1234yf emissions </w:t>
      </w:r>
      <w:r w:rsidR="00C001A6" w:rsidRPr="00FF5A90">
        <w:rPr>
          <w:rFonts w:ascii="Times New Roman" w:hAnsi="Times New Roman" w:cs="Times New Roman"/>
          <w:b/>
          <w:bCs/>
          <w:sz w:val="18"/>
          <w:szCs w:val="18"/>
        </w:rPr>
        <w:t xml:space="preserve">(this work) </w:t>
      </w:r>
      <w:r w:rsidRPr="00FF5A90">
        <w:rPr>
          <w:rFonts w:ascii="Times New Roman" w:hAnsi="Times New Roman" w:cs="Times New Roman"/>
          <w:b/>
          <w:bCs/>
          <w:sz w:val="18"/>
          <w:szCs w:val="18"/>
        </w:rPr>
        <w:t>in 2023 and 2024.</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0"/>
        <w:gridCol w:w="2901"/>
        <w:gridCol w:w="3515"/>
      </w:tblGrid>
      <w:tr w:rsidR="001E680B" w:rsidRPr="008D79A5" w14:paraId="09EC5B8E" w14:textId="77777777" w:rsidTr="00DC1930">
        <w:tc>
          <w:tcPr>
            <w:tcW w:w="1446" w:type="pct"/>
            <w:tcBorders>
              <w:top w:val="single" w:sz="18" w:space="0" w:color="auto"/>
              <w:bottom w:val="single" w:sz="18" w:space="0" w:color="auto"/>
            </w:tcBorders>
          </w:tcPr>
          <w:p w14:paraId="18551614" w14:textId="77777777" w:rsidR="001E680B" w:rsidRPr="008D79A5" w:rsidRDefault="001E680B" w:rsidP="00DC1930">
            <w:pPr>
              <w:spacing w:before="100" w:beforeAutospacing="1" w:after="100" w:afterAutospacing="1" w:line="240" w:lineRule="auto"/>
              <w:jc w:val="both"/>
              <w:rPr>
                <w:rFonts w:ascii="Times New Roman" w:hAnsi="Times New Roman" w:cs="Times New Roman"/>
                <w:b/>
                <w:bCs/>
                <w:sz w:val="20"/>
                <w:szCs w:val="20"/>
              </w:rPr>
            </w:pPr>
            <w:r w:rsidRPr="008D79A5">
              <w:rPr>
                <w:rFonts w:ascii="Times New Roman" w:hAnsi="Times New Roman" w:cs="Times New Roman"/>
                <w:b/>
                <w:bCs/>
                <w:sz w:val="20"/>
                <w:szCs w:val="20"/>
              </w:rPr>
              <w:t>Species</w:t>
            </w:r>
          </w:p>
        </w:tc>
        <w:tc>
          <w:tcPr>
            <w:tcW w:w="1607" w:type="pct"/>
            <w:tcBorders>
              <w:top w:val="single" w:sz="18" w:space="0" w:color="auto"/>
              <w:bottom w:val="single" w:sz="18" w:space="0" w:color="auto"/>
            </w:tcBorders>
          </w:tcPr>
          <w:p w14:paraId="133CAE59" w14:textId="77777777" w:rsidR="001E680B" w:rsidRPr="008D79A5" w:rsidRDefault="001E680B" w:rsidP="00DC1930">
            <w:pPr>
              <w:spacing w:before="100" w:beforeAutospacing="1" w:after="100" w:afterAutospacing="1" w:line="240" w:lineRule="auto"/>
              <w:rPr>
                <w:rFonts w:ascii="Times New Roman" w:hAnsi="Times New Roman" w:cs="Times New Roman"/>
                <w:b/>
                <w:bCs/>
                <w:sz w:val="20"/>
                <w:szCs w:val="20"/>
              </w:rPr>
            </w:pPr>
            <w:r w:rsidRPr="008D79A5">
              <w:rPr>
                <w:rFonts w:ascii="Times New Roman" w:hAnsi="Times New Roman" w:cs="Times New Roman"/>
                <w:b/>
                <w:bCs/>
                <w:sz w:val="20"/>
                <w:szCs w:val="20"/>
              </w:rPr>
              <w:t>2023 (Gg/yr)</w:t>
            </w:r>
          </w:p>
        </w:tc>
        <w:tc>
          <w:tcPr>
            <w:tcW w:w="1947" w:type="pct"/>
            <w:tcBorders>
              <w:top w:val="single" w:sz="18" w:space="0" w:color="auto"/>
              <w:bottom w:val="single" w:sz="18" w:space="0" w:color="auto"/>
            </w:tcBorders>
          </w:tcPr>
          <w:p w14:paraId="19F93ED6" w14:textId="77777777" w:rsidR="001E680B" w:rsidRPr="008D79A5" w:rsidRDefault="001E680B" w:rsidP="00DC1930">
            <w:pPr>
              <w:spacing w:before="100" w:beforeAutospacing="1" w:after="100" w:afterAutospacing="1" w:line="240" w:lineRule="auto"/>
              <w:rPr>
                <w:rFonts w:ascii="Times New Roman" w:hAnsi="Times New Roman" w:cs="Times New Roman"/>
                <w:b/>
                <w:bCs/>
                <w:sz w:val="20"/>
                <w:szCs w:val="20"/>
              </w:rPr>
            </w:pPr>
            <w:r w:rsidRPr="008D79A5">
              <w:rPr>
                <w:rFonts w:ascii="Times New Roman" w:hAnsi="Times New Roman" w:cs="Times New Roman"/>
                <w:b/>
                <w:bCs/>
                <w:sz w:val="20"/>
                <w:szCs w:val="20"/>
              </w:rPr>
              <w:t>2024 (Gg/yr)</w:t>
            </w:r>
          </w:p>
        </w:tc>
      </w:tr>
      <w:tr w:rsidR="001E680B" w:rsidRPr="008D79A5" w14:paraId="3478A5DC" w14:textId="77777777" w:rsidTr="00DC1930">
        <w:tc>
          <w:tcPr>
            <w:tcW w:w="1446" w:type="pct"/>
            <w:tcBorders>
              <w:top w:val="single" w:sz="18" w:space="0" w:color="auto"/>
            </w:tcBorders>
          </w:tcPr>
          <w:p w14:paraId="4B8118D2" w14:textId="77777777" w:rsidR="001E680B" w:rsidRPr="008D79A5" w:rsidRDefault="001E680B" w:rsidP="00DC1930">
            <w:pPr>
              <w:spacing w:before="100" w:beforeAutospacing="1" w:after="100" w:afterAutospacing="1" w:line="240" w:lineRule="auto"/>
              <w:rPr>
                <w:rFonts w:ascii="Times New Roman" w:hAnsi="Times New Roman" w:cs="Times New Roman"/>
                <w:b/>
                <w:bCs/>
                <w:sz w:val="20"/>
                <w:szCs w:val="20"/>
              </w:rPr>
            </w:pPr>
            <w:r w:rsidRPr="008D79A5">
              <w:rPr>
                <w:rFonts w:ascii="Times New Roman" w:hAnsi="Times New Roman" w:cs="Times New Roman"/>
                <w:b/>
                <w:bCs/>
                <w:sz w:val="20"/>
                <w:szCs w:val="20"/>
              </w:rPr>
              <w:t>HCFC-123</w:t>
            </w:r>
          </w:p>
        </w:tc>
        <w:tc>
          <w:tcPr>
            <w:tcW w:w="1607" w:type="pct"/>
            <w:tcBorders>
              <w:top w:val="single" w:sz="18" w:space="0" w:color="auto"/>
            </w:tcBorders>
            <w:vAlign w:val="bottom"/>
          </w:tcPr>
          <w:p w14:paraId="32A22002"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sz w:val="20"/>
                <w:szCs w:val="20"/>
              </w:rPr>
              <w:t>4.0</w:t>
            </w:r>
          </w:p>
        </w:tc>
        <w:tc>
          <w:tcPr>
            <w:tcW w:w="1947" w:type="pct"/>
            <w:tcBorders>
              <w:top w:val="single" w:sz="18" w:space="0" w:color="auto"/>
            </w:tcBorders>
            <w:vAlign w:val="bottom"/>
          </w:tcPr>
          <w:p w14:paraId="10B2BFE6"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sz w:val="20"/>
                <w:szCs w:val="20"/>
              </w:rPr>
              <w:t>4.0</w:t>
            </w:r>
          </w:p>
        </w:tc>
      </w:tr>
      <w:tr w:rsidR="001E680B" w:rsidRPr="008D79A5" w14:paraId="38B10292" w14:textId="77777777" w:rsidTr="00DC1930">
        <w:tc>
          <w:tcPr>
            <w:tcW w:w="1446" w:type="pct"/>
          </w:tcPr>
          <w:p w14:paraId="137FB175" w14:textId="77777777" w:rsidR="001E680B" w:rsidRPr="008D79A5" w:rsidRDefault="001E680B" w:rsidP="00DC1930">
            <w:pPr>
              <w:spacing w:before="100" w:beforeAutospacing="1" w:after="100" w:afterAutospacing="1" w:line="240" w:lineRule="auto"/>
              <w:rPr>
                <w:rFonts w:ascii="Times New Roman" w:hAnsi="Times New Roman" w:cs="Times New Roman"/>
                <w:b/>
                <w:bCs/>
                <w:sz w:val="20"/>
                <w:szCs w:val="20"/>
              </w:rPr>
            </w:pPr>
            <w:r w:rsidRPr="008D79A5">
              <w:rPr>
                <w:rFonts w:ascii="Times New Roman" w:hAnsi="Times New Roman" w:cs="Times New Roman"/>
                <w:b/>
                <w:bCs/>
                <w:sz w:val="20"/>
                <w:szCs w:val="20"/>
              </w:rPr>
              <w:t>HCFC-124</w:t>
            </w:r>
          </w:p>
        </w:tc>
        <w:tc>
          <w:tcPr>
            <w:tcW w:w="1607" w:type="pct"/>
            <w:vAlign w:val="bottom"/>
          </w:tcPr>
          <w:p w14:paraId="24C78263"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color w:val="000000"/>
                <w:sz w:val="20"/>
                <w:szCs w:val="20"/>
              </w:rPr>
              <w:t>3.3</w:t>
            </w:r>
          </w:p>
        </w:tc>
        <w:tc>
          <w:tcPr>
            <w:tcW w:w="1947" w:type="pct"/>
            <w:vAlign w:val="bottom"/>
          </w:tcPr>
          <w:p w14:paraId="14E1E23D"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color w:val="000000"/>
                <w:sz w:val="20"/>
                <w:szCs w:val="20"/>
              </w:rPr>
              <w:t>2.7</w:t>
            </w:r>
          </w:p>
        </w:tc>
      </w:tr>
      <w:tr w:rsidR="001E680B" w:rsidRPr="008D79A5" w14:paraId="41E32B09" w14:textId="77777777" w:rsidTr="00DC1930">
        <w:tc>
          <w:tcPr>
            <w:tcW w:w="1446" w:type="pct"/>
          </w:tcPr>
          <w:p w14:paraId="79BC6EA8" w14:textId="77777777" w:rsidR="001E680B" w:rsidRPr="008D79A5" w:rsidRDefault="001E680B" w:rsidP="00DC1930">
            <w:pPr>
              <w:spacing w:before="100" w:beforeAutospacing="1" w:after="100" w:afterAutospacing="1" w:line="240" w:lineRule="auto"/>
              <w:rPr>
                <w:rFonts w:ascii="Times New Roman" w:hAnsi="Times New Roman" w:cs="Times New Roman"/>
                <w:b/>
                <w:bCs/>
                <w:sz w:val="20"/>
                <w:szCs w:val="20"/>
              </w:rPr>
            </w:pPr>
            <w:r w:rsidRPr="008D79A5">
              <w:rPr>
                <w:rFonts w:ascii="Times New Roman" w:hAnsi="Times New Roman" w:cs="Times New Roman"/>
                <w:b/>
                <w:bCs/>
                <w:sz w:val="20"/>
                <w:szCs w:val="20"/>
              </w:rPr>
              <w:t>HCFC-133a</w:t>
            </w:r>
          </w:p>
        </w:tc>
        <w:tc>
          <w:tcPr>
            <w:tcW w:w="1607" w:type="pct"/>
            <w:vAlign w:val="bottom"/>
          </w:tcPr>
          <w:p w14:paraId="4CEE1825"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color w:val="000000"/>
                <w:sz w:val="20"/>
                <w:szCs w:val="20"/>
              </w:rPr>
              <w:t>2.2</w:t>
            </w:r>
          </w:p>
        </w:tc>
        <w:tc>
          <w:tcPr>
            <w:tcW w:w="1947" w:type="pct"/>
            <w:vAlign w:val="bottom"/>
          </w:tcPr>
          <w:p w14:paraId="652119AF" w14:textId="77777777" w:rsidR="001E680B" w:rsidRPr="008D79A5" w:rsidRDefault="001E680B" w:rsidP="00DC1930">
            <w:pPr>
              <w:spacing w:before="100" w:beforeAutospacing="1" w:after="100" w:afterAutospacing="1" w:line="240" w:lineRule="auto"/>
              <w:jc w:val="both"/>
              <w:rPr>
                <w:rFonts w:ascii="Times New Roman" w:hAnsi="Times New Roman" w:cs="Times New Roman"/>
                <w:sz w:val="20"/>
                <w:szCs w:val="20"/>
              </w:rPr>
            </w:pPr>
            <w:r w:rsidRPr="008D79A5">
              <w:rPr>
                <w:rFonts w:ascii="Times New Roman" w:hAnsi="Times New Roman" w:cs="Times New Roman"/>
                <w:color w:val="000000"/>
                <w:sz w:val="20"/>
                <w:szCs w:val="20"/>
              </w:rPr>
              <w:t>2.1</w:t>
            </w:r>
          </w:p>
        </w:tc>
      </w:tr>
      <w:tr w:rsidR="001E680B" w:rsidRPr="008D79A5" w14:paraId="6A486526" w14:textId="77777777" w:rsidTr="00DC1930">
        <w:tc>
          <w:tcPr>
            <w:tcW w:w="1446" w:type="pct"/>
          </w:tcPr>
          <w:p w14:paraId="42F6D7A7" w14:textId="77777777" w:rsidR="001E680B" w:rsidRPr="008D79A5" w:rsidRDefault="001E680B" w:rsidP="00DC1930">
            <w:pPr>
              <w:spacing w:before="100" w:beforeAutospacing="1" w:after="100" w:afterAutospacing="1" w:line="240" w:lineRule="auto"/>
              <w:rPr>
                <w:rFonts w:ascii="Times New Roman" w:hAnsi="Times New Roman" w:cs="Times New Roman"/>
                <w:b/>
                <w:bCs/>
                <w:sz w:val="20"/>
                <w:szCs w:val="20"/>
              </w:rPr>
            </w:pPr>
            <w:r w:rsidRPr="008D79A5">
              <w:rPr>
                <w:rFonts w:ascii="Times New Roman" w:hAnsi="Times New Roman" w:cs="Times New Roman"/>
                <w:b/>
                <w:bCs/>
                <w:sz w:val="20"/>
                <w:szCs w:val="20"/>
              </w:rPr>
              <w:t>HFC-134a</w:t>
            </w:r>
          </w:p>
        </w:tc>
        <w:tc>
          <w:tcPr>
            <w:tcW w:w="1607" w:type="pct"/>
            <w:vAlign w:val="bottom"/>
          </w:tcPr>
          <w:p w14:paraId="12BC0447"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color w:val="000000"/>
                <w:sz w:val="20"/>
                <w:szCs w:val="20"/>
              </w:rPr>
              <w:t>264.2</w:t>
            </w:r>
          </w:p>
        </w:tc>
        <w:tc>
          <w:tcPr>
            <w:tcW w:w="1947" w:type="pct"/>
            <w:vAlign w:val="bottom"/>
          </w:tcPr>
          <w:p w14:paraId="51FCCCC4"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color w:val="000000"/>
                <w:sz w:val="20"/>
                <w:szCs w:val="20"/>
              </w:rPr>
              <w:t>269.9</w:t>
            </w:r>
          </w:p>
        </w:tc>
      </w:tr>
      <w:tr w:rsidR="001E680B" w:rsidRPr="008D79A5" w14:paraId="3F8E0A16" w14:textId="77777777" w:rsidTr="00DC1930">
        <w:tc>
          <w:tcPr>
            <w:tcW w:w="1446" w:type="pct"/>
          </w:tcPr>
          <w:p w14:paraId="765D5CDC" w14:textId="77777777" w:rsidR="001E680B" w:rsidRPr="008D79A5" w:rsidRDefault="001E680B" w:rsidP="00DC1930">
            <w:pPr>
              <w:spacing w:before="100" w:beforeAutospacing="1" w:after="100" w:afterAutospacing="1" w:line="240" w:lineRule="auto"/>
              <w:rPr>
                <w:rFonts w:ascii="Times New Roman" w:hAnsi="Times New Roman" w:cs="Times New Roman"/>
                <w:b/>
                <w:bCs/>
                <w:sz w:val="20"/>
                <w:szCs w:val="20"/>
              </w:rPr>
            </w:pPr>
            <w:r w:rsidRPr="008D79A5">
              <w:rPr>
                <w:rFonts w:ascii="Times New Roman" w:hAnsi="Times New Roman" w:cs="Times New Roman"/>
                <w:b/>
                <w:bCs/>
                <w:sz w:val="20"/>
                <w:szCs w:val="20"/>
              </w:rPr>
              <w:t>HFC-143a</w:t>
            </w:r>
          </w:p>
        </w:tc>
        <w:tc>
          <w:tcPr>
            <w:tcW w:w="1607" w:type="pct"/>
            <w:vAlign w:val="bottom"/>
          </w:tcPr>
          <w:p w14:paraId="76C06000"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color w:val="000000"/>
                <w:sz w:val="20"/>
                <w:szCs w:val="20"/>
              </w:rPr>
              <w:t>35.2</w:t>
            </w:r>
          </w:p>
        </w:tc>
        <w:tc>
          <w:tcPr>
            <w:tcW w:w="1947" w:type="pct"/>
            <w:vAlign w:val="bottom"/>
          </w:tcPr>
          <w:p w14:paraId="4D2FD869"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color w:val="000000"/>
                <w:sz w:val="20"/>
                <w:szCs w:val="20"/>
              </w:rPr>
              <w:t>36.1</w:t>
            </w:r>
          </w:p>
        </w:tc>
      </w:tr>
      <w:tr w:rsidR="001E680B" w:rsidRPr="008D79A5" w14:paraId="2FC25E3F" w14:textId="77777777" w:rsidTr="00DC1930">
        <w:tc>
          <w:tcPr>
            <w:tcW w:w="1446" w:type="pct"/>
          </w:tcPr>
          <w:p w14:paraId="4725D4F2" w14:textId="77777777" w:rsidR="001E680B" w:rsidRPr="008D79A5" w:rsidRDefault="001E680B" w:rsidP="00DC1930">
            <w:pPr>
              <w:spacing w:before="100" w:beforeAutospacing="1" w:after="100" w:afterAutospacing="1" w:line="240" w:lineRule="auto"/>
              <w:rPr>
                <w:rFonts w:ascii="Times New Roman" w:hAnsi="Times New Roman" w:cs="Times New Roman"/>
                <w:b/>
                <w:bCs/>
                <w:sz w:val="20"/>
                <w:szCs w:val="20"/>
              </w:rPr>
            </w:pPr>
            <w:r w:rsidRPr="008D79A5">
              <w:rPr>
                <w:rFonts w:ascii="Times New Roman" w:hAnsi="Times New Roman" w:cs="Times New Roman"/>
                <w:b/>
                <w:bCs/>
                <w:sz w:val="20"/>
                <w:szCs w:val="20"/>
              </w:rPr>
              <w:t>HFC-227ea</w:t>
            </w:r>
          </w:p>
        </w:tc>
        <w:tc>
          <w:tcPr>
            <w:tcW w:w="1607" w:type="pct"/>
            <w:vAlign w:val="bottom"/>
          </w:tcPr>
          <w:p w14:paraId="1167116C"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color w:val="000000"/>
                <w:sz w:val="20"/>
                <w:szCs w:val="20"/>
              </w:rPr>
              <w:t>7.6</w:t>
            </w:r>
          </w:p>
        </w:tc>
        <w:tc>
          <w:tcPr>
            <w:tcW w:w="1947" w:type="pct"/>
            <w:vAlign w:val="bottom"/>
          </w:tcPr>
          <w:p w14:paraId="3A1416FB"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color w:val="000000"/>
                <w:sz w:val="20"/>
                <w:szCs w:val="20"/>
              </w:rPr>
              <w:t>7.6</w:t>
            </w:r>
          </w:p>
        </w:tc>
      </w:tr>
      <w:tr w:rsidR="001E680B" w:rsidRPr="008D79A5" w14:paraId="2FEB826C" w14:textId="77777777" w:rsidTr="00DC1930">
        <w:tc>
          <w:tcPr>
            <w:tcW w:w="1446" w:type="pct"/>
          </w:tcPr>
          <w:p w14:paraId="4EA6602B" w14:textId="77777777" w:rsidR="001E680B" w:rsidRPr="008D79A5" w:rsidRDefault="001E680B" w:rsidP="00DC1930">
            <w:pPr>
              <w:spacing w:before="100" w:beforeAutospacing="1" w:after="100" w:afterAutospacing="1" w:line="240" w:lineRule="auto"/>
              <w:rPr>
                <w:rFonts w:ascii="Times New Roman" w:hAnsi="Times New Roman" w:cs="Times New Roman"/>
                <w:b/>
                <w:bCs/>
                <w:sz w:val="20"/>
                <w:szCs w:val="20"/>
              </w:rPr>
            </w:pPr>
            <w:r w:rsidRPr="008D79A5">
              <w:rPr>
                <w:rFonts w:ascii="Times New Roman" w:hAnsi="Times New Roman" w:cs="Times New Roman"/>
                <w:b/>
                <w:bCs/>
                <w:sz w:val="20"/>
                <w:szCs w:val="20"/>
              </w:rPr>
              <w:t>HFC-245fa</w:t>
            </w:r>
          </w:p>
        </w:tc>
        <w:tc>
          <w:tcPr>
            <w:tcW w:w="1607" w:type="pct"/>
            <w:vAlign w:val="bottom"/>
          </w:tcPr>
          <w:p w14:paraId="5FC41DD2"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color w:val="000000"/>
                <w:sz w:val="20"/>
                <w:szCs w:val="20"/>
              </w:rPr>
              <w:t>13.5</w:t>
            </w:r>
          </w:p>
        </w:tc>
        <w:tc>
          <w:tcPr>
            <w:tcW w:w="1947" w:type="pct"/>
            <w:vAlign w:val="bottom"/>
          </w:tcPr>
          <w:p w14:paraId="01B8F715"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color w:val="000000"/>
                <w:sz w:val="20"/>
                <w:szCs w:val="20"/>
              </w:rPr>
              <w:t>13.4</w:t>
            </w:r>
          </w:p>
        </w:tc>
      </w:tr>
      <w:tr w:rsidR="001E680B" w:rsidRPr="008D79A5" w14:paraId="43498717" w14:textId="77777777" w:rsidTr="00DC1930">
        <w:tc>
          <w:tcPr>
            <w:tcW w:w="1446" w:type="pct"/>
          </w:tcPr>
          <w:p w14:paraId="78F74000" w14:textId="77777777" w:rsidR="001E680B" w:rsidRPr="008D79A5" w:rsidRDefault="001E680B" w:rsidP="00DC1930">
            <w:pPr>
              <w:spacing w:before="100" w:beforeAutospacing="1" w:after="100" w:afterAutospacing="1" w:line="240" w:lineRule="auto"/>
              <w:rPr>
                <w:rFonts w:ascii="Times New Roman" w:hAnsi="Times New Roman" w:cs="Times New Roman"/>
                <w:b/>
                <w:bCs/>
                <w:sz w:val="20"/>
                <w:szCs w:val="20"/>
              </w:rPr>
            </w:pPr>
            <w:r w:rsidRPr="008D79A5">
              <w:rPr>
                <w:rFonts w:ascii="Times New Roman" w:hAnsi="Times New Roman" w:cs="Times New Roman"/>
                <w:b/>
                <w:bCs/>
                <w:sz w:val="20"/>
                <w:szCs w:val="20"/>
              </w:rPr>
              <w:t>HFC-365mfc</w:t>
            </w:r>
          </w:p>
        </w:tc>
        <w:tc>
          <w:tcPr>
            <w:tcW w:w="1607" w:type="pct"/>
            <w:vAlign w:val="bottom"/>
          </w:tcPr>
          <w:p w14:paraId="405F3DE1"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color w:val="000000"/>
                <w:sz w:val="20"/>
                <w:szCs w:val="20"/>
              </w:rPr>
              <w:t>3.0</w:t>
            </w:r>
          </w:p>
        </w:tc>
        <w:tc>
          <w:tcPr>
            <w:tcW w:w="1947" w:type="pct"/>
            <w:vAlign w:val="bottom"/>
          </w:tcPr>
          <w:p w14:paraId="20D5C093" w14:textId="1D0F64BA"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color w:val="000000"/>
                <w:sz w:val="20"/>
                <w:szCs w:val="20"/>
              </w:rPr>
              <w:t>2.</w:t>
            </w:r>
            <w:r w:rsidR="002D16B8" w:rsidRPr="008D79A5">
              <w:rPr>
                <w:rFonts w:ascii="Times New Roman" w:hAnsi="Times New Roman" w:cs="Times New Roman"/>
                <w:color w:val="000000"/>
                <w:sz w:val="20"/>
                <w:szCs w:val="20"/>
              </w:rPr>
              <w:t>4</w:t>
            </w:r>
          </w:p>
        </w:tc>
      </w:tr>
      <w:tr w:rsidR="001E680B" w:rsidRPr="008D79A5" w14:paraId="3CCB4889" w14:textId="77777777" w:rsidTr="00140D97">
        <w:trPr>
          <w:trHeight w:val="56"/>
        </w:trPr>
        <w:tc>
          <w:tcPr>
            <w:tcW w:w="1446" w:type="pct"/>
          </w:tcPr>
          <w:p w14:paraId="76D06654" w14:textId="77777777" w:rsidR="001E680B" w:rsidRPr="008D79A5" w:rsidRDefault="001E680B" w:rsidP="00DC1930">
            <w:pPr>
              <w:spacing w:before="100" w:beforeAutospacing="1" w:after="100" w:afterAutospacing="1" w:line="240" w:lineRule="auto"/>
              <w:rPr>
                <w:rFonts w:ascii="Times New Roman" w:hAnsi="Times New Roman" w:cs="Times New Roman"/>
                <w:b/>
                <w:bCs/>
                <w:sz w:val="20"/>
                <w:szCs w:val="20"/>
              </w:rPr>
            </w:pPr>
            <w:r w:rsidRPr="008D79A5">
              <w:rPr>
                <w:rFonts w:ascii="Times New Roman" w:hAnsi="Times New Roman" w:cs="Times New Roman"/>
                <w:b/>
                <w:bCs/>
                <w:sz w:val="20"/>
                <w:szCs w:val="20"/>
              </w:rPr>
              <w:t>HFC-43-10mee</w:t>
            </w:r>
          </w:p>
        </w:tc>
        <w:tc>
          <w:tcPr>
            <w:tcW w:w="1607" w:type="pct"/>
            <w:vAlign w:val="bottom"/>
          </w:tcPr>
          <w:p w14:paraId="33F290B7"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color w:val="000000"/>
                <w:sz w:val="20"/>
                <w:szCs w:val="20"/>
              </w:rPr>
              <w:t>0.7</w:t>
            </w:r>
          </w:p>
        </w:tc>
        <w:tc>
          <w:tcPr>
            <w:tcW w:w="1947" w:type="pct"/>
            <w:vAlign w:val="bottom"/>
          </w:tcPr>
          <w:p w14:paraId="7BA67B0B"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color w:val="000000"/>
                <w:sz w:val="20"/>
                <w:szCs w:val="20"/>
              </w:rPr>
              <w:t>0.7</w:t>
            </w:r>
          </w:p>
        </w:tc>
      </w:tr>
      <w:tr w:rsidR="001E680B" w:rsidRPr="008D79A5" w14:paraId="3FE6D574" w14:textId="77777777" w:rsidTr="00DC1930">
        <w:tc>
          <w:tcPr>
            <w:tcW w:w="1446" w:type="pct"/>
            <w:tcBorders>
              <w:bottom w:val="single" w:sz="18" w:space="0" w:color="auto"/>
            </w:tcBorders>
          </w:tcPr>
          <w:p w14:paraId="5DAA8D34" w14:textId="77777777" w:rsidR="001E680B" w:rsidRPr="008D79A5" w:rsidRDefault="001E680B" w:rsidP="00DC1930">
            <w:pPr>
              <w:spacing w:before="100" w:beforeAutospacing="1" w:after="100" w:afterAutospacing="1" w:line="240" w:lineRule="auto"/>
              <w:rPr>
                <w:rFonts w:ascii="Times New Roman" w:hAnsi="Times New Roman" w:cs="Times New Roman"/>
                <w:b/>
                <w:bCs/>
                <w:sz w:val="20"/>
                <w:szCs w:val="20"/>
              </w:rPr>
            </w:pPr>
            <w:r w:rsidRPr="008D79A5">
              <w:rPr>
                <w:rFonts w:ascii="Times New Roman" w:hAnsi="Times New Roman" w:cs="Times New Roman"/>
                <w:b/>
                <w:bCs/>
                <w:sz w:val="20"/>
                <w:szCs w:val="20"/>
              </w:rPr>
              <w:t>HFO-1234yf</w:t>
            </w:r>
          </w:p>
        </w:tc>
        <w:tc>
          <w:tcPr>
            <w:tcW w:w="1607" w:type="pct"/>
            <w:tcBorders>
              <w:bottom w:val="single" w:sz="18" w:space="0" w:color="auto"/>
            </w:tcBorders>
          </w:tcPr>
          <w:p w14:paraId="72F7F122" w14:textId="77777777" w:rsidR="001E680B" w:rsidRPr="008D79A5" w:rsidRDefault="001E680B" w:rsidP="00DC1930">
            <w:pPr>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sz w:val="20"/>
                <w:szCs w:val="20"/>
              </w:rPr>
              <w:t>3.3 (1.5 - 5.7)</w:t>
            </w:r>
          </w:p>
        </w:tc>
        <w:tc>
          <w:tcPr>
            <w:tcW w:w="1947" w:type="pct"/>
            <w:tcBorders>
              <w:bottom w:val="single" w:sz="18" w:space="0" w:color="auto"/>
            </w:tcBorders>
          </w:tcPr>
          <w:p w14:paraId="2CEA9F1D" w14:textId="77777777" w:rsidR="001E680B" w:rsidRPr="008D79A5" w:rsidRDefault="001E680B" w:rsidP="00DC1930">
            <w:pPr>
              <w:keepNext/>
              <w:spacing w:before="100" w:beforeAutospacing="1" w:after="100" w:afterAutospacing="1" w:line="240" w:lineRule="auto"/>
              <w:rPr>
                <w:rFonts w:ascii="Times New Roman" w:hAnsi="Times New Roman" w:cs="Times New Roman"/>
                <w:sz w:val="20"/>
                <w:szCs w:val="20"/>
              </w:rPr>
            </w:pPr>
            <w:r w:rsidRPr="008D79A5">
              <w:rPr>
                <w:rFonts w:ascii="Times New Roman" w:hAnsi="Times New Roman" w:cs="Times New Roman"/>
                <w:sz w:val="20"/>
                <w:szCs w:val="20"/>
              </w:rPr>
              <w:t>3.8 (1.7 – 6.5)</w:t>
            </w:r>
          </w:p>
        </w:tc>
      </w:tr>
    </w:tbl>
    <w:p w14:paraId="1F57F6C0" w14:textId="54F0EA5D" w:rsidR="00B46948" w:rsidRPr="00123B4A" w:rsidRDefault="001E680B" w:rsidP="00123B4A">
      <w:pPr>
        <w:pStyle w:val="Caption"/>
        <w:rPr>
          <w:rFonts w:ascii="Times New Roman" w:hAnsi="Times New Roman" w:cs="Times New Roman"/>
          <w:color w:val="auto"/>
          <w:sz w:val="20"/>
          <w:szCs w:val="20"/>
        </w:rPr>
      </w:pPr>
      <w:r w:rsidRPr="008D79A5">
        <w:rPr>
          <w:rFonts w:ascii="Times New Roman" w:hAnsi="Times New Roman" w:cs="Times New Roman"/>
          <w:color w:val="auto"/>
          <w:sz w:val="20"/>
          <w:szCs w:val="20"/>
        </w:rPr>
        <w:t xml:space="preserve">Note: Emissions of HCFC-123 are not reported and assumed constant since the last available </w:t>
      </w:r>
      <w:r w:rsidR="48CEE79F" w:rsidRPr="008D79A5">
        <w:rPr>
          <w:rFonts w:ascii="Times New Roman" w:hAnsi="Times New Roman" w:cs="Times New Roman"/>
          <w:color w:val="auto"/>
          <w:sz w:val="20"/>
          <w:szCs w:val="20"/>
        </w:rPr>
        <w:t>data</w:t>
      </w:r>
      <w:r w:rsidRPr="008D79A5">
        <w:rPr>
          <w:rFonts w:ascii="Times New Roman" w:hAnsi="Times New Roman" w:cs="Times New Roman"/>
          <w:color w:val="auto"/>
          <w:sz w:val="20"/>
          <w:szCs w:val="20"/>
        </w:rPr>
        <w:t xml:space="preserve"> in 2011</w:t>
      </w:r>
      <w:r w:rsidR="2B6D7B80" w:rsidRPr="008D79A5">
        <w:rPr>
          <w:rFonts w:ascii="Times New Roman" w:hAnsi="Times New Roman" w:cs="Times New Roman"/>
          <w:color w:val="auto"/>
          <w:sz w:val="20"/>
          <w:szCs w:val="20"/>
        </w:rPr>
        <w:t xml:space="preserve"> (see run BASE-EMIS in Hart et al (2026).</w:t>
      </w:r>
      <w:r w:rsidRPr="008D79A5">
        <w:rPr>
          <w:rFonts w:ascii="Times New Roman" w:hAnsi="Times New Roman" w:cs="Times New Roman"/>
          <w:color w:val="auto"/>
          <w:sz w:val="20"/>
          <w:szCs w:val="20"/>
        </w:rPr>
        <w:t xml:space="preserve"> </w:t>
      </w:r>
    </w:p>
    <w:p w14:paraId="76C6DFD3" w14:textId="1273AC8B" w:rsidR="001E680B" w:rsidRPr="00FF5A90" w:rsidRDefault="001E680B" w:rsidP="001E680B">
      <w:pPr>
        <w:spacing w:before="240" w:line="240" w:lineRule="auto"/>
        <w:rPr>
          <w:rFonts w:ascii="Times New Roman" w:hAnsi="Times New Roman" w:cs="Times New Roman"/>
          <w:b/>
          <w:bCs/>
          <w:sz w:val="18"/>
          <w:szCs w:val="18"/>
        </w:rPr>
      </w:pPr>
      <w:r w:rsidRPr="00FF5A90">
        <w:rPr>
          <w:rFonts w:ascii="Times New Roman" w:hAnsi="Times New Roman" w:cs="Times New Roman"/>
          <w:b/>
          <w:bCs/>
          <w:sz w:val="18"/>
          <w:szCs w:val="18"/>
        </w:rPr>
        <w:lastRenderedPageBreak/>
        <w:t>Table S</w:t>
      </w:r>
      <w:r w:rsidR="00917277" w:rsidRPr="00FF5A90">
        <w:rPr>
          <w:rFonts w:ascii="Times New Roman" w:hAnsi="Times New Roman" w:cs="Times New Roman"/>
          <w:b/>
          <w:bCs/>
          <w:sz w:val="18"/>
          <w:szCs w:val="18"/>
        </w:rPr>
        <w:t>5</w:t>
      </w:r>
      <w:r w:rsidRPr="00FF5A90">
        <w:rPr>
          <w:rFonts w:ascii="Times New Roman" w:hAnsi="Times New Roman" w:cs="Times New Roman"/>
          <w:b/>
          <w:bCs/>
          <w:i/>
          <w:iCs/>
          <w:sz w:val="18"/>
          <w:szCs w:val="18"/>
        </w:rPr>
        <w:t xml:space="preserve">. </w:t>
      </w:r>
      <w:r w:rsidRPr="00FF5A90">
        <w:rPr>
          <w:rFonts w:ascii="Times New Roman" w:hAnsi="Times New Roman" w:cs="Times New Roman"/>
          <w:b/>
          <w:bCs/>
          <w:sz w:val="18"/>
          <w:szCs w:val="18"/>
        </w:rPr>
        <w:t>Table showing the chemical lifetime of HFO-1234yf (days) in December, January, February (DJF), March, April, May (MAM), June, July, August (JJA), and September, October, November (SON</w:t>
      </w:r>
      <w:r w:rsidR="00FE642B" w:rsidRPr="00FF5A90">
        <w:rPr>
          <w:rFonts w:ascii="Times New Roman" w:hAnsi="Times New Roman" w:cs="Times New Roman"/>
          <w:b/>
          <w:bCs/>
          <w:sz w:val="18"/>
          <w:szCs w:val="18"/>
        </w:rPr>
        <w:t>)</w:t>
      </w:r>
      <w:r w:rsidRPr="00FF5A90">
        <w:rPr>
          <w:rFonts w:ascii="Times New Roman" w:hAnsi="Times New Roman" w:cs="Times New Roman"/>
          <w:b/>
          <w:bCs/>
          <w:sz w:val="18"/>
          <w:szCs w:val="18"/>
        </w:rPr>
        <w:t>.</w:t>
      </w:r>
    </w:p>
    <w:tbl>
      <w:tblPr>
        <w:tblStyle w:val="TableGrid"/>
        <w:tblW w:w="0" w:type="auto"/>
        <w:tblLook w:val="04A0" w:firstRow="1" w:lastRow="0" w:firstColumn="1" w:lastColumn="0" w:noHBand="0" w:noVBand="1"/>
      </w:tblPr>
      <w:tblGrid>
        <w:gridCol w:w="1539"/>
        <w:gridCol w:w="1498"/>
        <w:gridCol w:w="1551"/>
        <w:gridCol w:w="1488"/>
        <w:gridCol w:w="1521"/>
        <w:gridCol w:w="1419"/>
      </w:tblGrid>
      <w:tr w:rsidR="001E680B" w:rsidRPr="008D79A5" w14:paraId="4F7A087A" w14:textId="77777777" w:rsidTr="00DC1930">
        <w:tc>
          <w:tcPr>
            <w:tcW w:w="1539" w:type="dxa"/>
            <w:tcBorders>
              <w:top w:val="single" w:sz="18" w:space="0" w:color="auto"/>
              <w:left w:val="nil"/>
              <w:bottom w:val="nil"/>
              <w:right w:val="nil"/>
            </w:tcBorders>
          </w:tcPr>
          <w:p w14:paraId="46859019" w14:textId="77777777" w:rsidR="001E680B" w:rsidRPr="008D79A5" w:rsidRDefault="001E680B" w:rsidP="00DC1930">
            <w:pPr>
              <w:pStyle w:val="NormalWeb"/>
              <w:spacing w:before="0" w:beforeAutospacing="0" w:after="0" w:afterAutospacing="0"/>
              <w:jc w:val="both"/>
              <w:rPr>
                <w:color w:val="000000"/>
                <w:sz w:val="20"/>
                <w:szCs w:val="20"/>
              </w:rPr>
            </w:pPr>
          </w:p>
        </w:tc>
        <w:tc>
          <w:tcPr>
            <w:tcW w:w="7477" w:type="dxa"/>
            <w:gridSpan w:val="5"/>
            <w:tcBorders>
              <w:top w:val="single" w:sz="18" w:space="0" w:color="auto"/>
              <w:left w:val="nil"/>
              <w:bottom w:val="nil"/>
              <w:right w:val="nil"/>
            </w:tcBorders>
          </w:tcPr>
          <w:p w14:paraId="0CF5DF09" w14:textId="77777777" w:rsidR="001E680B" w:rsidRPr="008D79A5" w:rsidRDefault="001E680B" w:rsidP="00DC1930">
            <w:pPr>
              <w:pStyle w:val="NormalWeb"/>
              <w:spacing w:before="0" w:beforeAutospacing="0" w:after="0" w:afterAutospacing="0"/>
              <w:jc w:val="center"/>
              <w:rPr>
                <w:b/>
                <w:bCs/>
                <w:color w:val="000000"/>
                <w:sz w:val="20"/>
                <w:szCs w:val="20"/>
              </w:rPr>
            </w:pPr>
            <w:r w:rsidRPr="008D79A5">
              <w:rPr>
                <w:b/>
                <w:bCs/>
                <w:color w:val="000000"/>
                <w:sz w:val="20"/>
                <w:szCs w:val="20"/>
              </w:rPr>
              <w:t>HFO-1234yf lifetime (days)</w:t>
            </w:r>
          </w:p>
        </w:tc>
      </w:tr>
      <w:tr w:rsidR="001E680B" w:rsidRPr="008D79A5" w14:paraId="6BEBB750" w14:textId="77777777" w:rsidTr="00DC1930">
        <w:tc>
          <w:tcPr>
            <w:tcW w:w="1539" w:type="dxa"/>
            <w:tcBorders>
              <w:top w:val="nil"/>
              <w:left w:val="nil"/>
              <w:bottom w:val="single" w:sz="18" w:space="0" w:color="auto"/>
              <w:right w:val="nil"/>
            </w:tcBorders>
          </w:tcPr>
          <w:p w14:paraId="17A4109B" w14:textId="77777777" w:rsidR="001E680B" w:rsidRPr="008D79A5" w:rsidRDefault="001E680B" w:rsidP="00DC1930">
            <w:pPr>
              <w:pStyle w:val="NormalWeb"/>
              <w:spacing w:before="0" w:beforeAutospacing="0" w:after="0" w:afterAutospacing="0"/>
              <w:jc w:val="both"/>
              <w:rPr>
                <w:b/>
                <w:bCs/>
                <w:color w:val="000000"/>
                <w:sz w:val="20"/>
                <w:szCs w:val="20"/>
              </w:rPr>
            </w:pPr>
          </w:p>
        </w:tc>
        <w:tc>
          <w:tcPr>
            <w:tcW w:w="1498" w:type="dxa"/>
            <w:tcBorders>
              <w:top w:val="nil"/>
              <w:left w:val="nil"/>
              <w:bottom w:val="single" w:sz="18" w:space="0" w:color="auto"/>
              <w:right w:val="nil"/>
            </w:tcBorders>
          </w:tcPr>
          <w:p w14:paraId="0C1DCD73" w14:textId="77777777" w:rsidR="001E680B" w:rsidRPr="008D79A5" w:rsidRDefault="001E680B" w:rsidP="00DC1930">
            <w:pPr>
              <w:pStyle w:val="NormalWeb"/>
              <w:spacing w:before="0" w:beforeAutospacing="0" w:after="0" w:afterAutospacing="0"/>
              <w:jc w:val="both"/>
              <w:rPr>
                <w:color w:val="000000"/>
                <w:sz w:val="20"/>
                <w:szCs w:val="20"/>
              </w:rPr>
            </w:pPr>
            <w:r w:rsidRPr="008D79A5">
              <w:rPr>
                <w:b/>
                <w:bCs/>
                <w:color w:val="000000"/>
                <w:sz w:val="20"/>
                <w:szCs w:val="20"/>
              </w:rPr>
              <w:t>DJF</w:t>
            </w:r>
          </w:p>
        </w:tc>
        <w:tc>
          <w:tcPr>
            <w:tcW w:w="1551" w:type="dxa"/>
            <w:tcBorders>
              <w:top w:val="nil"/>
              <w:left w:val="nil"/>
              <w:bottom w:val="single" w:sz="18" w:space="0" w:color="auto"/>
              <w:right w:val="nil"/>
            </w:tcBorders>
          </w:tcPr>
          <w:p w14:paraId="6E5F5EA9" w14:textId="77777777" w:rsidR="001E680B" w:rsidRPr="008D79A5" w:rsidRDefault="001E680B" w:rsidP="00DC1930">
            <w:pPr>
              <w:pStyle w:val="NormalWeb"/>
              <w:spacing w:before="0" w:beforeAutospacing="0" w:after="0" w:afterAutospacing="0"/>
              <w:jc w:val="both"/>
              <w:rPr>
                <w:color w:val="000000"/>
                <w:sz w:val="20"/>
                <w:szCs w:val="20"/>
              </w:rPr>
            </w:pPr>
            <w:r w:rsidRPr="008D79A5">
              <w:rPr>
                <w:b/>
                <w:bCs/>
                <w:color w:val="000000"/>
                <w:sz w:val="20"/>
                <w:szCs w:val="20"/>
              </w:rPr>
              <w:t>MAM</w:t>
            </w:r>
          </w:p>
        </w:tc>
        <w:tc>
          <w:tcPr>
            <w:tcW w:w="1488" w:type="dxa"/>
            <w:tcBorders>
              <w:top w:val="nil"/>
              <w:left w:val="nil"/>
              <w:bottom w:val="single" w:sz="18" w:space="0" w:color="auto"/>
              <w:right w:val="nil"/>
            </w:tcBorders>
          </w:tcPr>
          <w:p w14:paraId="5BBF67D6" w14:textId="77777777" w:rsidR="001E680B" w:rsidRPr="008D79A5" w:rsidRDefault="001E680B" w:rsidP="00DC1930">
            <w:pPr>
              <w:pStyle w:val="NormalWeb"/>
              <w:spacing w:before="0" w:beforeAutospacing="0" w:after="0" w:afterAutospacing="0"/>
              <w:jc w:val="both"/>
              <w:rPr>
                <w:color w:val="000000"/>
                <w:sz w:val="20"/>
                <w:szCs w:val="20"/>
              </w:rPr>
            </w:pPr>
            <w:r w:rsidRPr="008D79A5">
              <w:rPr>
                <w:b/>
                <w:bCs/>
                <w:color w:val="000000"/>
                <w:sz w:val="20"/>
                <w:szCs w:val="20"/>
              </w:rPr>
              <w:t>JJA</w:t>
            </w:r>
          </w:p>
        </w:tc>
        <w:tc>
          <w:tcPr>
            <w:tcW w:w="1521" w:type="dxa"/>
            <w:tcBorders>
              <w:top w:val="nil"/>
              <w:left w:val="nil"/>
              <w:bottom w:val="single" w:sz="18" w:space="0" w:color="auto"/>
              <w:right w:val="nil"/>
            </w:tcBorders>
          </w:tcPr>
          <w:p w14:paraId="58FF730E" w14:textId="77777777" w:rsidR="001E680B" w:rsidRPr="008D79A5" w:rsidRDefault="001E680B" w:rsidP="00DC1930">
            <w:pPr>
              <w:pStyle w:val="NormalWeb"/>
              <w:spacing w:before="0" w:beforeAutospacing="0" w:after="0" w:afterAutospacing="0"/>
              <w:jc w:val="both"/>
              <w:rPr>
                <w:color w:val="000000"/>
                <w:sz w:val="20"/>
                <w:szCs w:val="20"/>
              </w:rPr>
            </w:pPr>
            <w:r w:rsidRPr="008D79A5">
              <w:rPr>
                <w:b/>
                <w:bCs/>
                <w:color w:val="000000"/>
                <w:sz w:val="20"/>
                <w:szCs w:val="20"/>
              </w:rPr>
              <w:t>SON</w:t>
            </w:r>
          </w:p>
        </w:tc>
        <w:tc>
          <w:tcPr>
            <w:tcW w:w="1419" w:type="dxa"/>
            <w:tcBorders>
              <w:top w:val="nil"/>
              <w:left w:val="nil"/>
              <w:bottom w:val="single" w:sz="18" w:space="0" w:color="auto"/>
              <w:right w:val="nil"/>
            </w:tcBorders>
          </w:tcPr>
          <w:p w14:paraId="5AEDB2A8" w14:textId="77777777" w:rsidR="001E680B" w:rsidRPr="008D79A5" w:rsidRDefault="001E680B" w:rsidP="00DC1930">
            <w:pPr>
              <w:pStyle w:val="NormalWeb"/>
              <w:spacing w:before="0" w:beforeAutospacing="0" w:after="0" w:afterAutospacing="0"/>
              <w:jc w:val="both"/>
              <w:rPr>
                <w:b/>
                <w:bCs/>
                <w:color w:val="000000"/>
                <w:sz w:val="20"/>
                <w:szCs w:val="20"/>
              </w:rPr>
            </w:pPr>
            <w:r w:rsidRPr="008D79A5">
              <w:rPr>
                <w:b/>
                <w:bCs/>
                <w:color w:val="000000"/>
                <w:sz w:val="20"/>
                <w:szCs w:val="20"/>
              </w:rPr>
              <w:t>Annual</w:t>
            </w:r>
          </w:p>
        </w:tc>
      </w:tr>
      <w:tr w:rsidR="001E680B" w:rsidRPr="008D79A5" w14:paraId="427DA262" w14:textId="77777777" w:rsidTr="00DC1930">
        <w:tc>
          <w:tcPr>
            <w:tcW w:w="1539" w:type="dxa"/>
            <w:tcBorders>
              <w:top w:val="single" w:sz="18" w:space="0" w:color="auto"/>
              <w:left w:val="nil"/>
              <w:bottom w:val="nil"/>
              <w:right w:val="nil"/>
            </w:tcBorders>
          </w:tcPr>
          <w:p w14:paraId="4CE46190" w14:textId="77777777" w:rsidR="001E680B" w:rsidRPr="008D79A5" w:rsidRDefault="001E680B" w:rsidP="00DC1930">
            <w:pPr>
              <w:pStyle w:val="NormalWeb"/>
              <w:spacing w:before="0" w:beforeAutospacing="0" w:after="0" w:afterAutospacing="0"/>
              <w:jc w:val="both"/>
              <w:rPr>
                <w:b/>
                <w:bCs/>
                <w:color w:val="000000"/>
                <w:sz w:val="20"/>
                <w:szCs w:val="20"/>
              </w:rPr>
            </w:pPr>
            <w:r w:rsidRPr="008D79A5">
              <w:rPr>
                <w:b/>
                <w:bCs/>
                <w:color w:val="000000"/>
                <w:sz w:val="20"/>
                <w:szCs w:val="20"/>
              </w:rPr>
              <w:t>EUR</w:t>
            </w:r>
          </w:p>
        </w:tc>
        <w:tc>
          <w:tcPr>
            <w:tcW w:w="1498" w:type="dxa"/>
            <w:tcBorders>
              <w:top w:val="single" w:sz="18" w:space="0" w:color="auto"/>
              <w:left w:val="nil"/>
              <w:bottom w:val="nil"/>
              <w:right w:val="nil"/>
            </w:tcBorders>
          </w:tcPr>
          <w:p w14:paraId="707FA18F" w14:textId="77777777" w:rsidR="001E680B" w:rsidRPr="008D79A5" w:rsidRDefault="001E680B" w:rsidP="00DC1930">
            <w:pPr>
              <w:pStyle w:val="NormalWeb"/>
              <w:spacing w:before="0" w:beforeAutospacing="0" w:after="0" w:afterAutospacing="0"/>
              <w:jc w:val="both"/>
              <w:rPr>
                <w:b/>
                <w:bCs/>
                <w:color w:val="000000"/>
                <w:sz w:val="20"/>
                <w:szCs w:val="20"/>
              </w:rPr>
            </w:pPr>
            <w:r w:rsidRPr="008D79A5">
              <w:rPr>
                <w:color w:val="000000"/>
                <w:sz w:val="20"/>
                <w:szCs w:val="20"/>
              </w:rPr>
              <w:t>61</w:t>
            </w:r>
          </w:p>
        </w:tc>
        <w:tc>
          <w:tcPr>
            <w:tcW w:w="1551" w:type="dxa"/>
            <w:tcBorders>
              <w:top w:val="single" w:sz="18" w:space="0" w:color="auto"/>
              <w:left w:val="nil"/>
              <w:bottom w:val="nil"/>
              <w:right w:val="nil"/>
            </w:tcBorders>
          </w:tcPr>
          <w:p w14:paraId="6B65D964"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17</w:t>
            </w:r>
          </w:p>
        </w:tc>
        <w:tc>
          <w:tcPr>
            <w:tcW w:w="1488" w:type="dxa"/>
            <w:tcBorders>
              <w:top w:val="single" w:sz="18" w:space="0" w:color="auto"/>
              <w:left w:val="nil"/>
              <w:bottom w:val="nil"/>
              <w:right w:val="nil"/>
            </w:tcBorders>
          </w:tcPr>
          <w:p w14:paraId="3D51C7A4"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5</w:t>
            </w:r>
          </w:p>
        </w:tc>
        <w:tc>
          <w:tcPr>
            <w:tcW w:w="1521" w:type="dxa"/>
            <w:tcBorders>
              <w:top w:val="single" w:sz="18" w:space="0" w:color="auto"/>
              <w:left w:val="nil"/>
              <w:bottom w:val="nil"/>
              <w:right w:val="nil"/>
            </w:tcBorders>
          </w:tcPr>
          <w:p w14:paraId="0564B13A"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14</w:t>
            </w:r>
          </w:p>
        </w:tc>
        <w:tc>
          <w:tcPr>
            <w:tcW w:w="1419" w:type="dxa"/>
            <w:tcBorders>
              <w:top w:val="single" w:sz="18" w:space="0" w:color="auto"/>
              <w:left w:val="nil"/>
              <w:bottom w:val="nil"/>
              <w:right w:val="nil"/>
            </w:tcBorders>
          </w:tcPr>
          <w:p w14:paraId="02EFBEF6" w14:textId="77777777" w:rsidR="001E680B" w:rsidRPr="008D79A5" w:rsidRDefault="001E680B" w:rsidP="00DC1930">
            <w:pPr>
              <w:pStyle w:val="NormalWeb"/>
              <w:spacing w:before="0" w:beforeAutospacing="0" w:after="0" w:afterAutospacing="0"/>
              <w:jc w:val="both"/>
              <w:rPr>
                <w:b/>
                <w:bCs/>
                <w:color w:val="000000"/>
                <w:sz w:val="20"/>
                <w:szCs w:val="20"/>
              </w:rPr>
            </w:pPr>
            <w:r w:rsidRPr="008D79A5">
              <w:rPr>
                <w:b/>
                <w:bCs/>
                <w:color w:val="000000"/>
                <w:sz w:val="20"/>
                <w:szCs w:val="20"/>
              </w:rPr>
              <w:t>18</w:t>
            </w:r>
          </w:p>
        </w:tc>
      </w:tr>
      <w:tr w:rsidR="001E680B" w:rsidRPr="008D79A5" w14:paraId="0DDA7790" w14:textId="77777777" w:rsidTr="00DC1930">
        <w:tc>
          <w:tcPr>
            <w:tcW w:w="1539" w:type="dxa"/>
            <w:tcBorders>
              <w:top w:val="nil"/>
              <w:left w:val="nil"/>
              <w:bottom w:val="nil"/>
              <w:right w:val="nil"/>
            </w:tcBorders>
          </w:tcPr>
          <w:p w14:paraId="68CB5A39" w14:textId="77777777" w:rsidR="001E680B" w:rsidRPr="008D79A5" w:rsidRDefault="001E680B" w:rsidP="00DC1930">
            <w:pPr>
              <w:pStyle w:val="NormalWeb"/>
              <w:spacing w:before="0" w:beforeAutospacing="0" w:after="0" w:afterAutospacing="0"/>
              <w:jc w:val="both"/>
              <w:rPr>
                <w:b/>
                <w:bCs/>
                <w:color w:val="000000"/>
                <w:sz w:val="20"/>
                <w:szCs w:val="20"/>
              </w:rPr>
            </w:pPr>
            <w:r w:rsidRPr="008D79A5">
              <w:rPr>
                <w:b/>
                <w:bCs/>
                <w:color w:val="000000"/>
                <w:sz w:val="20"/>
                <w:szCs w:val="20"/>
              </w:rPr>
              <w:t>NAM</w:t>
            </w:r>
          </w:p>
        </w:tc>
        <w:tc>
          <w:tcPr>
            <w:tcW w:w="1498" w:type="dxa"/>
            <w:tcBorders>
              <w:top w:val="nil"/>
              <w:left w:val="nil"/>
              <w:bottom w:val="nil"/>
              <w:right w:val="nil"/>
            </w:tcBorders>
          </w:tcPr>
          <w:p w14:paraId="5C513EA2"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47</w:t>
            </w:r>
          </w:p>
        </w:tc>
        <w:tc>
          <w:tcPr>
            <w:tcW w:w="1551" w:type="dxa"/>
            <w:tcBorders>
              <w:top w:val="nil"/>
              <w:left w:val="nil"/>
              <w:bottom w:val="nil"/>
              <w:right w:val="nil"/>
            </w:tcBorders>
          </w:tcPr>
          <w:p w14:paraId="33DCA558"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15</w:t>
            </w:r>
          </w:p>
        </w:tc>
        <w:tc>
          <w:tcPr>
            <w:tcW w:w="1488" w:type="dxa"/>
            <w:tcBorders>
              <w:top w:val="nil"/>
              <w:left w:val="nil"/>
              <w:bottom w:val="nil"/>
              <w:right w:val="nil"/>
            </w:tcBorders>
          </w:tcPr>
          <w:p w14:paraId="32BFE84D"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5</w:t>
            </w:r>
          </w:p>
        </w:tc>
        <w:tc>
          <w:tcPr>
            <w:tcW w:w="1521" w:type="dxa"/>
            <w:tcBorders>
              <w:top w:val="nil"/>
              <w:left w:val="nil"/>
              <w:bottom w:val="nil"/>
              <w:right w:val="nil"/>
            </w:tcBorders>
          </w:tcPr>
          <w:p w14:paraId="073FA8D1"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11</w:t>
            </w:r>
          </w:p>
        </w:tc>
        <w:tc>
          <w:tcPr>
            <w:tcW w:w="1419" w:type="dxa"/>
            <w:tcBorders>
              <w:top w:val="nil"/>
              <w:left w:val="nil"/>
              <w:bottom w:val="nil"/>
              <w:right w:val="nil"/>
            </w:tcBorders>
          </w:tcPr>
          <w:p w14:paraId="303C2169" w14:textId="77777777" w:rsidR="001E680B" w:rsidRPr="008D79A5" w:rsidRDefault="001E680B" w:rsidP="00DC1930">
            <w:pPr>
              <w:pStyle w:val="NormalWeb"/>
              <w:spacing w:before="0" w:beforeAutospacing="0" w:after="0" w:afterAutospacing="0"/>
              <w:jc w:val="both"/>
              <w:rPr>
                <w:b/>
                <w:bCs/>
                <w:color w:val="000000"/>
                <w:sz w:val="20"/>
                <w:szCs w:val="20"/>
              </w:rPr>
            </w:pPr>
            <w:r w:rsidRPr="008D79A5">
              <w:rPr>
                <w:b/>
                <w:bCs/>
                <w:color w:val="000000"/>
                <w:sz w:val="20"/>
                <w:szCs w:val="20"/>
              </w:rPr>
              <w:t>16</w:t>
            </w:r>
          </w:p>
        </w:tc>
      </w:tr>
      <w:tr w:rsidR="001E680B" w:rsidRPr="008D79A5" w14:paraId="3841C2A8" w14:textId="77777777" w:rsidTr="00DC1930">
        <w:tc>
          <w:tcPr>
            <w:tcW w:w="1539" w:type="dxa"/>
            <w:tcBorders>
              <w:top w:val="nil"/>
              <w:left w:val="nil"/>
              <w:bottom w:val="nil"/>
              <w:right w:val="nil"/>
            </w:tcBorders>
          </w:tcPr>
          <w:p w14:paraId="11298E8E" w14:textId="77777777" w:rsidR="001E680B" w:rsidRPr="008D79A5" w:rsidRDefault="001E680B" w:rsidP="00DC1930">
            <w:pPr>
              <w:pStyle w:val="NormalWeb"/>
              <w:spacing w:before="0" w:beforeAutospacing="0" w:after="0" w:afterAutospacing="0"/>
              <w:jc w:val="both"/>
              <w:rPr>
                <w:b/>
                <w:bCs/>
                <w:color w:val="000000"/>
                <w:sz w:val="20"/>
                <w:szCs w:val="20"/>
              </w:rPr>
            </w:pPr>
            <w:r w:rsidRPr="008D79A5">
              <w:rPr>
                <w:b/>
                <w:bCs/>
                <w:color w:val="000000"/>
                <w:sz w:val="20"/>
                <w:szCs w:val="20"/>
              </w:rPr>
              <w:t>SAS</w:t>
            </w:r>
          </w:p>
        </w:tc>
        <w:tc>
          <w:tcPr>
            <w:tcW w:w="1498" w:type="dxa"/>
            <w:tcBorders>
              <w:top w:val="nil"/>
              <w:left w:val="nil"/>
              <w:bottom w:val="nil"/>
              <w:right w:val="nil"/>
            </w:tcBorders>
          </w:tcPr>
          <w:p w14:paraId="024E9CC1"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15</w:t>
            </w:r>
          </w:p>
        </w:tc>
        <w:tc>
          <w:tcPr>
            <w:tcW w:w="1551" w:type="dxa"/>
            <w:tcBorders>
              <w:top w:val="nil"/>
              <w:left w:val="nil"/>
              <w:bottom w:val="nil"/>
              <w:right w:val="nil"/>
            </w:tcBorders>
          </w:tcPr>
          <w:p w14:paraId="1CE05050"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8</w:t>
            </w:r>
          </w:p>
        </w:tc>
        <w:tc>
          <w:tcPr>
            <w:tcW w:w="1488" w:type="dxa"/>
            <w:tcBorders>
              <w:top w:val="nil"/>
              <w:left w:val="nil"/>
              <w:bottom w:val="nil"/>
              <w:right w:val="nil"/>
            </w:tcBorders>
          </w:tcPr>
          <w:p w14:paraId="6475C961"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4</w:t>
            </w:r>
          </w:p>
        </w:tc>
        <w:tc>
          <w:tcPr>
            <w:tcW w:w="1521" w:type="dxa"/>
            <w:tcBorders>
              <w:top w:val="nil"/>
              <w:left w:val="nil"/>
              <w:bottom w:val="nil"/>
              <w:right w:val="nil"/>
            </w:tcBorders>
          </w:tcPr>
          <w:p w14:paraId="15BB878D"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6</w:t>
            </w:r>
          </w:p>
        </w:tc>
        <w:tc>
          <w:tcPr>
            <w:tcW w:w="1419" w:type="dxa"/>
            <w:tcBorders>
              <w:top w:val="nil"/>
              <w:left w:val="nil"/>
              <w:bottom w:val="nil"/>
              <w:right w:val="nil"/>
            </w:tcBorders>
          </w:tcPr>
          <w:p w14:paraId="564BE29F" w14:textId="77777777" w:rsidR="001E680B" w:rsidRPr="008D79A5" w:rsidRDefault="001E680B" w:rsidP="00DC1930">
            <w:pPr>
              <w:pStyle w:val="NormalWeb"/>
              <w:spacing w:before="0" w:beforeAutospacing="0" w:after="0" w:afterAutospacing="0"/>
              <w:jc w:val="both"/>
              <w:rPr>
                <w:b/>
                <w:bCs/>
                <w:color w:val="000000"/>
                <w:sz w:val="20"/>
                <w:szCs w:val="20"/>
              </w:rPr>
            </w:pPr>
            <w:r w:rsidRPr="008D79A5">
              <w:rPr>
                <w:b/>
                <w:bCs/>
                <w:color w:val="000000"/>
                <w:sz w:val="20"/>
                <w:szCs w:val="20"/>
              </w:rPr>
              <w:t>7</w:t>
            </w:r>
          </w:p>
        </w:tc>
      </w:tr>
      <w:tr w:rsidR="001E680B" w:rsidRPr="008D79A5" w14:paraId="60E38C80" w14:textId="77777777" w:rsidTr="00DC1930">
        <w:tc>
          <w:tcPr>
            <w:tcW w:w="1539" w:type="dxa"/>
            <w:tcBorders>
              <w:top w:val="nil"/>
              <w:left w:val="nil"/>
              <w:bottom w:val="nil"/>
              <w:right w:val="nil"/>
            </w:tcBorders>
          </w:tcPr>
          <w:p w14:paraId="4DD57927" w14:textId="77777777" w:rsidR="001E680B" w:rsidRPr="008D79A5" w:rsidRDefault="001E680B" w:rsidP="00DC1930">
            <w:pPr>
              <w:pStyle w:val="NormalWeb"/>
              <w:spacing w:before="0" w:beforeAutospacing="0" w:after="0" w:afterAutospacing="0"/>
              <w:jc w:val="both"/>
              <w:rPr>
                <w:b/>
                <w:bCs/>
                <w:color w:val="000000"/>
                <w:sz w:val="20"/>
                <w:szCs w:val="20"/>
              </w:rPr>
            </w:pPr>
            <w:r w:rsidRPr="008D79A5">
              <w:rPr>
                <w:b/>
                <w:bCs/>
                <w:color w:val="000000"/>
                <w:sz w:val="20"/>
                <w:szCs w:val="20"/>
              </w:rPr>
              <w:t>EAS</w:t>
            </w:r>
          </w:p>
        </w:tc>
        <w:tc>
          <w:tcPr>
            <w:tcW w:w="1498" w:type="dxa"/>
            <w:tcBorders>
              <w:top w:val="nil"/>
              <w:left w:val="nil"/>
              <w:bottom w:val="nil"/>
              <w:right w:val="nil"/>
            </w:tcBorders>
          </w:tcPr>
          <w:p w14:paraId="1195AA02"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35</w:t>
            </w:r>
          </w:p>
        </w:tc>
        <w:tc>
          <w:tcPr>
            <w:tcW w:w="1551" w:type="dxa"/>
            <w:tcBorders>
              <w:top w:val="nil"/>
              <w:left w:val="nil"/>
              <w:bottom w:val="nil"/>
              <w:right w:val="nil"/>
            </w:tcBorders>
          </w:tcPr>
          <w:p w14:paraId="35A7C43A"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13</w:t>
            </w:r>
          </w:p>
        </w:tc>
        <w:tc>
          <w:tcPr>
            <w:tcW w:w="1488" w:type="dxa"/>
            <w:tcBorders>
              <w:top w:val="nil"/>
              <w:left w:val="nil"/>
              <w:bottom w:val="nil"/>
              <w:right w:val="nil"/>
            </w:tcBorders>
          </w:tcPr>
          <w:p w14:paraId="001FB313"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5</w:t>
            </w:r>
          </w:p>
        </w:tc>
        <w:tc>
          <w:tcPr>
            <w:tcW w:w="1521" w:type="dxa"/>
            <w:tcBorders>
              <w:top w:val="nil"/>
              <w:left w:val="nil"/>
              <w:bottom w:val="nil"/>
              <w:right w:val="nil"/>
            </w:tcBorders>
          </w:tcPr>
          <w:p w14:paraId="5B2596C0"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10</w:t>
            </w:r>
          </w:p>
        </w:tc>
        <w:tc>
          <w:tcPr>
            <w:tcW w:w="1419" w:type="dxa"/>
            <w:tcBorders>
              <w:top w:val="nil"/>
              <w:left w:val="nil"/>
              <w:bottom w:val="nil"/>
              <w:right w:val="nil"/>
            </w:tcBorders>
          </w:tcPr>
          <w:p w14:paraId="4C151C17" w14:textId="77777777" w:rsidR="001E680B" w:rsidRPr="008D79A5" w:rsidRDefault="001E680B" w:rsidP="00DC1930">
            <w:pPr>
              <w:pStyle w:val="NormalWeb"/>
              <w:spacing w:before="0" w:beforeAutospacing="0" w:after="0" w:afterAutospacing="0"/>
              <w:jc w:val="both"/>
              <w:rPr>
                <w:b/>
                <w:bCs/>
                <w:color w:val="000000"/>
                <w:sz w:val="20"/>
                <w:szCs w:val="20"/>
              </w:rPr>
            </w:pPr>
            <w:r w:rsidRPr="008D79A5">
              <w:rPr>
                <w:b/>
                <w:bCs/>
                <w:color w:val="000000"/>
                <w:sz w:val="20"/>
                <w:szCs w:val="20"/>
              </w:rPr>
              <w:t>13</w:t>
            </w:r>
          </w:p>
        </w:tc>
      </w:tr>
      <w:tr w:rsidR="001E680B" w:rsidRPr="008D79A5" w14:paraId="0F4885AC" w14:textId="77777777" w:rsidTr="00DC1930">
        <w:tc>
          <w:tcPr>
            <w:tcW w:w="1539" w:type="dxa"/>
            <w:tcBorders>
              <w:top w:val="nil"/>
              <w:left w:val="nil"/>
              <w:bottom w:val="nil"/>
              <w:right w:val="nil"/>
            </w:tcBorders>
          </w:tcPr>
          <w:p w14:paraId="1491E4CB" w14:textId="77777777" w:rsidR="001E680B" w:rsidRPr="008D79A5" w:rsidRDefault="001E680B" w:rsidP="00DC1930">
            <w:pPr>
              <w:pStyle w:val="NormalWeb"/>
              <w:spacing w:before="0" w:beforeAutospacing="0" w:after="0" w:afterAutospacing="0"/>
              <w:jc w:val="both"/>
              <w:rPr>
                <w:b/>
                <w:bCs/>
                <w:color w:val="000000"/>
                <w:sz w:val="20"/>
                <w:szCs w:val="20"/>
              </w:rPr>
            </w:pPr>
            <w:r w:rsidRPr="008D79A5">
              <w:rPr>
                <w:b/>
                <w:bCs/>
                <w:color w:val="000000"/>
                <w:sz w:val="20"/>
                <w:szCs w:val="20"/>
              </w:rPr>
              <w:t>SAM</w:t>
            </w:r>
          </w:p>
        </w:tc>
        <w:tc>
          <w:tcPr>
            <w:tcW w:w="1498" w:type="dxa"/>
            <w:tcBorders>
              <w:top w:val="nil"/>
              <w:left w:val="nil"/>
              <w:bottom w:val="nil"/>
              <w:right w:val="nil"/>
            </w:tcBorders>
          </w:tcPr>
          <w:p w14:paraId="3C02EE80"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11</w:t>
            </w:r>
          </w:p>
        </w:tc>
        <w:tc>
          <w:tcPr>
            <w:tcW w:w="1551" w:type="dxa"/>
            <w:tcBorders>
              <w:top w:val="nil"/>
              <w:left w:val="nil"/>
              <w:bottom w:val="nil"/>
              <w:right w:val="nil"/>
            </w:tcBorders>
          </w:tcPr>
          <w:p w14:paraId="57848B86"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10</w:t>
            </w:r>
          </w:p>
        </w:tc>
        <w:tc>
          <w:tcPr>
            <w:tcW w:w="1488" w:type="dxa"/>
            <w:tcBorders>
              <w:top w:val="nil"/>
              <w:left w:val="nil"/>
              <w:bottom w:val="nil"/>
              <w:right w:val="nil"/>
            </w:tcBorders>
          </w:tcPr>
          <w:p w14:paraId="12E98A85"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9</w:t>
            </w:r>
          </w:p>
        </w:tc>
        <w:tc>
          <w:tcPr>
            <w:tcW w:w="1521" w:type="dxa"/>
            <w:tcBorders>
              <w:top w:val="nil"/>
              <w:left w:val="nil"/>
              <w:bottom w:val="nil"/>
              <w:right w:val="nil"/>
            </w:tcBorders>
          </w:tcPr>
          <w:p w14:paraId="2473C6F1"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17</w:t>
            </w:r>
          </w:p>
        </w:tc>
        <w:tc>
          <w:tcPr>
            <w:tcW w:w="1419" w:type="dxa"/>
            <w:tcBorders>
              <w:top w:val="nil"/>
              <w:left w:val="nil"/>
              <w:bottom w:val="nil"/>
              <w:right w:val="nil"/>
            </w:tcBorders>
          </w:tcPr>
          <w:p w14:paraId="08A3CEFD" w14:textId="77777777" w:rsidR="001E680B" w:rsidRPr="008D79A5" w:rsidRDefault="001E680B" w:rsidP="00DC1930">
            <w:pPr>
              <w:pStyle w:val="NormalWeb"/>
              <w:spacing w:before="0" w:beforeAutospacing="0" w:after="0" w:afterAutospacing="0"/>
              <w:jc w:val="both"/>
              <w:rPr>
                <w:b/>
                <w:bCs/>
                <w:color w:val="000000"/>
                <w:sz w:val="20"/>
                <w:szCs w:val="20"/>
              </w:rPr>
            </w:pPr>
            <w:r w:rsidRPr="008D79A5">
              <w:rPr>
                <w:b/>
                <w:bCs/>
                <w:color w:val="000000"/>
                <w:sz w:val="20"/>
                <w:szCs w:val="20"/>
              </w:rPr>
              <w:t>10</w:t>
            </w:r>
          </w:p>
        </w:tc>
      </w:tr>
      <w:tr w:rsidR="001E680B" w:rsidRPr="008D79A5" w14:paraId="17DB2A57" w14:textId="77777777" w:rsidTr="00DC1930">
        <w:tc>
          <w:tcPr>
            <w:tcW w:w="1539" w:type="dxa"/>
            <w:tcBorders>
              <w:top w:val="nil"/>
              <w:left w:val="nil"/>
              <w:bottom w:val="nil"/>
              <w:right w:val="nil"/>
            </w:tcBorders>
          </w:tcPr>
          <w:p w14:paraId="6C3CCF14" w14:textId="77777777" w:rsidR="001E680B" w:rsidRPr="008D79A5" w:rsidRDefault="001E680B" w:rsidP="00DC1930">
            <w:pPr>
              <w:pStyle w:val="NormalWeb"/>
              <w:spacing w:before="0" w:beforeAutospacing="0" w:after="0" w:afterAutospacing="0"/>
              <w:jc w:val="both"/>
              <w:rPr>
                <w:b/>
                <w:bCs/>
                <w:color w:val="000000"/>
                <w:sz w:val="20"/>
                <w:szCs w:val="20"/>
              </w:rPr>
            </w:pPr>
            <w:r w:rsidRPr="008D79A5">
              <w:rPr>
                <w:b/>
                <w:bCs/>
                <w:color w:val="000000"/>
                <w:sz w:val="20"/>
                <w:szCs w:val="20"/>
              </w:rPr>
              <w:t>SAF</w:t>
            </w:r>
          </w:p>
        </w:tc>
        <w:tc>
          <w:tcPr>
            <w:tcW w:w="1498" w:type="dxa"/>
            <w:tcBorders>
              <w:top w:val="nil"/>
              <w:left w:val="nil"/>
              <w:bottom w:val="nil"/>
              <w:right w:val="nil"/>
            </w:tcBorders>
          </w:tcPr>
          <w:p w14:paraId="73E129EC"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12</w:t>
            </w:r>
          </w:p>
        </w:tc>
        <w:tc>
          <w:tcPr>
            <w:tcW w:w="1551" w:type="dxa"/>
            <w:tcBorders>
              <w:top w:val="nil"/>
              <w:left w:val="nil"/>
              <w:bottom w:val="nil"/>
              <w:right w:val="nil"/>
            </w:tcBorders>
          </w:tcPr>
          <w:p w14:paraId="20124616"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7</w:t>
            </w:r>
          </w:p>
        </w:tc>
        <w:tc>
          <w:tcPr>
            <w:tcW w:w="1488" w:type="dxa"/>
            <w:tcBorders>
              <w:top w:val="nil"/>
              <w:left w:val="nil"/>
              <w:bottom w:val="nil"/>
              <w:right w:val="nil"/>
            </w:tcBorders>
          </w:tcPr>
          <w:p w14:paraId="78177D80"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7</w:t>
            </w:r>
          </w:p>
        </w:tc>
        <w:tc>
          <w:tcPr>
            <w:tcW w:w="1521" w:type="dxa"/>
            <w:tcBorders>
              <w:top w:val="nil"/>
              <w:left w:val="nil"/>
              <w:bottom w:val="nil"/>
              <w:right w:val="nil"/>
            </w:tcBorders>
          </w:tcPr>
          <w:p w14:paraId="38368A97"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7</w:t>
            </w:r>
          </w:p>
        </w:tc>
        <w:tc>
          <w:tcPr>
            <w:tcW w:w="1419" w:type="dxa"/>
            <w:tcBorders>
              <w:top w:val="nil"/>
              <w:left w:val="nil"/>
              <w:bottom w:val="nil"/>
              <w:right w:val="nil"/>
            </w:tcBorders>
          </w:tcPr>
          <w:p w14:paraId="1F6F9CB2" w14:textId="77777777" w:rsidR="001E680B" w:rsidRPr="008D79A5" w:rsidRDefault="001E680B" w:rsidP="00DC1930">
            <w:pPr>
              <w:pStyle w:val="NormalWeb"/>
              <w:spacing w:before="0" w:beforeAutospacing="0" w:after="0" w:afterAutospacing="0"/>
              <w:jc w:val="both"/>
              <w:rPr>
                <w:b/>
                <w:bCs/>
                <w:color w:val="000000"/>
                <w:sz w:val="20"/>
                <w:szCs w:val="20"/>
              </w:rPr>
            </w:pPr>
            <w:r w:rsidRPr="008D79A5">
              <w:rPr>
                <w:b/>
                <w:bCs/>
                <w:color w:val="000000"/>
                <w:sz w:val="20"/>
                <w:szCs w:val="20"/>
              </w:rPr>
              <w:t>8</w:t>
            </w:r>
          </w:p>
        </w:tc>
      </w:tr>
      <w:tr w:rsidR="001E680B" w:rsidRPr="008D79A5" w14:paraId="6754805E" w14:textId="77777777" w:rsidTr="00DC1930">
        <w:tc>
          <w:tcPr>
            <w:tcW w:w="1539" w:type="dxa"/>
            <w:tcBorders>
              <w:top w:val="nil"/>
              <w:left w:val="nil"/>
              <w:bottom w:val="single" w:sz="18" w:space="0" w:color="auto"/>
              <w:right w:val="nil"/>
            </w:tcBorders>
          </w:tcPr>
          <w:p w14:paraId="4DF3FEA2" w14:textId="77777777" w:rsidR="001E680B" w:rsidRPr="008D79A5" w:rsidRDefault="001E680B" w:rsidP="00DC1930">
            <w:pPr>
              <w:pStyle w:val="NormalWeb"/>
              <w:spacing w:before="0" w:beforeAutospacing="0" w:after="0" w:afterAutospacing="0"/>
              <w:jc w:val="both"/>
              <w:rPr>
                <w:b/>
                <w:bCs/>
                <w:color w:val="000000"/>
                <w:sz w:val="20"/>
                <w:szCs w:val="20"/>
              </w:rPr>
            </w:pPr>
            <w:r w:rsidRPr="008D79A5">
              <w:rPr>
                <w:b/>
                <w:bCs/>
                <w:color w:val="000000"/>
                <w:sz w:val="20"/>
                <w:szCs w:val="20"/>
              </w:rPr>
              <w:t>PAN</w:t>
            </w:r>
          </w:p>
        </w:tc>
        <w:tc>
          <w:tcPr>
            <w:tcW w:w="1498" w:type="dxa"/>
            <w:tcBorders>
              <w:top w:val="nil"/>
              <w:left w:val="nil"/>
              <w:bottom w:val="single" w:sz="18" w:space="0" w:color="auto"/>
              <w:right w:val="nil"/>
            </w:tcBorders>
          </w:tcPr>
          <w:p w14:paraId="247C5B14"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12</w:t>
            </w:r>
          </w:p>
        </w:tc>
        <w:tc>
          <w:tcPr>
            <w:tcW w:w="1551" w:type="dxa"/>
            <w:tcBorders>
              <w:top w:val="nil"/>
              <w:left w:val="nil"/>
              <w:bottom w:val="single" w:sz="18" w:space="0" w:color="auto"/>
              <w:right w:val="nil"/>
            </w:tcBorders>
          </w:tcPr>
          <w:p w14:paraId="51BEDA04"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14</w:t>
            </w:r>
          </w:p>
        </w:tc>
        <w:tc>
          <w:tcPr>
            <w:tcW w:w="1488" w:type="dxa"/>
            <w:tcBorders>
              <w:top w:val="nil"/>
              <w:left w:val="nil"/>
              <w:bottom w:val="single" w:sz="18" w:space="0" w:color="auto"/>
              <w:right w:val="nil"/>
            </w:tcBorders>
          </w:tcPr>
          <w:p w14:paraId="21BEBDCC"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31</w:t>
            </w:r>
          </w:p>
        </w:tc>
        <w:tc>
          <w:tcPr>
            <w:tcW w:w="1521" w:type="dxa"/>
            <w:tcBorders>
              <w:top w:val="nil"/>
              <w:left w:val="nil"/>
              <w:bottom w:val="single" w:sz="18" w:space="0" w:color="auto"/>
              <w:right w:val="nil"/>
            </w:tcBorders>
          </w:tcPr>
          <w:p w14:paraId="2D83F5A1" w14:textId="77777777" w:rsidR="001E680B" w:rsidRPr="008D79A5" w:rsidRDefault="001E680B" w:rsidP="00DC1930">
            <w:pPr>
              <w:pStyle w:val="NormalWeb"/>
              <w:spacing w:before="0" w:beforeAutospacing="0" w:after="0" w:afterAutospacing="0"/>
              <w:jc w:val="both"/>
              <w:rPr>
                <w:color w:val="000000"/>
                <w:sz w:val="20"/>
                <w:szCs w:val="20"/>
              </w:rPr>
            </w:pPr>
            <w:r w:rsidRPr="008D79A5">
              <w:rPr>
                <w:color w:val="000000"/>
                <w:sz w:val="20"/>
                <w:szCs w:val="20"/>
              </w:rPr>
              <w:t>15</w:t>
            </w:r>
          </w:p>
        </w:tc>
        <w:tc>
          <w:tcPr>
            <w:tcW w:w="1419" w:type="dxa"/>
            <w:tcBorders>
              <w:top w:val="nil"/>
              <w:left w:val="nil"/>
              <w:bottom w:val="single" w:sz="18" w:space="0" w:color="auto"/>
              <w:right w:val="nil"/>
            </w:tcBorders>
          </w:tcPr>
          <w:p w14:paraId="3A72F602" w14:textId="77777777" w:rsidR="001E680B" w:rsidRPr="008D79A5" w:rsidRDefault="001E680B" w:rsidP="00DC1930">
            <w:pPr>
              <w:pStyle w:val="NormalWeb"/>
              <w:spacing w:before="0" w:beforeAutospacing="0" w:after="0" w:afterAutospacing="0"/>
              <w:jc w:val="both"/>
              <w:rPr>
                <w:b/>
                <w:bCs/>
                <w:color w:val="000000"/>
                <w:sz w:val="20"/>
                <w:szCs w:val="20"/>
              </w:rPr>
            </w:pPr>
            <w:r w:rsidRPr="008D79A5">
              <w:rPr>
                <w:b/>
                <w:bCs/>
                <w:color w:val="000000"/>
                <w:sz w:val="20"/>
                <w:szCs w:val="20"/>
              </w:rPr>
              <w:t>16</w:t>
            </w:r>
          </w:p>
        </w:tc>
      </w:tr>
    </w:tbl>
    <w:p w14:paraId="6B6E342D" w14:textId="77777777" w:rsidR="001E680B" w:rsidRDefault="001E680B" w:rsidP="001E680B">
      <w:pPr>
        <w:spacing w:line="240" w:lineRule="auto"/>
        <w:rPr>
          <w:rFonts w:ascii="Times New Roman" w:hAnsi="Times New Roman" w:cs="Times New Roman"/>
          <w:b/>
          <w:bCs/>
          <w:sz w:val="20"/>
          <w:szCs w:val="20"/>
          <w:u w:val="single"/>
        </w:rPr>
      </w:pPr>
    </w:p>
    <w:p w14:paraId="60A4E90A" w14:textId="77777777" w:rsidR="009C3001" w:rsidRPr="00050224" w:rsidRDefault="009C3001" w:rsidP="009C3001">
      <w:pPr>
        <w:pStyle w:val="Heading1"/>
        <w:rPr>
          <w:rFonts w:ascii="Times New Roman" w:hAnsi="Times New Roman" w:cs="Times New Roman"/>
          <w:b/>
          <w:bCs/>
          <w:color w:val="auto"/>
          <w:sz w:val="20"/>
          <w:szCs w:val="20"/>
        </w:rPr>
      </w:pPr>
      <w:r w:rsidRPr="00050224">
        <w:rPr>
          <w:rFonts w:ascii="Times New Roman" w:hAnsi="Times New Roman" w:cs="Times New Roman"/>
          <w:b/>
          <w:bCs/>
          <w:color w:val="auto"/>
          <w:sz w:val="20"/>
          <w:szCs w:val="20"/>
        </w:rPr>
        <w:t>Text S1. Description of run BASE-HFCs</w:t>
      </w:r>
    </w:p>
    <w:p w14:paraId="0ADD609D" w14:textId="44AD71EB" w:rsidR="009C3001" w:rsidRPr="009C3001" w:rsidRDefault="009C3001" w:rsidP="009C3001">
      <w:pPr>
        <w:spacing w:line="360" w:lineRule="auto"/>
        <w:jc w:val="both"/>
      </w:pPr>
      <w:r w:rsidRPr="00050224">
        <w:rPr>
          <w:rFonts w:ascii="Times New Roman" w:hAnsi="Times New Roman" w:cs="Times New Roman"/>
          <w:sz w:val="20"/>
          <w:szCs w:val="20"/>
        </w:rPr>
        <w:t>TFA production from HFO-1234yf was compared to production from long-lived CFC replacements (HCFCs (123,124,133a) and HFCs (134a, 227ea, 143a, 245fa, 365mfc, 43-10mee) in 2024 (run HFC-</w:t>
      </w:r>
      <w:proofErr w:type="spellStart"/>
      <w:r w:rsidRPr="00050224">
        <w:rPr>
          <w:rFonts w:ascii="Times New Roman" w:hAnsi="Times New Roman" w:cs="Times New Roman"/>
          <w:sz w:val="20"/>
          <w:szCs w:val="20"/>
        </w:rPr>
        <w:t>emis</w:t>
      </w:r>
      <w:proofErr w:type="spellEnd"/>
      <w:r w:rsidRPr="00050224">
        <w:rPr>
          <w:rFonts w:ascii="Times New Roman" w:hAnsi="Times New Roman" w:cs="Times New Roman"/>
          <w:sz w:val="20"/>
          <w:szCs w:val="20"/>
        </w:rPr>
        <w:t xml:space="preserve">). We ran the model following the chemistry for the oxidation of HCFCs and HFCs to TFA prescribed in described in </w:t>
      </w:r>
      <w:r w:rsidRPr="00050224">
        <w:rPr>
          <w:rFonts w:ascii="Times New Roman" w:hAnsi="Times New Roman" w:cs="Times New Roman"/>
          <w:sz w:val="20"/>
          <w:szCs w:val="20"/>
        </w:rPr>
        <w:fldChar w:fldCharType="begin"/>
      </w:r>
      <w:r w:rsidRPr="00050224">
        <w:rPr>
          <w:rFonts w:ascii="Times New Roman" w:hAnsi="Times New Roman" w:cs="Times New Roman"/>
          <w:sz w:val="20"/>
          <w:szCs w:val="20"/>
        </w:rPr>
        <w:instrText xml:space="preserve"> ADDIN EN.CITE &lt;EndNote&gt;&lt;Cite AuthorYear="1"&gt;&lt;Author&gt;Hart&lt;/Author&gt;&lt;Year&gt;2026&lt;/Year&gt;&lt;RecNum&gt;195&lt;/RecNum&gt;&lt;DisplayText&gt;Hart et al. (2026)&lt;/DisplayText&gt;&lt;record&gt;&lt;rec-number&gt;195&lt;/rec-number&gt;&lt;foreign-keys&gt;&lt;key app="EN" db-id="prtxpzvtkaat9ce2fe5xwwped25xefdzxvfp" timestamp="1776777131"&gt;195&lt;/key&gt;&lt;/foreign-keys&gt;&lt;ref-type name="Journal Article"&gt;17&lt;/ref-type&gt;&lt;contributors&gt;&lt;authors&gt;&lt;author&gt;Hart, Lucy&lt;/author&gt;&lt;author&gt;Hossaini, Ryan&lt;/author&gt;&lt;author&gt;Wild, Oliver&lt;/author&gt;&lt;author&gt;Mazzeo, Andrea&lt;/author&gt;&lt;author&gt;Halsall, Crispin&lt;/author&gt;&lt;author&gt;Hou, Xuewei&lt;/author&gt;&lt;author&gt;Wang, Zihao&lt;/author&gt;&lt;author&gt;Chipperfield, Martyn P.&lt;/author&gt;&lt;author&gt;Arduini, Jgor&lt;/author&gt;&lt;author&gt;Krummel, Paul B.&lt;/author&gt;&lt;author&gt;Lunder, Chris R.&lt;/author&gt;&lt;author&gt;Mühle, Jens&lt;/author&gt;&lt;author&gt;O’Doherty, Simon&lt;/author&gt;&lt;author&gt;Park, Sunyoung&lt;/author&gt;&lt;author&gt;Reimann, Stefan&lt;/author&gt;&lt;author&gt;Stanley, Kieran M.&lt;/author&gt;&lt;author&gt;Weiss, Ray F.&lt;/author&gt;&lt;author&gt;Young, Dickon&lt;/author&gt;&lt;/authors&gt;&lt;/contributors&gt;&lt;titles&gt;&lt;title&gt;Growth in Production and Environmental Deposition of Trifluoroacetic Acid Due To Long-Lived CFC Replacements and Anesthetics&lt;/title&gt;&lt;secondary-title&gt;Geophysical Research Letters&lt;/secondary-title&gt;&lt;/titles&gt;&lt;periodical&gt;&lt;full-title&gt;Geophysical Research Letters&lt;/full-title&gt;&lt;/periodical&gt;&lt;pages&gt;e2025GL119216&lt;/pages&gt;&lt;volume&gt;53&lt;/volume&gt;&lt;number&gt;3&lt;/number&gt;&lt;keywords&gt;&lt;keyword&gt;trifluoroacetic acid&lt;/keyword&gt;&lt;keyword&gt;chlorofluorocarbon replacements&lt;/keyword&gt;&lt;keyword&gt;atmospheric chemistry&lt;/keyword&gt;&lt;keyword&gt;Arctic pollution&lt;/keyword&gt;&lt;keyword&gt;global chemistry transport model&lt;/keyword&gt;&lt;keyword&gt;TFA sources&lt;/keyword&gt;&lt;/keywords&gt;&lt;dates&gt;&lt;year&gt;2026&lt;/year&gt;&lt;pub-dates&gt;&lt;date&gt;2026/02/16&lt;/date&gt;&lt;/pub-dates&gt;&lt;/dates&gt;&lt;publisher&gt;John Wiley &amp;amp; Sons, Ltd&lt;/publisher&gt;&lt;isbn&gt;0094-8276&lt;/isbn&gt;&lt;urls&gt;&lt;related-urls&gt;&lt;url&gt;https://doi.org/10.1029/2025GL119216&lt;/url&gt;&lt;/related-urls&gt;&lt;/urls&gt;&lt;electronic-resource-num&gt;https://doi.org/10.1029/2025GL119216&lt;/electronic-resource-num&gt;&lt;access-date&gt;2026/04/21&lt;/access-date&gt;&lt;/record&gt;&lt;/Cite&gt;&lt;/EndNote&gt;</w:instrText>
      </w:r>
      <w:r w:rsidRPr="00050224">
        <w:rPr>
          <w:rFonts w:ascii="Times New Roman" w:hAnsi="Times New Roman" w:cs="Times New Roman"/>
          <w:sz w:val="20"/>
          <w:szCs w:val="20"/>
        </w:rPr>
        <w:fldChar w:fldCharType="separate"/>
      </w:r>
      <w:r w:rsidRPr="00050224">
        <w:rPr>
          <w:rFonts w:ascii="Times New Roman" w:hAnsi="Times New Roman" w:cs="Times New Roman"/>
          <w:noProof/>
          <w:sz w:val="20"/>
          <w:szCs w:val="20"/>
        </w:rPr>
        <w:t>Hart et al. (2026)</w:t>
      </w:r>
      <w:r w:rsidRPr="00050224">
        <w:rPr>
          <w:rFonts w:ascii="Times New Roman" w:hAnsi="Times New Roman" w:cs="Times New Roman"/>
          <w:sz w:val="20"/>
          <w:szCs w:val="20"/>
        </w:rPr>
        <w:fldChar w:fldCharType="end"/>
      </w:r>
      <w:r w:rsidRPr="00050224">
        <w:rPr>
          <w:rFonts w:ascii="Times New Roman" w:hAnsi="Times New Roman" w:cs="Times New Roman"/>
          <w:sz w:val="20"/>
          <w:szCs w:val="20"/>
        </w:rPr>
        <w:t>. E</w:t>
      </w:r>
      <w:r w:rsidRPr="00050224">
        <w:rPr>
          <w:rFonts w:ascii="Times New Roman" w:hAnsi="Times New Roman" w:cs="Times New Roman"/>
          <w:sz w:val="20"/>
          <w:szCs w:val="20"/>
          <w:lang w:val="en-US"/>
        </w:rPr>
        <w:t xml:space="preserve">missions of the HCFCs and HFCs were included following the spatial distribution of emissions from the gridded Emissions Database for Global Atmospheric Research (EDGAR) inventories (Crippa et al., 2024), scaled to </w:t>
      </w:r>
      <w:r w:rsidRPr="00050224">
        <w:rPr>
          <w:rFonts w:ascii="Times New Roman" w:hAnsi="Times New Roman" w:cs="Times New Roman"/>
          <w:sz w:val="20"/>
          <w:szCs w:val="20"/>
        </w:rPr>
        <w:t xml:space="preserve">emission estimates from the AGAGE 12-box model </w:t>
      </w:r>
      <w:r w:rsidRPr="00050224">
        <w:rPr>
          <w:rFonts w:ascii="Times New Roman" w:hAnsi="Times New Roman" w:cs="Times New Roman"/>
          <w:sz w:val="20"/>
          <w:szCs w:val="20"/>
        </w:rPr>
        <w:fldChar w:fldCharType="begin"/>
      </w:r>
      <w:r w:rsidRPr="00050224">
        <w:rPr>
          <w:rFonts w:ascii="Times New Roman" w:hAnsi="Times New Roman" w:cs="Times New Roman"/>
          <w:sz w:val="20"/>
          <w:szCs w:val="20"/>
        </w:rPr>
        <w:instrText xml:space="preserve"> ADDIN EN.CITE &lt;EndNote&gt;&lt;Cite&gt;&lt;Author&gt;Western&lt;/Author&gt;&lt;Year&gt;2025&lt;/Year&gt;&lt;RecNum&gt;172&lt;/RecNum&gt;&lt;Prefix&gt;see &lt;/Prefix&gt;&lt;DisplayText&gt;(see Western et al., 2025)&lt;/DisplayText&gt;&lt;record&gt;&lt;rec-number&gt;172&lt;/rec-number&gt;&lt;foreign-keys&gt;&lt;key app="EN" db-id="prtxpzvtkaat9ce2fe5xwwped25xefdzxvfp" timestamp="1771259082"&gt;172&lt;/key&gt;&lt;/foreign-keys&gt;&lt;ref-type name="Journal Article"&gt;17&lt;/ref-type&gt;&lt;contributors&gt;&lt;authors&gt;&lt;author&gt;Western, L. M.&lt;/author&gt;&lt;author&gt;Rigby, M.&lt;/author&gt;&lt;author&gt;Mühle, J.&lt;/author&gt;&lt;author&gt;Krummel, P. B.&lt;/author&gt;&lt;author&gt;Lunder, C. R.&lt;/author&gt;&lt;author&gt;O&amp;apos;Doherty, S.&lt;/author&gt;&lt;author&gt;Reimann, S.&lt;/author&gt;&lt;author&gt;Vollmer, M. K.&lt;/author&gt;&lt;author&gt;Young, D.&lt;/author&gt;&lt;author&gt;Adam, B.&lt;/author&gt;&lt;author&gt;Fraser, P. J.&lt;/author&gt;&lt;author&gt;Ganesan, A. L.&lt;/author&gt;&lt;author&gt;Harth, C. M.&lt;/author&gt;&lt;author&gt;Hermansen, O.&lt;/author&gt;&lt;author&gt;Kim, J.&lt;/author&gt;&lt;author&gt;Langenfelds, R. L.&lt;/author&gt;&lt;author&gt;Loh, Z. M.&lt;/author&gt;&lt;author&gt;Mitrevski, B.&lt;/author&gt;&lt;author&gt;Pitt, J. R.&lt;/author&gt;&lt;author&gt;Salameh, P. K.&lt;/author&gt;&lt;author&gt;Schmidt, R.&lt;/author&gt;&lt;author&gt;Stanley, K.&lt;/author&gt;&lt;author&gt;Stavert, A. R.&lt;/author&gt;&lt;author&gt;Wang, H. J.&lt;/author&gt;&lt;author&gt;Weiss, R. F.&lt;/author&gt;&lt;author&gt;Prinn, R. G.&lt;/author&gt;&lt;/authors&gt;&lt;/contributors&gt;&lt;titles&gt;&lt;title&gt;Global emissions and abundances of chemically and radiatively important trace gases from the AGAGE network&lt;/title&gt;&lt;secondary-title&gt;Earth Syst. Sci. Data&lt;/secondary-title&gt;&lt;/titles&gt;&lt;periodical&gt;&lt;full-title&gt;Earth Syst. Sci. Data&lt;/full-title&gt;&lt;/periodical&gt;&lt;pages&gt;6557-6582&lt;/pages&gt;&lt;volume&gt;17&lt;/volume&gt;&lt;number&gt;11&lt;/number&gt;&lt;dates&gt;&lt;year&gt;2025&lt;/year&gt;&lt;/dates&gt;&lt;publisher&gt;Copernicus Publications&lt;/publisher&gt;&lt;isbn&gt;1866-3516&lt;/isbn&gt;&lt;urls&gt;&lt;related-urls&gt;&lt;url&gt;https://essd.copernicus.org/articles/17/6557/2025/&lt;/url&gt;&lt;/related-urls&gt;&lt;/urls&gt;&lt;electronic-resource-num&gt;10.5194/essd-17-6557-2025&lt;/electronic-resource-num&gt;&lt;/record&gt;&lt;/Cite&gt;&lt;/EndNote&gt;</w:instrText>
      </w:r>
      <w:r w:rsidRPr="00050224">
        <w:rPr>
          <w:rFonts w:ascii="Times New Roman" w:hAnsi="Times New Roman" w:cs="Times New Roman"/>
          <w:sz w:val="20"/>
          <w:szCs w:val="20"/>
        </w:rPr>
        <w:fldChar w:fldCharType="separate"/>
      </w:r>
      <w:r w:rsidRPr="00050224">
        <w:rPr>
          <w:rFonts w:ascii="Times New Roman" w:hAnsi="Times New Roman" w:cs="Times New Roman"/>
          <w:noProof/>
          <w:sz w:val="20"/>
          <w:szCs w:val="20"/>
        </w:rPr>
        <w:t>(see Western et al., 2025)</w:t>
      </w:r>
      <w:r w:rsidRPr="00050224">
        <w:rPr>
          <w:rFonts w:ascii="Times New Roman" w:hAnsi="Times New Roman" w:cs="Times New Roman"/>
          <w:sz w:val="20"/>
          <w:szCs w:val="20"/>
        </w:rPr>
        <w:fldChar w:fldCharType="end"/>
      </w:r>
      <w:r w:rsidRPr="00050224">
        <w:rPr>
          <w:rFonts w:ascii="Times New Roman" w:hAnsi="Times New Roman" w:cs="Times New Roman"/>
          <w:sz w:val="20"/>
          <w:szCs w:val="20"/>
          <w:lang w:val="en-US"/>
        </w:rPr>
        <w:t>. Inventories from EDGAR are available for all HFCs considered here but not for the three HCFCs (123, 124, 133a). For these three HCFCs we used the spatial distribution of HFC-134a emissions as a reasonable proxy. Run HFC</w:t>
      </w:r>
      <w:r w:rsidRPr="00050224">
        <w:rPr>
          <w:rFonts w:ascii="Times New Roman" w:hAnsi="Times New Roman" w:cs="Times New Roman"/>
          <w:sz w:val="20"/>
          <w:szCs w:val="20"/>
          <w:lang w:val="en-US"/>
        </w:rPr>
        <w:noBreakHyphen/>
      </w:r>
      <w:proofErr w:type="spellStart"/>
      <w:r w:rsidRPr="00050224">
        <w:rPr>
          <w:rFonts w:ascii="Times New Roman" w:hAnsi="Times New Roman" w:cs="Times New Roman"/>
          <w:sz w:val="20"/>
          <w:szCs w:val="20"/>
          <w:lang w:val="en-US"/>
        </w:rPr>
        <w:t>emis</w:t>
      </w:r>
      <w:proofErr w:type="spellEnd"/>
      <w:r w:rsidRPr="00050224">
        <w:rPr>
          <w:rFonts w:ascii="Times New Roman" w:hAnsi="Times New Roman" w:cs="Times New Roman"/>
          <w:sz w:val="20"/>
          <w:szCs w:val="20"/>
          <w:lang w:val="en-US"/>
        </w:rPr>
        <w:t> was </w:t>
      </w:r>
      <w:proofErr w:type="spellStart"/>
      <w:r w:rsidRPr="00050224">
        <w:rPr>
          <w:rFonts w:ascii="Times New Roman" w:hAnsi="Times New Roman" w:cs="Times New Roman"/>
          <w:sz w:val="20"/>
          <w:szCs w:val="20"/>
          <w:lang w:val="en-US"/>
        </w:rPr>
        <w:t>initialised</w:t>
      </w:r>
      <w:proofErr w:type="spellEnd"/>
      <w:r w:rsidRPr="00050224">
        <w:rPr>
          <w:rFonts w:ascii="Times New Roman" w:hAnsi="Times New Roman" w:cs="Times New Roman"/>
          <w:sz w:val="20"/>
          <w:szCs w:val="20"/>
          <w:lang w:val="en-US"/>
        </w:rPr>
        <w:t> from a concentration-driven run from 2022 and run at T42 resolution for the years of 2023 and 2024. </w:t>
      </w:r>
      <w:r w:rsidRPr="00050224">
        <w:rPr>
          <w:rFonts w:ascii="Times New Roman" w:hAnsi="Times New Roman" w:cs="Times New Roman"/>
          <w:sz w:val="20"/>
          <w:szCs w:val="20"/>
        </w:rPr>
        <w:t> </w:t>
      </w:r>
    </w:p>
    <w:p w14:paraId="7DD4A1CC" w14:textId="77777777" w:rsidR="001E680B" w:rsidRPr="008D79A5" w:rsidRDefault="001E680B" w:rsidP="001E680B">
      <w:pPr>
        <w:pStyle w:val="Heading2"/>
        <w:spacing w:line="240" w:lineRule="auto"/>
        <w:rPr>
          <w:rFonts w:ascii="Times New Roman" w:hAnsi="Times New Roman" w:cs="Times New Roman"/>
          <w:b/>
          <w:bCs/>
          <w:color w:val="auto"/>
          <w:sz w:val="20"/>
          <w:szCs w:val="20"/>
        </w:rPr>
      </w:pPr>
      <w:r w:rsidRPr="008D79A5">
        <w:rPr>
          <w:rFonts w:ascii="Times New Roman" w:hAnsi="Times New Roman" w:cs="Times New Roman"/>
          <w:b/>
          <w:bCs/>
          <w:color w:val="auto"/>
          <w:sz w:val="20"/>
          <w:szCs w:val="20"/>
        </w:rPr>
        <w:t>References</w:t>
      </w:r>
    </w:p>
    <w:p w14:paraId="6C97C065" w14:textId="77777777" w:rsidR="00B837D7" w:rsidRPr="00B837D7" w:rsidRDefault="00B837D7" w:rsidP="00B837D7">
      <w:pPr>
        <w:spacing w:after="0" w:line="240" w:lineRule="auto"/>
        <w:ind w:left="720" w:hanging="720"/>
        <w:rPr>
          <w:rFonts w:ascii="Times New Roman" w:hAnsi="Times New Roman" w:cs="Times New Roman"/>
          <w:noProof/>
          <w:sz w:val="20"/>
          <w:szCs w:val="20"/>
        </w:rPr>
      </w:pPr>
      <w:r w:rsidRPr="00B837D7">
        <w:rPr>
          <w:rFonts w:ascii="Times New Roman" w:hAnsi="Times New Roman" w:cs="Times New Roman"/>
          <w:noProof/>
          <w:sz w:val="20"/>
          <w:szCs w:val="20"/>
        </w:rPr>
        <w:t xml:space="preserve">Hart, L., Hossaini, R., Wild, O., Mazzeo, A., Halsall, C., Hou, X., Wang, Z., Chipperfield, M. P., Arduini, J., Krummel, P. B., Lunder, C. R., Mühle, J., O'Doherty, S., Park, S., Reimann, S., Stanley, K. M., Weiss, R. F., and Young, D.: Growth in production and environmental deposition of trifluoroacetic acid due to long-lived CFC replacements and anesthetics, Geophys. Res. Lett., 53, e2025GL119216, </w:t>
      </w:r>
      <w:hyperlink r:id="rId15" w:history="1">
        <w:r w:rsidRPr="00B837D7">
          <w:rPr>
            <w:rStyle w:val="Hyperlink"/>
            <w:rFonts w:ascii="Times New Roman" w:hAnsi="Times New Roman" w:cs="Times New Roman"/>
            <w:noProof/>
            <w:sz w:val="20"/>
            <w:szCs w:val="20"/>
            <w:u w:val="none"/>
          </w:rPr>
          <w:t>https://doi.org/10.1029/2025GL119216</w:t>
        </w:r>
      </w:hyperlink>
      <w:r w:rsidRPr="00B837D7">
        <w:rPr>
          <w:rFonts w:ascii="Times New Roman" w:hAnsi="Times New Roman" w:cs="Times New Roman"/>
          <w:noProof/>
          <w:sz w:val="20"/>
          <w:szCs w:val="20"/>
        </w:rPr>
        <w:t>, 2026.</w:t>
      </w:r>
    </w:p>
    <w:p w14:paraId="14BCC72C" w14:textId="77777777" w:rsidR="00B837D7" w:rsidRPr="00B837D7" w:rsidRDefault="00B837D7" w:rsidP="00B837D7">
      <w:pPr>
        <w:spacing w:after="0" w:line="240" w:lineRule="auto"/>
        <w:ind w:left="720" w:hanging="720"/>
        <w:rPr>
          <w:rFonts w:ascii="Times New Roman" w:hAnsi="Times New Roman" w:cs="Times New Roman"/>
          <w:noProof/>
          <w:sz w:val="20"/>
          <w:szCs w:val="20"/>
        </w:rPr>
      </w:pPr>
      <w:r w:rsidRPr="00B837D7">
        <w:rPr>
          <w:rFonts w:ascii="Times New Roman" w:hAnsi="Times New Roman" w:cs="Times New Roman"/>
          <w:noProof/>
          <w:sz w:val="20"/>
          <w:szCs w:val="20"/>
        </w:rPr>
        <w:t xml:space="preserve">Holland, R., Adam, B., H Khan, M. A., Young, D., O'Doherty, S., Stanley, K. M., Rigby, M., and Shallcross, D. E.: TFA generation and deposition over Europe may currently see a greater influence from HFO-1234yf than HFC-134a, Environ. Sci. Technol. Lett., </w:t>
      </w:r>
      <w:hyperlink r:id="rId16" w:history="1">
        <w:r w:rsidRPr="00B837D7">
          <w:rPr>
            <w:rStyle w:val="Hyperlink"/>
            <w:rFonts w:ascii="Times New Roman" w:hAnsi="Times New Roman" w:cs="Times New Roman"/>
            <w:noProof/>
            <w:sz w:val="20"/>
            <w:szCs w:val="20"/>
            <w:u w:val="none"/>
          </w:rPr>
          <w:t>https://doi.org/10.1021/acs.estlett.6c00356</w:t>
        </w:r>
      </w:hyperlink>
      <w:r w:rsidRPr="00B837D7">
        <w:rPr>
          <w:rFonts w:ascii="Times New Roman" w:hAnsi="Times New Roman" w:cs="Times New Roman"/>
          <w:noProof/>
          <w:sz w:val="20"/>
          <w:szCs w:val="20"/>
        </w:rPr>
        <w:t>, 2026.</w:t>
      </w:r>
    </w:p>
    <w:p w14:paraId="2931ACCA" w14:textId="77777777" w:rsidR="00B837D7" w:rsidRPr="00B837D7" w:rsidRDefault="00B837D7" w:rsidP="00B837D7">
      <w:pPr>
        <w:spacing w:after="0" w:line="240" w:lineRule="auto"/>
        <w:ind w:left="720" w:hanging="720"/>
        <w:rPr>
          <w:rFonts w:ascii="Times New Roman" w:hAnsi="Times New Roman" w:cs="Times New Roman"/>
          <w:noProof/>
          <w:sz w:val="20"/>
          <w:szCs w:val="20"/>
        </w:rPr>
      </w:pPr>
      <w:r w:rsidRPr="00B837D7">
        <w:rPr>
          <w:rFonts w:ascii="Times New Roman" w:hAnsi="Times New Roman" w:cs="Times New Roman"/>
          <w:noProof/>
          <w:sz w:val="20"/>
          <w:szCs w:val="20"/>
        </w:rPr>
        <w:t xml:space="preserve">Sander, R.: Compilation of Henry's law constants (version 5.0.0) for water as solvent, Atmos. Chem. Phys., 23, 10901–12440, </w:t>
      </w:r>
      <w:hyperlink r:id="rId17" w:history="1">
        <w:r w:rsidRPr="00B837D7">
          <w:rPr>
            <w:rStyle w:val="Hyperlink"/>
            <w:rFonts w:ascii="Times New Roman" w:hAnsi="Times New Roman" w:cs="Times New Roman"/>
            <w:noProof/>
            <w:sz w:val="20"/>
            <w:szCs w:val="20"/>
            <w:u w:val="none"/>
          </w:rPr>
          <w:t>https://doi.org/10.5194/acp-23-10901-2023</w:t>
        </w:r>
      </w:hyperlink>
      <w:r w:rsidRPr="00B837D7">
        <w:rPr>
          <w:rFonts w:ascii="Times New Roman" w:hAnsi="Times New Roman" w:cs="Times New Roman"/>
          <w:noProof/>
          <w:sz w:val="20"/>
          <w:szCs w:val="20"/>
        </w:rPr>
        <w:t>, 2023.</w:t>
      </w:r>
    </w:p>
    <w:p w14:paraId="71BE97FF" w14:textId="77777777" w:rsidR="00B837D7" w:rsidRPr="00B837D7" w:rsidRDefault="00B837D7" w:rsidP="00B837D7">
      <w:pPr>
        <w:spacing w:after="0" w:line="240" w:lineRule="auto"/>
        <w:ind w:left="720" w:hanging="720"/>
        <w:rPr>
          <w:rFonts w:ascii="Times New Roman" w:hAnsi="Times New Roman" w:cs="Times New Roman"/>
          <w:noProof/>
          <w:sz w:val="20"/>
          <w:szCs w:val="20"/>
        </w:rPr>
      </w:pPr>
      <w:r w:rsidRPr="00B837D7">
        <w:rPr>
          <w:rFonts w:ascii="Times New Roman" w:hAnsi="Times New Roman" w:cs="Times New Roman"/>
          <w:noProof/>
          <w:sz w:val="20"/>
          <w:szCs w:val="20"/>
        </w:rPr>
        <w:t xml:space="preserve">Western, L. M., Rigby, M., Mühle, J., Krummel, P. B., Lunder, C. R., O'Doherty, S., Reimann, S., Vollmer, M. K., Young, D., Adam, B., Fraser, P. J., Ganesan, A. L., Harth, C. M., Hermansen, O., Kim, J., Langenfelds, R. L., Loh, Z. M., Mitrevski, B., Pitt, J. R., Salameh, P. K., Schmidt, R., Stanley, K., Stavert, A. R., Wang, H. J., Weiss, R. F., and Prinn, R. G.: Global emissions and abundances of chemically and radiatively important trace gases from the AGAGE network, Earth Syst. Sci. Data, 17, 6557–6582, </w:t>
      </w:r>
      <w:hyperlink r:id="rId18" w:history="1">
        <w:r w:rsidRPr="00B837D7">
          <w:rPr>
            <w:rStyle w:val="Hyperlink"/>
            <w:rFonts w:ascii="Times New Roman" w:hAnsi="Times New Roman" w:cs="Times New Roman"/>
            <w:noProof/>
            <w:sz w:val="20"/>
            <w:szCs w:val="20"/>
            <w:u w:val="none"/>
          </w:rPr>
          <w:t>https://doi.org/10.5194/essd-17-6557-2025</w:t>
        </w:r>
      </w:hyperlink>
      <w:r w:rsidRPr="00B837D7">
        <w:rPr>
          <w:rFonts w:ascii="Times New Roman" w:hAnsi="Times New Roman" w:cs="Times New Roman"/>
          <w:noProof/>
          <w:sz w:val="20"/>
          <w:szCs w:val="20"/>
        </w:rPr>
        <w:t>, 2025.</w:t>
      </w:r>
    </w:p>
    <w:p w14:paraId="37DA10F1" w14:textId="77777777" w:rsidR="00B837D7" w:rsidRPr="00B837D7" w:rsidRDefault="00B837D7" w:rsidP="00B837D7">
      <w:pPr>
        <w:spacing w:after="0" w:line="240" w:lineRule="auto"/>
        <w:ind w:left="720" w:hanging="720"/>
        <w:rPr>
          <w:rFonts w:ascii="Times New Roman" w:hAnsi="Times New Roman" w:cs="Times New Roman"/>
          <w:noProof/>
          <w:sz w:val="20"/>
          <w:szCs w:val="20"/>
          <w:u w:val="single"/>
        </w:rPr>
      </w:pPr>
      <w:r w:rsidRPr="00B837D7">
        <w:rPr>
          <w:rFonts w:ascii="Times New Roman" w:hAnsi="Times New Roman" w:cs="Times New Roman"/>
          <w:noProof/>
          <w:sz w:val="20"/>
          <w:szCs w:val="20"/>
        </w:rPr>
        <w:t xml:space="preserve">Wild, O., Rattigan, O. V., Jones, R. L., Pyle, J. A., and Cox, R. A.: Two-dimensional modelling of some CFC replacement compounds, J. Atmos. Chem., 25, 167–199, </w:t>
      </w:r>
      <w:hyperlink r:id="rId19" w:history="1">
        <w:r w:rsidRPr="00B837D7">
          <w:rPr>
            <w:rStyle w:val="Hyperlink"/>
            <w:rFonts w:ascii="Times New Roman" w:hAnsi="Times New Roman" w:cs="Times New Roman"/>
            <w:noProof/>
            <w:sz w:val="20"/>
            <w:szCs w:val="20"/>
            <w:u w:val="none"/>
          </w:rPr>
          <w:t>https://doi.org/10.1007/BF00053790</w:t>
        </w:r>
      </w:hyperlink>
      <w:r w:rsidRPr="00B837D7">
        <w:rPr>
          <w:rFonts w:ascii="Times New Roman" w:hAnsi="Times New Roman" w:cs="Times New Roman"/>
          <w:noProof/>
          <w:sz w:val="20"/>
          <w:szCs w:val="20"/>
        </w:rPr>
        <w:t>, 1996.</w:t>
      </w:r>
    </w:p>
    <w:p w14:paraId="5954F095" w14:textId="76BA8546" w:rsidR="00427A9A" w:rsidRPr="008D79A5" w:rsidRDefault="00427A9A" w:rsidP="003326F8">
      <w:pPr>
        <w:spacing w:line="240" w:lineRule="auto"/>
        <w:rPr>
          <w:rFonts w:ascii="Times New Roman" w:hAnsi="Times New Roman" w:cs="Times New Roman"/>
          <w:sz w:val="20"/>
          <w:szCs w:val="20"/>
          <w:u w:val="single"/>
        </w:rPr>
      </w:pPr>
    </w:p>
    <w:sectPr w:rsidR="00427A9A" w:rsidRPr="008D79A5" w:rsidSect="006B0DB1">
      <w:footerReference w:type="default" r:id="rId20"/>
      <w:pgSz w:w="11906" w:h="16838"/>
      <w:pgMar w:top="1440" w:right="1440" w:bottom="1440" w:left="1440" w:header="709" w:footer="709" w:gutter="0"/>
      <w:lnNumType w:countBy="5"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ABBAD6" w14:textId="77777777" w:rsidR="003F22A2" w:rsidRDefault="003F22A2" w:rsidP="00F21D3E">
      <w:pPr>
        <w:spacing w:after="0" w:line="240" w:lineRule="auto"/>
      </w:pPr>
      <w:r>
        <w:separator/>
      </w:r>
    </w:p>
  </w:endnote>
  <w:endnote w:type="continuationSeparator" w:id="0">
    <w:p w14:paraId="32C670A1" w14:textId="77777777" w:rsidR="003F22A2" w:rsidRDefault="003F22A2" w:rsidP="00F21D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0798763"/>
      <w:docPartObj>
        <w:docPartGallery w:val="Page Numbers (Bottom of Page)"/>
        <w:docPartUnique/>
      </w:docPartObj>
    </w:sdtPr>
    <w:sdtContent>
      <w:p w14:paraId="3B5BD838" w14:textId="6F56FFDB" w:rsidR="00F21D3E" w:rsidRDefault="00F21D3E">
        <w:pPr>
          <w:pStyle w:val="Footer"/>
          <w:jc w:val="center"/>
        </w:pPr>
        <w:r>
          <w:fldChar w:fldCharType="begin"/>
        </w:r>
        <w:r>
          <w:instrText>PAGE   \* MERGEFORMAT</w:instrText>
        </w:r>
        <w:r>
          <w:fldChar w:fldCharType="separate"/>
        </w:r>
        <w:r>
          <w:t>2</w:t>
        </w:r>
        <w:r>
          <w:fldChar w:fldCharType="end"/>
        </w:r>
      </w:p>
    </w:sdtContent>
  </w:sdt>
  <w:p w14:paraId="5DEA3438" w14:textId="77777777" w:rsidR="00F21D3E" w:rsidRDefault="00F21D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B7AC51" w14:textId="77777777" w:rsidR="003F22A2" w:rsidRDefault="003F22A2" w:rsidP="00F21D3E">
      <w:pPr>
        <w:spacing w:after="0" w:line="240" w:lineRule="auto"/>
      </w:pPr>
      <w:r>
        <w:separator/>
      </w:r>
    </w:p>
  </w:footnote>
  <w:footnote w:type="continuationSeparator" w:id="0">
    <w:p w14:paraId="6765E3C6" w14:textId="77777777" w:rsidR="003F22A2" w:rsidRDefault="003F22A2" w:rsidP="00F21D3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9623E8"/>
    <w:multiLevelType w:val="hybridMultilevel"/>
    <w:tmpl w:val="7ADE24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134394B"/>
    <w:multiLevelType w:val="hybridMultilevel"/>
    <w:tmpl w:val="4538FE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3D05517"/>
    <w:multiLevelType w:val="hybridMultilevel"/>
    <w:tmpl w:val="2550C6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B56792E"/>
    <w:multiLevelType w:val="hybridMultilevel"/>
    <w:tmpl w:val="736C58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5A83ED3"/>
    <w:multiLevelType w:val="hybridMultilevel"/>
    <w:tmpl w:val="F02C6A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E4D5F83"/>
    <w:multiLevelType w:val="hybridMultilevel"/>
    <w:tmpl w:val="DB0C02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3567DF9"/>
    <w:multiLevelType w:val="hybridMultilevel"/>
    <w:tmpl w:val="1B3E78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82880962">
    <w:abstractNumId w:val="1"/>
  </w:num>
  <w:num w:numId="2" w16cid:durableId="859899490">
    <w:abstractNumId w:val="5"/>
  </w:num>
  <w:num w:numId="3" w16cid:durableId="1123689174">
    <w:abstractNumId w:val="3"/>
  </w:num>
  <w:num w:numId="4" w16cid:durableId="2046052857">
    <w:abstractNumId w:val="4"/>
  </w:num>
  <w:num w:numId="5" w16cid:durableId="729113466">
    <w:abstractNumId w:val="6"/>
  </w:num>
  <w:num w:numId="6" w16cid:durableId="1373533369">
    <w:abstractNumId w:val="2"/>
  </w:num>
  <w:num w:numId="7" w16cid:durableId="10784808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 w:name="EN.Layout" w:val="&lt;ENLayout&gt;&lt;Style&gt;Harvard (Lancaster University Librar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rtxpzvtkaat9ce2fe5xwwped25xefdzxvfp&quot;&gt;PhD Copy&lt;record-ids&gt;&lt;item&gt;172&lt;/item&gt;&lt;item&gt;195&lt;/item&gt;&lt;item&gt;218&lt;/item&gt;&lt;/record-ids&gt;&lt;/item&gt;&lt;/Libraries&gt;"/>
  </w:docVars>
  <w:rsids>
    <w:rsidRoot w:val="001E680B"/>
    <w:rsid w:val="0000296E"/>
    <w:rsid w:val="00005956"/>
    <w:rsid w:val="00011C5D"/>
    <w:rsid w:val="00023461"/>
    <w:rsid w:val="00030BA4"/>
    <w:rsid w:val="000438F7"/>
    <w:rsid w:val="00046833"/>
    <w:rsid w:val="00050224"/>
    <w:rsid w:val="00060D43"/>
    <w:rsid w:val="00067A8C"/>
    <w:rsid w:val="00073A8D"/>
    <w:rsid w:val="000949DD"/>
    <w:rsid w:val="000E53C2"/>
    <w:rsid w:val="000F2C0E"/>
    <w:rsid w:val="00123B4A"/>
    <w:rsid w:val="00126B2A"/>
    <w:rsid w:val="00137AF9"/>
    <w:rsid w:val="00140D97"/>
    <w:rsid w:val="001528E3"/>
    <w:rsid w:val="00192D6C"/>
    <w:rsid w:val="001B292B"/>
    <w:rsid w:val="001C6ABD"/>
    <w:rsid w:val="001E680B"/>
    <w:rsid w:val="001F6C9C"/>
    <w:rsid w:val="001F7967"/>
    <w:rsid w:val="00220308"/>
    <w:rsid w:val="002218E1"/>
    <w:rsid w:val="00226EF4"/>
    <w:rsid w:val="002703E1"/>
    <w:rsid w:val="00280723"/>
    <w:rsid w:val="00296429"/>
    <w:rsid w:val="002C1A96"/>
    <w:rsid w:val="002D16B8"/>
    <w:rsid w:val="002E33D0"/>
    <w:rsid w:val="00305540"/>
    <w:rsid w:val="00316DCD"/>
    <w:rsid w:val="003222BD"/>
    <w:rsid w:val="003326F8"/>
    <w:rsid w:val="00333803"/>
    <w:rsid w:val="003343B9"/>
    <w:rsid w:val="00356083"/>
    <w:rsid w:val="00357DF4"/>
    <w:rsid w:val="00360A81"/>
    <w:rsid w:val="003872BC"/>
    <w:rsid w:val="003D6CC4"/>
    <w:rsid w:val="003F15DC"/>
    <w:rsid w:val="003F22A2"/>
    <w:rsid w:val="004262D2"/>
    <w:rsid w:val="00427A9A"/>
    <w:rsid w:val="00433960"/>
    <w:rsid w:val="00453675"/>
    <w:rsid w:val="00463F4B"/>
    <w:rsid w:val="004719F6"/>
    <w:rsid w:val="004853C0"/>
    <w:rsid w:val="00494E8D"/>
    <w:rsid w:val="00496785"/>
    <w:rsid w:val="004A680E"/>
    <w:rsid w:val="004B0C1E"/>
    <w:rsid w:val="004B1101"/>
    <w:rsid w:val="004C5EA0"/>
    <w:rsid w:val="004D196E"/>
    <w:rsid w:val="004E272D"/>
    <w:rsid w:val="004E78E4"/>
    <w:rsid w:val="004F4150"/>
    <w:rsid w:val="00502D1F"/>
    <w:rsid w:val="00517239"/>
    <w:rsid w:val="00521DE2"/>
    <w:rsid w:val="0058506C"/>
    <w:rsid w:val="005873EF"/>
    <w:rsid w:val="005A7005"/>
    <w:rsid w:val="005E0C2A"/>
    <w:rsid w:val="005E7D86"/>
    <w:rsid w:val="00613A2F"/>
    <w:rsid w:val="00643250"/>
    <w:rsid w:val="00665C82"/>
    <w:rsid w:val="006B0DB1"/>
    <w:rsid w:val="006C5C20"/>
    <w:rsid w:val="0072041E"/>
    <w:rsid w:val="00746130"/>
    <w:rsid w:val="00797641"/>
    <w:rsid w:val="007D3C88"/>
    <w:rsid w:val="008062DA"/>
    <w:rsid w:val="0083023B"/>
    <w:rsid w:val="0083318C"/>
    <w:rsid w:val="00833665"/>
    <w:rsid w:val="0087243B"/>
    <w:rsid w:val="008A1429"/>
    <w:rsid w:val="008A335C"/>
    <w:rsid w:val="008A68B9"/>
    <w:rsid w:val="008B4164"/>
    <w:rsid w:val="008C3CE3"/>
    <w:rsid w:val="008D6632"/>
    <w:rsid w:val="008D79A5"/>
    <w:rsid w:val="008E0368"/>
    <w:rsid w:val="008F1C30"/>
    <w:rsid w:val="00917277"/>
    <w:rsid w:val="00920DC9"/>
    <w:rsid w:val="0093378F"/>
    <w:rsid w:val="00941A16"/>
    <w:rsid w:val="009545AA"/>
    <w:rsid w:val="00962948"/>
    <w:rsid w:val="0099624A"/>
    <w:rsid w:val="009B5439"/>
    <w:rsid w:val="009C0530"/>
    <w:rsid w:val="009C3001"/>
    <w:rsid w:val="009C6762"/>
    <w:rsid w:val="009F25CD"/>
    <w:rsid w:val="00A0596A"/>
    <w:rsid w:val="00A10E95"/>
    <w:rsid w:val="00A2263E"/>
    <w:rsid w:val="00A31074"/>
    <w:rsid w:val="00A549E5"/>
    <w:rsid w:val="00A55890"/>
    <w:rsid w:val="00A6304A"/>
    <w:rsid w:val="00A75620"/>
    <w:rsid w:val="00A944A1"/>
    <w:rsid w:val="00AA01EA"/>
    <w:rsid w:val="00AA0955"/>
    <w:rsid w:val="00AD73E9"/>
    <w:rsid w:val="00AE5517"/>
    <w:rsid w:val="00AF4040"/>
    <w:rsid w:val="00AF64FB"/>
    <w:rsid w:val="00B116F0"/>
    <w:rsid w:val="00B1361D"/>
    <w:rsid w:val="00B46948"/>
    <w:rsid w:val="00B837D7"/>
    <w:rsid w:val="00BA7688"/>
    <w:rsid w:val="00BB6B46"/>
    <w:rsid w:val="00BC07CA"/>
    <w:rsid w:val="00BC5C06"/>
    <w:rsid w:val="00BD328C"/>
    <w:rsid w:val="00BE3B75"/>
    <w:rsid w:val="00C001A6"/>
    <w:rsid w:val="00C32EEA"/>
    <w:rsid w:val="00C4779B"/>
    <w:rsid w:val="00C552AD"/>
    <w:rsid w:val="00C64F52"/>
    <w:rsid w:val="00C654A0"/>
    <w:rsid w:val="00C66B6F"/>
    <w:rsid w:val="00C67A2B"/>
    <w:rsid w:val="00C8352B"/>
    <w:rsid w:val="00C94C57"/>
    <w:rsid w:val="00CB4D42"/>
    <w:rsid w:val="00CB586A"/>
    <w:rsid w:val="00CB5B58"/>
    <w:rsid w:val="00CC26FA"/>
    <w:rsid w:val="00D0481F"/>
    <w:rsid w:val="00D313C8"/>
    <w:rsid w:val="00D43D9A"/>
    <w:rsid w:val="00D569FF"/>
    <w:rsid w:val="00D57B36"/>
    <w:rsid w:val="00D66CD2"/>
    <w:rsid w:val="00D66EA1"/>
    <w:rsid w:val="00D821B5"/>
    <w:rsid w:val="00D96566"/>
    <w:rsid w:val="00D97BE0"/>
    <w:rsid w:val="00DA1B27"/>
    <w:rsid w:val="00DA1CC4"/>
    <w:rsid w:val="00DA56F3"/>
    <w:rsid w:val="00DC76FD"/>
    <w:rsid w:val="00DF2C30"/>
    <w:rsid w:val="00DF78E7"/>
    <w:rsid w:val="00E2071A"/>
    <w:rsid w:val="00E275F5"/>
    <w:rsid w:val="00E4684E"/>
    <w:rsid w:val="00E72912"/>
    <w:rsid w:val="00E82255"/>
    <w:rsid w:val="00E8788B"/>
    <w:rsid w:val="00E90DB4"/>
    <w:rsid w:val="00EA41E6"/>
    <w:rsid w:val="00EA4219"/>
    <w:rsid w:val="00EB60F7"/>
    <w:rsid w:val="00ED6C3F"/>
    <w:rsid w:val="00EE7C09"/>
    <w:rsid w:val="00EF15CC"/>
    <w:rsid w:val="00EF7D9A"/>
    <w:rsid w:val="00F01381"/>
    <w:rsid w:val="00F21D3E"/>
    <w:rsid w:val="00F22953"/>
    <w:rsid w:val="00F26E1D"/>
    <w:rsid w:val="00F95A46"/>
    <w:rsid w:val="00FA3F65"/>
    <w:rsid w:val="00FB036E"/>
    <w:rsid w:val="00FE642B"/>
    <w:rsid w:val="00FF5A90"/>
    <w:rsid w:val="043555A2"/>
    <w:rsid w:val="1011C025"/>
    <w:rsid w:val="1E0DED91"/>
    <w:rsid w:val="2B6D7B80"/>
    <w:rsid w:val="48CEE79F"/>
    <w:rsid w:val="6E610043"/>
    <w:rsid w:val="760D6B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3275EC"/>
  <w15:chartTrackingRefBased/>
  <w15:docId w15:val="{CD57E7E6-61C8-4A95-A372-61A8865422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6083"/>
    <w:pPr>
      <w:spacing w:line="259" w:lineRule="auto"/>
    </w:pPr>
    <w:rPr>
      <w:kern w:val="0"/>
      <w:sz w:val="22"/>
      <w:szCs w:val="22"/>
      <w14:ligatures w14:val="none"/>
    </w:rPr>
  </w:style>
  <w:style w:type="paragraph" w:styleId="Heading1">
    <w:name w:val="heading 1"/>
    <w:basedOn w:val="Normal"/>
    <w:next w:val="Normal"/>
    <w:link w:val="Heading1Char"/>
    <w:uiPriority w:val="9"/>
    <w:qFormat/>
    <w:rsid w:val="001E680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1E680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E680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E680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E680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E680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E680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E680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E680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E680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1E680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E680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E680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E680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E680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E680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E680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E680B"/>
    <w:rPr>
      <w:rFonts w:eastAsiaTheme="majorEastAsia" w:cstheme="majorBidi"/>
      <w:color w:val="272727" w:themeColor="text1" w:themeTint="D8"/>
    </w:rPr>
  </w:style>
  <w:style w:type="paragraph" w:styleId="Title">
    <w:name w:val="Title"/>
    <w:basedOn w:val="Normal"/>
    <w:next w:val="Normal"/>
    <w:link w:val="TitleChar"/>
    <w:uiPriority w:val="10"/>
    <w:qFormat/>
    <w:rsid w:val="001E680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E680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E680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E680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E680B"/>
    <w:pPr>
      <w:spacing w:before="160"/>
      <w:jc w:val="center"/>
    </w:pPr>
    <w:rPr>
      <w:i/>
      <w:iCs/>
      <w:color w:val="404040" w:themeColor="text1" w:themeTint="BF"/>
    </w:rPr>
  </w:style>
  <w:style w:type="character" w:customStyle="1" w:styleId="QuoteChar">
    <w:name w:val="Quote Char"/>
    <w:basedOn w:val="DefaultParagraphFont"/>
    <w:link w:val="Quote"/>
    <w:uiPriority w:val="29"/>
    <w:rsid w:val="001E680B"/>
    <w:rPr>
      <w:i/>
      <w:iCs/>
      <w:color w:val="404040" w:themeColor="text1" w:themeTint="BF"/>
    </w:rPr>
  </w:style>
  <w:style w:type="paragraph" w:styleId="ListParagraph">
    <w:name w:val="List Paragraph"/>
    <w:basedOn w:val="Normal"/>
    <w:uiPriority w:val="34"/>
    <w:qFormat/>
    <w:rsid w:val="001E680B"/>
    <w:pPr>
      <w:ind w:left="720"/>
      <w:contextualSpacing/>
    </w:pPr>
  </w:style>
  <w:style w:type="character" w:styleId="IntenseEmphasis">
    <w:name w:val="Intense Emphasis"/>
    <w:basedOn w:val="DefaultParagraphFont"/>
    <w:uiPriority w:val="21"/>
    <w:qFormat/>
    <w:rsid w:val="001E680B"/>
    <w:rPr>
      <w:i/>
      <w:iCs/>
      <w:color w:val="0F4761" w:themeColor="accent1" w:themeShade="BF"/>
    </w:rPr>
  </w:style>
  <w:style w:type="paragraph" w:styleId="IntenseQuote">
    <w:name w:val="Intense Quote"/>
    <w:basedOn w:val="Normal"/>
    <w:next w:val="Normal"/>
    <w:link w:val="IntenseQuoteChar"/>
    <w:uiPriority w:val="30"/>
    <w:qFormat/>
    <w:rsid w:val="001E680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E680B"/>
    <w:rPr>
      <w:i/>
      <w:iCs/>
      <w:color w:val="0F4761" w:themeColor="accent1" w:themeShade="BF"/>
    </w:rPr>
  </w:style>
  <w:style w:type="character" w:styleId="IntenseReference">
    <w:name w:val="Intense Reference"/>
    <w:basedOn w:val="DefaultParagraphFont"/>
    <w:uiPriority w:val="32"/>
    <w:qFormat/>
    <w:rsid w:val="001E680B"/>
    <w:rPr>
      <w:b/>
      <w:bCs/>
      <w:smallCaps/>
      <w:color w:val="0F4761" w:themeColor="accent1" w:themeShade="BF"/>
      <w:spacing w:val="5"/>
    </w:rPr>
  </w:style>
  <w:style w:type="paragraph" w:styleId="NormalWeb">
    <w:name w:val="Normal (Web)"/>
    <w:basedOn w:val="Normal"/>
    <w:link w:val="NormalWebChar"/>
    <w:uiPriority w:val="99"/>
    <w:unhideWhenUsed/>
    <w:rsid w:val="001E680B"/>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WebChar">
    <w:name w:val="Normal (Web) Char"/>
    <w:basedOn w:val="DefaultParagraphFont"/>
    <w:link w:val="NormalWeb"/>
    <w:uiPriority w:val="99"/>
    <w:rsid w:val="001E680B"/>
    <w:rPr>
      <w:rFonts w:ascii="Times New Roman" w:eastAsia="Times New Roman" w:hAnsi="Times New Roman" w:cs="Times New Roman"/>
      <w:kern w:val="0"/>
      <w:lang w:eastAsia="en-GB"/>
      <w14:ligatures w14:val="none"/>
    </w:rPr>
  </w:style>
  <w:style w:type="table" w:styleId="TableGrid">
    <w:name w:val="Table Grid"/>
    <w:basedOn w:val="TableNormal"/>
    <w:uiPriority w:val="39"/>
    <w:rsid w:val="001E680B"/>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hitespace-normal">
    <w:name w:val="whitespace-normal"/>
    <w:basedOn w:val="Normal"/>
    <w:rsid w:val="001E680B"/>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Emphasis">
    <w:name w:val="Emphasis"/>
    <w:basedOn w:val="DefaultParagraphFont"/>
    <w:uiPriority w:val="20"/>
    <w:qFormat/>
    <w:rsid w:val="001E680B"/>
    <w:rPr>
      <w:i/>
      <w:iCs/>
    </w:rPr>
  </w:style>
  <w:style w:type="character" w:styleId="Hyperlink">
    <w:name w:val="Hyperlink"/>
    <w:basedOn w:val="DefaultParagraphFont"/>
    <w:uiPriority w:val="99"/>
    <w:unhideWhenUsed/>
    <w:rsid w:val="001E680B"/>
    <w:rPr>
      <w:color w:val="0000FF"/>
      <w:u w:val="single"/>
    </w:rPr>
  </w:style>
  <w:style w:type="paragraph" w:styleId="Caption">
    <w:name w:val="caption"/>
    <w:basedOn w:val="Normal"/>
    <w:next w:val="Normal"/>
    <w:uiPriority w:val="35"/>
    <w:unhideWhenUsed/>
    <w:qFormat/>
    <w:rsid w:val="001E680B"/>
    <w:pPr>
      <w:spacing w:after="200" w:line="240" w:lineRule="auto"/>
    </w:pPr>
    <w:rPr>
      <w:i/>
      <w:iCs/>
      <w:color w:val="0E2841" w:themeColor="text2"/>
      <w:sz w:val="18"/>
      <w:szCs w:val="18"/>
    </w:rPr>
  </w:style>
  <w:style w:type="paragraph" w:customStyle="1" w:styleId="TableText">
    <w:name w:val="Table Text"/>
    <w:basedOn w:val="Normal"/>
    <w:qFormat/>
    <w:rsid w:val="001E680B"/>
    <w:pPr>
      <w:spacing w:before="20" w:after="20" w:line="240" w:lineRule="auto"/>
    </w:pPr>
    <w:rPr>
      <w:bCs/>
      <w:sz w:val="20"/>
      <w:szCs w:val="20"/>
    </w:rPr>
  </w:style>
  <w:style w:type="paragraph" w:customStyle="1" w:styleId="EndNoteBibliography">
    <w:name w:val="EndNote Bibliography"/>
    <w:basedOn w:val="Normal"/>
    <w:link w:val="EndNoteBibliographyChar"/>
    <w:rsid w:val="001E680B"/>
    <w:pPr>
      <w:spacing w:line="240" w:lineRule="auto"/>
    </w:pPr>
    <w:rPr>
      <w:rFonts w:ascii="Calibri" w:hAnsi="Calibri" w:cs="Calibri"/>
      <w:noProof/>
      <w:lang w:val="en-US"/>
    </w:rPr>
  </w:style>
  <w:style w:type="character" w:customStyle="1" w:styleId="EndNoteBibliographyChar">
    <w:name w:val="EndNote Bibliography Char"/>
    <w:basedOn w:val="DefaultParagraphFont"/>
    <w:link w:val="EndNoteBibliography"/>
    <w:rsid w:val="001E680B"/>
    <w:rPr>
      <w:rFonts w:ascii="Calibri" w:hAnsi="Calibri" w:cs="Calibri"/>
      <w:noProof/>
      <w:kern w:val="0"/>
      <w:sz w:val="22"/>
      <w:szCs w:val="22"/>
      <w:lang w:val="en-US"/>
      <w14:ligatures w14:val="none"/>
    </w:rPr>
  </w:style>
  <w:style w:type="paragraph" w:styleId="Revision">
    <w:name w:val="Revision"/>
    <w:hidden/>
    <w:uiPriority w:val="99"/>
    <w:semiHidden/>
    <w:rsid w:val="009F25CD"/>
    <w:pPr>
      <w:spacing w:after="0" w:line="240" w:lineRule="auto"/>
    </w:pPr>
    <w:rPr>
      <w:kern w:val="0"/>
      <w:sz w:val="22"/>
      <w:szCs w:val="22"/>
      <w14:ligatures w14:val="none"/>
    </w:rPr>
  </w:style>
  <w:style w:type="paragraph" w:customStyle="1" w:styleId="EndNoteBibliographyTitle">
    <w:name w:val="EndNote Bibliography Title"/>
    <w:basedOn w:val="Normal"/>
    <w:link w:val="EndNoteBibliographyTitleChar"/>
    <w:rsid w:val="00FA3F65"/>
    <w:pPr>
      <w:spacing w:after="0"/>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FA3F65"/>
    <w:rPr>
      <w:rFonts w:ascii="Calibri" w:hAnsi="Calibri" w:cs="Calibri"/>
      <w:noProof/>
      <w:kern w:val="0"/>
      <w:sz w:val="22"/>
      <w:szCs w:val="22"/>
      <w:lang w:val="en-US"/>
      <w14:ligatures w14:val="none"/>
    </w:rPr>
  </w:style>
  <w:style w:type="character" w:styleId="UnresolvedMention">
    <w:name w:val="Unresolved Mention"/>
    <w:basedOn w:val="DefaultParagraphFont"/>
    <w:uiPriority w:val="99"/>
    <w:semiHidden/>
    <w:unhideWhenUsed/>
    <w:rsid w:val="00C67A2B"/>
    <w:rPr>
      <w:color w:val="605E5C"/>
      <w:shd w:val="clear" w:color="auto" w:fill="E1DFDD"/>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kern w:val="0"/>
      <w:sz w:val="20"/>
      <w:szCs w:val="20"/>
      <w14:ligatures w14:val="none"/>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F21D3E"/>
    <w:pPr>
      <w:tabs>
        <w:tab w:val="center" w:pos="4513"/>
        <w:tab w:val="right" w:pos="9026"/>
      </w:tabs>
      <w:spacing w:after="0" w:line="240" w:lineRule="auto"/>
    </w:pPr>
  </w:style>
  <w:style w:type="character" w:customStyle="1" w:styleId="HeaderChar">
    <w:name w:val="Header Char"/>
    <w:basedOn w:val="DefaultParagraphFont"/>
    <w:link w:val="Header"/>
    <w:uiPriority w:val="99"/>
    <w:rsid w:val="00F21D3E"/>
    <w:rPr>
      <w:kern w:val="0"/>
      <w:sz w:val="22"/>
      <w:szCs w:val="22"/>
      <w14:ligatures w14:val="none"/>
    </w:rPr>
  </w:style>
  <w:style w:type="paragraph" w:styleId="Footer">
    <w:name w:val="footer"/>
    <w:basedOn w:val="Normal"/>
    <w:link w:val="FooterChar"/>
    <w:uiPriority w:val="99"/>
    <w:unhideWhenUsed/>
    <w:rsid w:val="00F21D3E"/>
    <w:pPr>
      <w:tabs>
        <w:tab w:val="center" w:pos="4513"/>
        <w:tab w:val="right" w:pos="9026"/>
      </w:tabs>
      <w:spacing w:after="0" w:line="240" w:lineRule="auto"/>
    </w:pPr>
  </w:style>
  <w:style w:type="character" w:customStyle="1" w:styleId="FooterChar">
    <w:name w:val="Footer Char"/>
    <w:basedOn w:val="DefaultParagraphFont"/>
    <w:link w:val="Footer"/>
    <w:uiPriority w:val="99"/>
    <w:rsid w:val="00F21D3E"/>
    <w:rPr>
      <w:kern w:val="0"/>
      <w:sz w:val="22"/>
      <w:szCs w:val="22"/>
      <w14:ligatures w14:val="none"/>
    </w:rPr>
  </w:style>
  <w:style w:type="character" w:styleId="LineNumber">
    <w:name w:val="line number"/>
    <w:basedOn w:val="DefaultParagraphFont"/>
    <w:uiPriority w:val="99"/>
    <w:semiHidden/>
    <w:unhideWhenUsed/>
    <w:rsid w:val="00126B2A"/>
  </w:style>
  <w:style w:type="paragraph" w:customStyle="1" w:styleId="MStitle">
    <w:name w:val="MS title"/>
    <w:basedOn w:val="Normal"/>
    <w:link w:val="MStitleChar"/>
    <w:qFormat/>
    <w:rsid w:val="00220308"/>
    <w:pPr>
      <w:spacing w:before="360" w:after="0" w:line="440" w:lineRule="exact"/>
      <w:contextualSpacing/>
      <w:jc w:val="both"/>
    </w:pPr>
    <w:rPr>
      <w:rFonts w:ascii="Times New Roman" w:eastAsia="Times New Roman" w:hAnsi="Times New Roman" w:cs="Times New Roman"/>
      <w:b/>
      <w:sz w:val="34"/>
      <w:szCs w:val="24"/>
      <w:lang w:eastAsia="de-DE"/>
    </w:rPr>
  </w:style>
  <w:style w:type="character" w:customStyle="1" w:styleId="MStitleChar">
    <w:name w:val="MS title Char"/>
    <w:basedOn w:val="DefaultParagraphFont"/>
    <w:link w:val="MStitle"/>
    <w:rsid w:val="00220308"/>
    <w:rPr>
      <w:rFonts w:ascii="Times New Roman" w:eastAsia="Times New Roman" w:hAnsi="Times New Roman" w:cs="Times New Roman"/>
      <w:b/>
      <w:kern w:val="0"/>
      <w:sz w:val="34"/>
      <w:lang w:eastAsia="de-DE"/>
      <w14:ligatures w14:val="none"/>
    </w:rPr>
  </w:style>
  <w:style w:type="paragraph" w:customStyle="1" w:styleId="Affiliation">
    <w:name w:val="Affiliation"/>
    <w:basedOn w:val="Normal"/>
    <w:link w:val="AffiliationChar"/>
    <w:qFormat/>
    <w:rsid w:val="00220308"/>
    <w:pPr>
      <w:spacing w:before="120" w:after="0" w:line="240" w:lineRule="auto"/>
      <w:contextualSpacing/>
      <w:jc w:val="both"/>
    </w:pPr>
    <w:rPr>
      <w:rFonts w:ascii="Times New Roman" w:eastAsia="Times New Roman" w:hAnsi="Times New Roman" w:cs="Times New Roman"/>
      <w:sz w:val="20"/>
      <w:szCs w:val="24"/>
      <w:lang w:eastAsia="de-DE"/>
    </w:rPr>
  </w:style>
  <w:style w:type="character" w:customStyle="1" w:styleId="AffiliationChar">
    <w:name w:val="Affiliation Char"/>
    <w:basedOn w:val="DefaultParagraphFont"/>
    <w:link w:val="Affiliation"/>
    <w:rsid w:val="00220308"/>
    <w:rPr>
      <w:rFonts w:ascii="Times New Roman" w:eastAsia="Times New Roman" w:hAnsi="Times New Roman" w:cs="Times New Roman"/>
      <w:kern w:val="0"/>
      <w:sz w:val="20"/>
      <w:lang w:eastAsia="de-DE"/>
      <w14:ligatures w14:val="none"/>
    </w:rPr>
  </w:style>
  <w:style w:type="paragraph" w:customStyle="1" w:styleId="Correspondence">
    <w:name w:val="Correspondence"/>
    <w:basedOn w:val="Normal"/>
    <w:link w:val="CorrespondenceChar"/>
    <w:qFormat/>
    <w:rsid w:val="00220308"/>
    <w:pPr>
      <w:spacing w:before="120" w:after="360" w:line="240" w:lineRule="auto"/>
      <w:jc w:val="both"/>
    </w:pPr>
    <w:rPr>
      <w:rFonts w:ascii="Times New Roman" w:eastAsia="Times New Roman" w:hAnsi="Times New Roman" w:cs="Times New Roman"/>
      <w:sz w:val="20"/>
      <w:szCs w:val="24"/>
      <w:lang w:eastAsia="de-DE"/>
    </w:rPr>
  </w:style>
  <w:style w:type="character" w:customStyle="1" w:styleId="CorrespondenceChar">
    <w:name w:val="Correspondence Char"/>
    <w:basedOn w:val="DefaultParagraphFont"/>
    <w:link w:val="Correspondence"/>
    <w:rsid w:val="00220308"/>
    <w:rPr>
      <w:rFonts w:ascii="Times New Roman" w:eastAsia="Times New Roman" w:hAnsi="Times New Roman" w:cs="Times New Roman"/>
      <w:kern w:val="0"/>
      <w:sz w:val="20"/>
      <w:lang w:eastAsia="de-DE"/>
      <w14:ligatures w14:val="none"/>
    </w:rPr>
  </w:style>
  <w:style w:type="paragraph" w:customStyle="1" w:styleId="Authors">
    <w:name w:val="Authors"/>
    <w:basedOn w:val="Normal"/>
    <w:link w:val="AuthorsChar"/>
    <w:qFormat/>
    <w:rsid w:val="00220308"/>
    <w:pPr>
      <w:spacing w:before="180" w:after="0" w:line="240" w:lineRule="auto"/>
      <w:contextualSpacing/>
      <w:jc w:val="both"/>
    </w:pPr>
    <w:rPr>
      <w:rFonts w:ascii="Times New Roman" w:eastAsia="Times New Roman" w:hAnsi="Times New Roman" w:cs="Times New Roman"/>
      <w:sz w:val="24"/>
      <w:szCs w:val="24"/>
      <w:lang w:eastAsia="de-DE"/>
    </w:rPr>
  </w:style>
  <w:style w:type="character" w:customStyle="1" w:styleId="AuthorsChar">
    <w:name w:val="Authors Char"/>
    <w:basedOn w:val="DefaultParagraphFont"/>
    <w:link w:val="Authors"/>
    <w:rsid w:val="00220308"/>
    <w:rPr>
      <w:rFonts w:ascii="Times New Roman" w:eastAsia="Times New Roman" w:hAnsi="Times New Roman" w:cs="Times New Roman"/>
      <w:kern w:val="0"/>
      <w:lang w:eastAsia="de-DE"/>
      <w14:ligatures w14:val="none"/>
    </w:rPr>
  </w:style>
  <w:style w:type="paragraph" w:styleId="CommentSubject">
    <w:name w:val="annotation subject"/>
    <w:basedOn w:val="CommentText"/>
    <w:next w:val="CommentText"/>
    <w:link w:val="CommentSubjectChar"/>
    <w:uiPriority w:val="99"/>
    <w:semiHidden/>
    <w:unhideWhenUsed/>
    <w:rsid w:val="00D313C8"/>
    <w:rPr>
      <w:b/>
      <w:bCs/>
    </w:rPr>
  </w:style>
  <w:style w:type="character" w:customStyle="1" w:styleId="CommentSubjectChar">
    <w:name w:val="Comment Subject Char"/>
    <w:basedOn w:val="CommentTextChar"/>
    <w:link w:val="CommentSubject"/>
    <w:uiPriority w:val="99"/>
    <w:semiHidden/>
    <w:rsid w:val="00D313C8"/>
    <w:rPr>
      <w:b/>
      <w:bCs/>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hart4@lancaster.ac.uk" TargetMode="External"/><Relationship Id="rId13" Type="http://schemas.openxmlformats.org/officeDocument/2006/relationships/image" Target="media/image5.png"/><Relationship Id="rId18" Type="http://schemas.openxmlformats.org/officeDocument/2006/relationships/hyperlink" Target="https://doi.org/10.5194/essd-17-6557-2025"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doi.org/10.5194/acp-23-10901-2023" TargetMode="External"/><Relationship Id="rId2" Type="http://schemas.openxmlformats.org/officeDocument/2006/relationships/numbering" Target="numbering.xml"/><Relationship Id="rId16" Type="http://schemas.openxmlformats.org/officeDocument/2006/relationships/hyperlink" Target="https://doi.org/10.1021/acs.estlett.6c00356"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s://doi.org/10.1029/2025GL119216" TargetMode="External"/><Relationship Id="rId10" Type="http://schemas.openxmlformats.org/officeDocument/2006/relationships/image" Target="media/image2.png"/><Relationship Id="rId19" Type="http://schemas.openxmlformats.org/officeDocument/2006/relationships/hyperlink" Target="https://doi.org/10.1007/BF00053790"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9ACC2D-9CE0-41E4-80F2-F25FAF9D27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2737</Words>
  <Characters>15605</Characters>
  <Application>Microsoft Office Word</Application>
  <DocSecurity>0</DocSecurity>
  <Lines>130</Lines>
  <Paragraphs>36</Paragraphs>
  <ScaleCrop>false</ScaleCrop>
  <Company>Lancaster University</Company>
  <LinksUpToDate>false</LinksUpToDate>
  <CharactersWithSpaces>18306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Hart, Lucy</dc:creator>
  <cp:keywords/>
  <dc:description/>
  <cp:lastModifiedBy>Hart, Lucy (Postgraduate Researcher)</cp:lastModifiedBy>
  <cp:revision>4</cp:revision>
  <dcterms:created xsi:type="dcterms:W3CDTF">2026-07-28T08:53:00Z</dcterms:created>
  <dcterms:modified xsi:type="dcterms:W3CDTF">2026-07-30T18:02:00Z</dcterms:modified>
</cp:coreProperties>
</file>