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27E1E" w14:textId="20927212" w:rsidR="00961890" w:rsidRDefault="00961890" w:rsidP="00961890">
      <w:pPr>
        <w:pStyle w:val="Heading1"/>
      </w:pPr>
      <w:r>
        <w:t>Supplementary Information</w:t>
      </w:r>
    </w:p>
    <w:p w14:paraId="7B4D5453" w14:textId="19CF5233" w:rsidR="00961890" w:rsidRDefault="00961890" w:rsidP="00961890">
      <w:pPr>
        <w:pStyle w:val="Heading2"/>
      </w:pPr>
      <w:r>
        <w:t>Age models and material</w:t>
      </w:r>
    </w:p>
    <w:p w14:paraId="49CD5AA6" w14:textId="46547C2E" w:rsidR="00961890" w:rsidRPr="00CA756C" w:rsidRDefault="00961890" w:rsidP="00961890">
      <w:pPr>
        <w:rPr>
          <w:b/>
          <w:bCs/>
        </w:rPr>
      </w:pPr>
      <w:r w:rsidRPr="00CA756C">
        <w:t xml:space="preserve">A significant proportion of the IODP Exp. 342 stratigraphic record described herein now has orbitally resolved age models (the EOT at Site </w:t>
      </w:r>
      <w:r>
        <w:t>U</w:t>
      </w:r>
      <w:r w:rsidRPr="00CA756C">
        <w:t xml:space="preserve">1411, and Oligocene through Oligocene-Miocene Transition [OMT] at Site </w:t>
      </w:r>
      <w:r>
        <w:t>U</w:t>
      </w:r>
      <w:r w:rsidRPr="00CA756C">
        <w:t xml:space="preserve">1406) giving millennial sampling precision. Where astronomically-tuning is not yet available, the age models are based on integrated biostratigraphy and </w:t>
      </w:r>
      <w:proofErr w:type="spellStart"/>
      <w:r w:rsidRPr="00CA756C">
        <w:t>magnetostratigraphy</w:t>
      </w:r>
      <w:proofErr w:type="spellEnd"/>
      <w:r w:rsidRPr="00CA756C">
        <w:t xml:space="preserve"> (details </w:t>
      </w:r>
      <w:r w:rsidRPr="000D5367">
        <w:t>below</w:t>
      </w:r>
      <w:r w:rsidR="001879BD" w:rsidRPr="000D5367">
        <w:t xml:space="preserve"> and Table </w:t>
      </w:r>
      <w:r w:rsidR="000D5367" w:rsidRPr="000D5367">
        <w:t>S</w:t>
      </w:r>
      <w:r w:rsidR="001879BD" w:rsidRPr="000D5367">
        <w:t>1</w:t>
      </w:r>
      <w:r w:rsidRPr="000D5367">
        <w:t>).</w:t>
      </w:r>
      <w:r w:rsidRPr="00CA756C">
        <w:t xml:space="preserve"> The age model for Site 1209 is described in Alvarez et al.</w:t>
      </w:r>
      <w:r w:rsidR="00FC01D0">
        <w:t xml:space="preserve"> </w:t>
      </w:r>
      <w:bookmarkStart w:id="0" w:name="_Hlk225176705"/>
      <w:r w:rsidR="00FC01D0">
        <w:rPr>
          <w:noProof/>
        </w:rPr>
        <w:t>(2019)</w:t>
      </w:r>
      <w:bookmarkEnd w:id="0"/>
      <w:r w:rsidRPr="00CA756C">
        <w:t xml:space="preserve"> and is orbitally resolved using tie-points in the δ</w:t>
      </w:r>
      <w:r w:rsidRPr="00FC01D0">
        <w:rPr>
          <w:vertAlign w:val="superscript"/>
        </w:rPr>
        <w:t>13</w:t>
      </w:r>
      <w:r w:rsidRPr="00CA756C">
        <w:t>C data</w:t>
      </w:r>
      <w:r w:rsidR="00FC01D0">
        <w:t xml:space="preserve"> </w:t>
      </w:r>
      <w:r w:rsidR="00FC01D0">
        <w:rPr>
          <w:noProof/>
        </w:rPr>
        <w:t>(Westerhold et al., 2018)</w:t>
      </w:r>
      <w:r w:rsidRPr="00CA756C">
        <w:t xml:space="preserve">. </w:t>
      </w:r>
    </w:p>
    <w:p w14:paraId="661B80F9" w14:textId="77777777" w:rsidR="00961890" w:rsidRPr="00CA756C" w:rsidRDefault="00961890" w:rsidP="00961890"/>
    <w:p w14:paraId="482FB529" w14:textId="670520E9" w:rsidR="00961890" w:rsidRPr="00CA756C" w:rsidRDefault="00961890" w:rsidP="00961890">
      <w:r w:rsidRPr="00CA756C">
        <w:t xml:space="preserve">Site </w:t>
      </w:r>
      <w:r w:rsidR="00FC01D0">
        <w:t>U</w:t>
      </w:r>
      <w:r w:rsidRPr="00CA756C">
        <w:t>1406 is located on the J-</w:t>
      </w:r>
      <w:proofErr w:type="spellStart"/>
      <w:r w:rsidRPr="00CA756C">
        <w:t>Anomoly</w:t>
      </w:r>
      <w:proofErr w:type="spellEnd"/>
      <w:r w:rsidRPr="00CA756C">
        <w:t xml:space="preserve"> Ridge at ~3800 m present day water depth and includes a 90.89-m-thick upper Oligocene and Lower Miocene (25.94–21.77 Ma) succession, composed of nannofossil ooze </w:t>
      </w:r>
      <w:r w:rsidRPr="00CA756C">
        <w:rPr>
          <w:noProof/>
        </w:rPr>
        <w:t>(Norris et al., 2014)</w:t>
      </w:r>
      <w:r w:rsidRPr="00CA756C">
        <w:t xml:space="preserve">. The age model for Site </w:t>
      </w:r>
      <w:r w:rsidR="00FC01D0">
        <w:t>U</w:t>
      </w:r>
      <w:r w:rsidRPr="00CA756C">
        <w:t>1406 has been astronomically tuned using x-ray fluorescence generated CaCO</w:t>
      </w:r>
      <w:r w:rsidRPr="00CA756C">
        <w:rPr>
          <w:vertAlign w:val="subscript"/>
        </w:rPr>
        <w:t>3</w:t>
      </w:r>
      <w:r w:rsidRPr="00CA756C">
        <w:t xml:space="preserve"> records</w:t>
      </w:r>
      <w:r w:rsidR="00FC01D0">
        <w:t xml:space="preserve"> </w:t>
      </w:r>
      <w:r w:rsidR="00FC01D0">
        <w:rPr>
          <w:noProof/>
        </w:rPr>
        <w:t>(van Peer et al., 2024)</w:t>
      </w:r>
      <w:r w:rsidRPr="00CA756C">
        <w:t xml:space="preserve">. </w:t>
      </w:r>
    </w:p>
    <w:p w14:paraId="6945C487" w14:textId="77777777" w:rsidR="00961890" w:rsidRPr="00CA756C" w:rsidRDefault="00961890" w:rsidP="00961890"/>
    <w:p w14:paraId="349158B1" w14:textId="3C9C5B21" w:rsidR="00961890" w:rsidRPr="00CA756C" w:rsidRDefault="00961890" w:rsidP="00961890">
      <w:r w:rsidRPr="00CA756C">
        <w:t xml:space="preserve">Site </w:t>
      </w:r>
      <w:r w:rsidR="00FC01D0">
        <w:t>U</w:t>
      </w:r>
      <w:r w:rsidRPr="00CA756C">
        <w:t xml:space="preserve">1411 is located on the Southeast Newfoundland Ridge at ~3300 m present day water depth and includes a 248.81-m-thick upper Eocene to lower Oligocene (38.20–26.09 Ma) succession composed of clay, clayey nannofossil chalk, clay with calcareous microfossils and calcareous ooze </w:t>
      </w:r>
      <w:r w:rsidRPr="00CA756C">
        <w:rPr>
          <w:noProof/>
        </w:rPr>
        <w:t>(Norris et al., 2014)</w:t>
      </w:r>
      <w:r w:rsidRPr="00CA756C">
        <w:t xml:space="preserve">. The age model for Site </w:t>
      </w:r>
      <w:r w:rsidR="00FC01D0">
        <w:t>U</w:t>
      </w:r>
      <w:r w:rsidRPr="00CA756C">
        <w:t xml:space="preserve">1411 is primarily based on the shipboard age model using calcareous nannofossils, planktonic foraminifera and palaeomagnetic </w:t>
      </w:r>
      <w:proofErr w:type="spellStart"/>
      <w:r w:rsidRPr="00CA756C">
        <w:t>chron</w:t>
      </w:r>
      <w:proofErr w:type="spellEnd"/>
      <w:r w:rsidRPr="00CA756C">
        <w:t xml:space="preserve"> boundaries, with updated calcareous nannofossil datums from </w:t>
      </w:r>
      <w:r w:rsidR="00FC01D0">
        <w:t xml:space="preserve">Routledge </w:t>
      </w:r>
      <w:bookmarkStart w:id="1" w:name="_Hlk225177479"/>
      <w:r w:rsidR="00FC01D0">
        <w:rPr>
          <w:noProof/>
        </w:rPr>
        <w:t>(2021)</w:t>
      </w:r>
      <w:r w:rsidRPr="00CA756C">
        <w:t xml:space="preserve"> </w:t>
      </w:r>
      <w:bookmarkEnd w:id="1"/>
      <w:r w:rsidRPr="00CA756C">
        <w:t xml:space="preserve">and Newsam </w:t>
      </w:r>
      <w:r w:rsidRPr="00CA756C">
        <w:rPr>
          <w:noProof/>
        </w:rPr>
        <w:t>(2016)</w:t>
      </w:r>
      <w:r w:rsidRPr="00CA756C">
        <w:t xml:space="preserve">. </w:t>
      </w:r>
    </w:p>
    <w:p w14:paraId="47045C7C" w14:textId="77777777" w:rsidR="00961890" w:rsidRPr="00CA756C" w:rsidRDefault="00961890" w:rsidP="00961890"/>
    <w:p w14:paraId="402052CC" w14:textId="309D82E9" w:rsidR="00961890" w:rsidRPr="00961890" w:rsidRDefault="00961890" w:rsidP="00961890">
      <w:r w:rsidRPr="00CA756C">
        <w:t xml:space="preserve">Site </w:t>
      </w:r>
      <w:r w:rsidR="00FC01D0">
        <w:t>U</w:t>
      </w:r>
      <w:r w:rsidRPr="00CA756C">
        <w:t xml:space="preserve">1408 is located on the Southeast Newfoundland Ridge at ~3022 m present day water depth and includes a 195.74-m-thick middle to upper Eocene (45.26–38.20 Ma) succession predominately composed of nannofossil clay and nannofossil ooze </w:t>
      </w:r>
      <w:r w:rsidRPr="00CA756C">
        <w:rPr>
          <w:noProof/>
        </w:rPr>
        <w:t>(Norris et al., 2014)</w:t>
      </w:r>
      <w:r w:rsidRPr="00CA756C">
        <w:t xml:space="preserve">. The Site </w:t>
      </w:r>
      <w:r w:rsidR="00FC01D0">
        <w:t>U</w:t>
      </w:r>
      <w:r w:rsidRPr="00CA756C">
        <w:t xml:space="preserve">1408 age model is based on the shipboard age model </w:t>
      </w:r>
      <w:r w:rsidRPr="00CA756C">
        <w:rPr>
          <w:noProof/>
        </w:rPr>
        <w:t>(Norris et al., 2014)</w:t>
      </w:r>
      <w:r w:rsidRPr="00CA756C">
        <w:t xml:space="preserve"> with updated calcareous nannofossil datums from </w:t>
      </w:r>
      <w:r w:rsidR="00FC01D0" w:rsidRPr="00CA756C">
        <w:t xml:space="preserve">Newsam </w:t>
      </w:r>
      <w:r w:rsidR="00FC01D0" w:rsidRPr="00CA756C">
        <w:rPr>
          <w:noProof/>
        </w:rPr>
        <w:t>(2016)</w:t>
      </w:r>
      <w:r w:rsidRPr="00CA756C">
        <w:t xml:space="preserve"> and updated paleomagnetic </w:t>
      </w:r>
      <w:proofErr w:type="spellStart"/>
      <w:r w:rsidRPr="00CA756C">
        <w:t>chron</w:t>
      </w:r>
      <w:proofErr w:type="spellEnd"/>
      <w:r w:rsidRPr="00CA756C">
        <w:t xml:space="preserve"> boundaries from </w:t>
      </w:r>
      <w:proofErr w:type="spellStart"/>
      <w:r w:rsidRPr="00CA756C">
        <w:t>Boulila</w:t>
      </w:r>
      <w:proofErr w:type="spellEnd"/>
      <w:r w:rsidRPr="00CA756C">
        <w:t xml:space="preserve"> et al. </w:t>
      </w:r>
      <w:r w:rsidRPr="00CA756C">
        <w:rPr>
          <w:noProof/>
        </w:rPr>
        <w:t>(2018)</w:t>
      </w:r>
      <w:r w:rsidRPr="00CA756C">
        <w:t>.</w:t>
      </w:r>
    </w:p>
    <w:p w14:paraId="571338D6" w14:textId="77777777" w:rsidR="00961890" w:rsidRDefault="00961890" w:rsidP="00961890">
      <w:pPr>
        <w:pStyle w:val="Heading2"/>
      </w:pPr>
      <w:r w:rsidRPr="00CA756C">
        <w:t>Sampling</w:t>
      </w:r>
    </w:p>
    <w:p w14:paraId="51478B7D" w14:textId="25CCA5AD" w:rsidR="00961890" w:rsidRPr="00961890" w:rsidRDefault="00961890" w:rsidP="00961890">
      <w:r w:rsidRPr="00CA756C">
        <w:t xml:space="preserve">To produce data compatible with the lower Paleogene records of Gibbs et al. </w:t>
      </w:r>
      <w:r w:rsidR="004A10EB">
        <w:rPr>
          <w:noProof/>
        </w:rPr>
        <w:t>(2012)</w:t>
      </w:r>
      <w:r w:rsidR="004A10EB">
        <w:t xml:space="preserve"> </w:t>
      </w:r>
      <w:r w:rsidRPr="00CA756C">
        <w:t xml:space="preserve">and Alvarez et al. </w:t>
      </w:r>
      <w:r w:rsidR="00FC01D0">
        <w:rPr>
          <w:noProof/>
        </w:rPr>
        <w:t>(2019)</w:t>
      </w:r>
      <w:r w:rsidRPr="00CA756C">
        <w:t xml:space="preserve">, we targeted stratigraphic resolution between 10 and 35 </w:t>
      </w:r>
      <w:proofErr w:type="spellStart"/>
      <w:r w:rsidRPr="00CA756C">
        <w:t>kyr</w:t>
      </w:r>
      <w:proofErr w:type="spellEnd"/>
      <w:r w:rsidRPr="00CA756C">
        <w:t xml:space="preserve">, with the latter achieved over much of the study interval. Sampling resolution was reduced to 80 </w:t>
      </w:r>
      <w:proofErr w:type="spellStart"/>
      <w:r w:rsidRPr="00CA756C">
        <w:t>kyr</w:t>
      </w:r>
      <w:proofErr w:type="spellEnd"/>
      <w:r w:rsidRPr="00CA756C">
        <w:t xml:space="preserve"> through an interval of poorer nannofossil preservation in the mid-Oligocene of Site </w:t>
      </w:r>
      <w:r w:rsidR="004A10EB">
        <w:t>U</w:t>
      </w:r>
      <w:r w:rsidRPr="00CA756C">
        <w:t xml:space="preserve">1411 (31.90–26.09 Ma) as this was judged to not justify highest resolution sampling/analysis (Fig. </w:t>
      </w:r>
      <w:r w:rsidR="00B41EB6">
        <w:t>1</w:t>
      </w:r>
      <w:r w:rsidRPr="00CA756C">
        <w:t xml:space="preserve">). The stratigraphy of the chosen successions is relatively complete, as evidenced by the integrated age models but there are short gaps in the record at Site </w:t>
      </w:r>
      <w:r w:rsidR="004A10EB">
        <w:t>U</w:t>
      </w:r>
      <w:r w:rsidRPr="00CA756C">
        <w:t xml:space="preserve">1411 between 35.71–34.93 Ma due to coring gaps from the original drilling. </w:t>
      </w:r>
    </w:p>
    <w:p w14:paraId="01920592" w14:textId="77777777" w:rsidR="00961890" w:rsidRDefault="00961890" w:rsidP="00961890">
      <w:pPr>
        <w:pStyle w:val="Heading2"/>
      </w:pPr>
      <w:r w:rsidRPr="00CA756C">
        <w:lastRenderedPageBreak/>
        <w:t>Fossil preservation</w:t>
      </w:r>
    </w:p>
    <w:p w14:paraId="00446CB9" w14:textId="435B3215" w:rsidR="00961890" w:rsidRPr="00961890" w:rsidRDefault="00961890" w:rsidP="00961890">
      <w:r w:rsidRPr="00CA756C">
        <w:t xml:space="preserve">The intervals of Paleogene drift sedimentation with highest quality microfossil preservation recovered during IODP Exp. 342 were not continuous or coeval at each site and so a composite record from Sites </w:t>
      </w:r>
      <w:r w:rsidR="00E76CF4">
        <w:t>U</w:t>
      </w:r>
      <w:r w:rsidRPr="00CA756C">
        <w:t xml:space="preserve">1406, </w:t>
      </w:r>
      <w:r w:rsidR="00E76CF4">
        <w:t>U</w:t>
      </w:r>
      <w:r w:rsidRPr="00CA756C">
        <w:t xml:space="preserve">1408 and </w:t>
      </w:r>
      <w:r w:rsidR="00E76CF4">
        <w:t>U</w:t>
      </w:r>
      <w:r w:rsidRPr="00CA756C">
        <w:t xml:space="preserve">1411 was required to generate the most complete stratigraphy through the </w:t>
      </w:r>
      <w:r w:rsidR="00E76CF4">
        <w:t>m</w:t>
      </w:r>
      <w:r w:rsidRPr="00CA756C">
        <w:t xml:space="preserve">iddle Eocene to Lower Miocene interval (Fig. </w:t>
      </w:r>
      <w:r w:rsidR="00B41EB6">
        <w:t>1</w:t>
      </w:r>
      <w:r w:rsidRPr="00CA756C">
        <w:t xml:space="preserve">). Parts of the Oligocene succession at Site </w:t>
      </w:r>
      <w:r w:rsidR="00E76CF4">
        <w:t>U</w:t>
      </w:r>
      <w:r w:rsidRPr="00CA756C">
        <w:t xml:space="preserve">1411 included intervals with more variable nannofossil preservation, and so sampling resolution was reduced to 80 </w:t>
      </w:r>
      <w:proofErr w:type="spellStart"/>
      <w:r w:rsidRPr="00CA756C">
        <w:t>kyr</w:t>
      </w:r>
      <w:proofErr w:type="spellEnd"/>
      <w:r w:rsidRPr="00CA756C">
        <w:t xml:space="preserve"> here. Apart from several intervals in the Oligocene (Fig. </w:t>
      </w:r>
      <w:r w:rsidR="00774E07">
        <w:t>1</w:t>
      </w:r>
      <w:r w:rsidRPr="00CA756C">
        <w:t xml:space="preserve">), nannofossil preservation is consistently good to excellent. Preservation quality was also checked by SEM observation of representative samples, which confirmed the LM assessments, and was evidenced by the presence of small and fragile nannofossils and central area structures </w:t>
      </w:r>
      <w:r w:rsidR="00E76CF4">
        <w:rPr>
          <w:noProof/>
        </w:rPr>
        <w:t>(see for example Bown and Newsam, 2017)</w:t>
      </w:r>
      <w:r w:rsidRPr="00CA756C">
        <w:t>.</w:t>
      </w:r>
      <w:bookmarkStart w:id="2" w:name="_Toc75540591"/>
      <w:bookmarkStart w:id="3" w:name="_Toc75541238"/>
      <w:bookmarkStart w:id="4" w:name="_Toc86316711"/>
    </w:p>
    <w:p w14:paraId="7E4BD7A6" w14:textId="77777777" w:rsidR="00961890" w:rsidRDefault="00961890" w:rsidP="00961890">
      <w:pPr>
        <w:pStyle w:val="Heading2"/>
      </w:pPr>
      <w:r w:rsidRPr="00CA756C">
        <w:t>Taxonomy</w:t>
      </w:r>
      <w:bookmarkEnd w:id="2"/>
      <w:bookmarkEnd w:id="3"/>
      <w:bookmarkEnd w:id="4"/>
      <w:r w:rsidRPr="00CA756C">
        <w:t xml:space="preserve"> and data collection.</w:t>
      </w:r>
    </w:p>
    <w:p w14:paraId="5C0BB1E6" w14:textId="297D3AA2" w:rsidR="00961890" w:rsidRPr="00CA756C" w:rsidRDefault="00961890" w:rsidP="00961890">
      <w:r w:rsidRPr="00CA756C">
        <w:rPr>
          <w:bCs/>
        </w:rPr>
        <w:t xml:space="preserve">The </w:t>
      </w:r>
      <w:r w:rsidR="00E76CF4">
        <w:rPr>
          <w:bCs/>
        </w:rPr>
        <w:t>m</w:t>
      </w:r>
      <w:r w:rsidRPr="00CA756C">
        <w:rPr>
          <w:bCs/>
        </w:rPr>
        <w:t xml:space="preserve">iddle Eocene to lowermost Oligocene (45.26–32.02 Ma) nannofossil data comes from Newsam </w:t>
      </w:r>
      <w:r w:rsidRPr="00CA756C">
        <w:rPr>
          <w:noProof/>
        </w:rPr>
        <w:t>(2016)</w:t>
      </w:r>
      <w:r w:rsidRPr="00CA756C">
        <w:rPr>
          <w:bCs/>
        </w:rPr>
        <w:t xml:space="preserve">, and the lower Oligocene to Lower Miocene (31.90–21.77 Ma) from Routledge </w:t>
      </w:r>
      <w:r w:rsidR="00E76CF4">
        <w:rPr>
          <w:noProof/>
        </w:rPr>
        <w:t>(2021)</w:t>
      </w:r>
      <w:r w:rsidRPr="00CA756C">
        <w:rPr>
          <w:bCs/>
        </w:rPr>
        <w:t xml:space="preserve">, but are previously unpublished. Both studies were carried out within the same research group, and took place alongside the research work published by Alvarez et al. </w:t>
      </w:r>
      <w:r w:rsidRPr="00CA756C">
        <w:rPr>
          <w:noProof/>
        </w:rPr>
        <w:t>(2019)</w:t>
      </w:r>
      <w:r w:rsidRPr="00CA756C">
        <w:rPr>
          <w:bCs/>
        </w:rPr>
        <w:t>. Taxonomic equivalency was enabled through group discussions, microscope demonstrations and access to extensive shared image collections.</w:t>
      </w:r>
      <w:r w:rsidRPr="00CA756C">
        <w:rPr>
          <w:b/>
          <w:bCs/>
        </w:rPr>
        <w:t xml:space="preserve"> </w:t>
      </w:r>
      <w:r w:rsidRPr="00CA756C">
        <w:t xml:space="preserve">Nannofossil data was collected from a total of 707 smear slides, prepared using standard techniques </w:t>
      </w:r>
      <w:r w:rsidRPr="00CA756C">
        <w:rPr>
          <w:noProof/>
        </w:rPr>
        <w:t>(Bown and Young, 1998)</w:t>
      </w:r>
      <w:r w:rsidRPr="00CA756C">
        <w:t>. Both semi-quantitative and quantitative count methods were applied to generate highest quality species richness and community composition data.</w:t>
      </w:r>
    </w:p>
    <w:p w14:paraId="47B4A357" w14:textId="77777777" w:rsidR="00961890" w:rsidRPr="00CA756C" w:rsidRDefault="00961890" w:rsidP="00961890"/>
    <w:p w14:paraId="77EB2036" w14:textId="1842EE89" w:rsidR="00961890" w:rsidRPr="00CA756C" w:rsidRDefault="00961890" w:rsidP="00961890">
      <w:r w:rsidRPr="00CA756C">
        <w:t xml:space="preserve">Semi-quantitative light microscope logging of samples was applied to best capture diversity and to make preliminary assessments of preservation quality. Three complete traverses of each slide </w:t>
      </w:r>
      <w:r w:rsidR="00CE21E6">
        <w:t xml:space="preserve">were </w:t>
      </w:r>
      <w:r w:rsidRPr="00CA756C">
        <w:t xml:space="preserve">logged, enabling identification of dominant to very rare assemblage components, with around 300–360 fields-of-view (FOV) analysed per slide, typically encountering around 30,000 specimens. Species richness diversity estimates were range-maximised to smooth sample-to-sample variability, i.e., presence was interpolated between consistent occurrences. </w:t>
      </w:r>
      <w:r w:rsidRPr="002140CE">
        <w:t xml:space="preserve">Community data were collected using a standard extended count method that tallied the first 300 nannofossil specimens encountered, followed by an additional 300 count, excluding the most abundant taxa (generally those contributing &gt;50 %). A multiplier was then applied to the abundant taxa excluded from the second count, using the number of FOVs required to reach the additional 300 specimens. These count and taxonomy protocols are comparable with the </w:t>
      </w:r>
      <w:proofErr w:type="spellStart"/>
      <w:r w:rsidRPr="002140CE">
        <w:t>Paleocene</w:t>
      </w:r>
      <w:proofErr w:type="spellEnd"/>
      <w:r w:rsidRPr="002140CE">
        <w:t xml:space="preserve"> and lower Eocene nannoplankton datasets of Gibbs et al. </w:t>
      </w:r>
      <w:r w:rsidRPr="002140CE">
        <w:rPr>
          <w:noProof/>
        </w:rPr>
        <w:t>(2012)</w:t>
      </w:r>
      <w:r w:rsidRPr="002140CE">
        <w:t xml:space="preserve"> and Alvarez et al. </w:t>
      </w:r>
      <w:r w:rsidRPr="002140CE">
        <w:rPr>
          <w:noProof/>
        </w:rPr>
        <w:t>(2019)</w:t>
      </w:r>
      <w:r w:rsidRPr="002140CE">
        <w:t>, allowing direct comparison. The total dataset includes 1700 samples, 400 species and ~1.2 million fossil counts.</w:t>
      </w:r>
    </w:p>
    <w:p w14:paraId="302E540A" w14:textId="1D81D360" w:rsidR="00961890" w:rsidRPr="00CA756C" w:rsidRDefault="00961890" w:rsidP="00961890">
      <w:pPr>
        <w:pStyle w:val="Heading2"/>
      </w:pPr>
      <w:bookmarkStart w:id="5" w:name="_Toc75540593"/>
      <w:bookmarkStart w:id="6" w:name="_Toc75541240"/>
      <w:bookmarkStart w:id="7" w:name="_Toc86316713"/>
      <w:r w:rsidRPr="00CA756C">
        <w:t>Summed coefficient of variation (</w:t>
      </w:r>
      <w:r w:rsidRPr="00CA756C">
        <w:sym w:font="Symbol" w:char="F053"/>
      </w:r>
      <w:r w:rsidRPr="00CA756C">
        <w:rPr>
          <w:vertAlign w:val="subscript"/>
        </w:rPr>
        <w:t>CV</w:t>
      </w:r>
      <w:r w:rsidRPr="00CA756C">
        <w:t>)</w:t>
      </w:r>
      <w:bookmarkEnd w:id="5"/>
      <w:bookmarkEnd w:id="6"/>
      <w:bookmarkEnd w:id="7"/>
    </w:p>
    <w:p w14:paraId="7C5ACF4F" w14:textId="22B8D6D5" w:rsidR="00961890" w:rsidRPr="00CA756C" w:rsidRDefault="00961890" w:rsidP="00961890">
      <w:r w:rsidRPr="00CA756C">
        <w:t xml:space="preserve">Nannofossil abundance data was recorded as percent abundance data and resampled using </w:t>
      </w:r>
      <w:proofErr w:type="spellStart"/>
      <w:r w:rsidRPr="00CA756C">
        <w:rPr>
          <w:iCs/>
        </w:rPr>
        <w:t>AnalySeries</w:t>
      </w:r>
      <w:proofErr w:type="spellEnd"/>
      <w:r w:rsidRPr="00CA756C">
        <w:rPr>
          <w:iCs/>
        </w:rPr>
        <w:t xml:space="preserve"> v2.0.8</w:t>
      </w:r>
      <w:r w:rsidRPr="00CA756C">
        <w:t xml:space="preserve"> </w:t>
      </w:r>
      <w:r w:rsidRPr="00CA756C">
        <w:rPr>
          <w:noProof/>
        </w:rPr>
        <w:t>(Paillard et al., 1996)</w:t>
      </w:r>
      <w:r w:rsidRPr="00CA756C">
        <w:t xml:space="preserve"> to provide consistent 35 </w:t>
      </w:r>
      <w:proofErr w:type="spellStart"/>
      <w:r w:rsidRPr="00CA756C">
        <w:t>kyr</w:t>
      </w:r>
      <w:proofErr w:type="spellEnd"/>
      <w:r w:rsidRPr="00CA756C">
        <w:t xml:space="preserve"> spacing between datapoints. Taxa were grouped by genus, significant </w:t>
      </w:r>
      <w:proofErr w:type="spellStart"/>
      <w:r w:rsidRPr="00CA756C">
        <w:t>morphogroups</w:t>
      </w:r>
      <w:proofErr w:type="spellEnd"/>
      <w:r w:rsidRPr="00CA756C">
        <w:t xml:space="preserve"> or </w:t>
      </w:r>
      <w:r w:rsidRPr="00CA756C">
        <w:lastRenderedPageBreak/>
        <w:t xml:space="preserve">broad species groups, e.g., </w:t>
      </w:r>
      <w:r w:rsidRPr="00CA756C">
        <w:rPr>
          <w:i/>
          <w:iCs/>
        </w:rPr>
        <w:t>Coccolithus</w:t>
      </w:r>
      <w:r w:rsidRPr="00CA756C">
        <w:t xml:space="preserve"> (genus with one dominant species complex and several minor species), </w:t>
      </w:r>
      <w:proofErr w:type="spellStart"/>
      <w:r w:rsidRPr="00CA756C">
        <w:rPr>
          <w:i/>
          <w:iCs/>
        </w:rPr>
        <w:t>Cyclicargolithus</w:t>
      </w:r>
      <w:proofErr w:type="spellEnd"/>
      <w:r w:rsidRPr="00CA756C">
        <w:rPr>
          <w:i/>
          <w:iCs/>
        </w:rPr>
        <w:t xml:space="preserve"> floridanus</w:t>
      </w:r>
      <w:r w:rsidRPr="00CA756C">
        <w:t xml:space="preserve"> (dominant species complex, including small and large morphotypes) and </w:t>
      </w:r>
      <w:proofErr w:type="spellStart"/>
      <w:r w:rsidRPr="00CA756C">
        <w:rPr>
          <w:i/>
          <w:iCs/>
        </w:rPr>
        <w:t>Reticulofenestra</w:t>
      </w:r>
      <w:proofErr w:type="spellEnd"/>
      <w:r w:rsidRPr="00CA756C">
        <w:t xml:space="preserve"> spp. &gt;5 µm (dominant species complex). To ensure maximum comparability across the datasets, focus was placed on long ranging groups of taxa. Due to the significant evolutionary turnover, the lower Paleogene and middle Eocene-</w:t>
      </w:r>
      <w:r w:rsidR="00CE21E6">
        <w:t>L</w:t>
      </w:r>
      <w:r w:rsidRPr="00CA756C">
        <w:t>ower Miocene intervals required shifting sets of taxa. The new dataset includes sufficient long-ranging and abundant taxa within the communities to achieve this with a single set of taxa. The taxa included were objectively selected by culling the total dataset using relative abundance and occurrence thresholds, specifically, removing taxa with an average abundance of less than 0.8%. This left seven taxa that were consistently present across the entire interval (</w:t>
      </w:r>
      <w:r w:rsidRPr="00CA756C">
        <w:rPr>
          <w:i/>
          <w:iCs/>
        </w:rPr>
        <w:t>Coccolithus</w:t>
      </w:r>
      <w:r w:rsidRPr="00CA756C">
        <w:t xml:space="preserve">, </w:t>
      </w:r>
      <w:proofErr w:type="spellStart"/>
      <w:r w:rsidRPr="00CA756C">
        <w:rPr>
          <w:i/>
          <w:iCs/>
        </w:rPr>
        <w:t>Cyclicargolithus</w:t>
      </w:r>
      <w:proofErr w:type="spellEnd"/>
      <w:r w:rsidRPr="00CA756C">
        <w:rPr>
          <w:i/>
          <w:iCs/>
        </w:rPr>
        <w:t xml:space="preserve"> floridanus</w:t>
      </w:r>
      <w:r w:rsidRPr="00CA756C">
        <w:t xml:space="preserve">, </w:t>
      </w:r>
      <w:proofErr w:type="spellStart"/>
      <w:r w:rsidRPr="00CA756C">
        <w:rPr>
          <w:i/>
          <w:iCs/>
        </w:rPr>
        <w:t>Clausicoccus</w:t>
      </w:r>
      <w:proofErr w:type="spellEnd"/>
      <w:r w:rsidRPr="00CA756C">
        <w:t xml:space="preserve">, </w:t>
      </w:r>
      <w:proofErr w:type="spellStart"/>
      <w:r w:rsidRPr="00CA756C">
        <w:rPr>
          <w:i/>
          <w:iCs/>
        </w:rPr>
        <w:t>Discoaster</w:t>
      </w:r>
      <w:proofErr w:type="spellEnd"/>
      <w:r w:rsidRPr="00CA756C">
        <w:t xml:space="preserve">, </w:t>
      </w:r>
      <w:proofErr w:type="spellStart"/>
      <w:r w:rsidRPr="00CA756C">
        <w:rPr>
          <w:i/>
          <w:iCs/>
        </w:rPr>
        <w:t>Sphenolithus</w:t>
      </w:r>
      <w:proofErr w:type="spellEnd"/>
      <w:r w:rsidRPr="00CA756C">
        <w:t xml:space="preserve">, </w:t>
      </w:r>
      <w:proofErr w:type="spellStart"/>
      <w:r w:rsidRPr="00CA756C">
        <w:rPr>
          <w:i/>
          <w:iCs/>
        </w:rPr>
        <w:t>Reticulofenestra</w:t>
      </w:r>
      <w:proofErr w:type="spellEnd"/>
      <w:r w:rsidRPr="00CA756C">
        <w:rPr>
          <w:i/>
          <w:iCs/>
        </w:rPr>
        <w:t xml:space="preserve"> </w:t>
      </w:r>
      <w:proofErr w:type="spellStart"/>
      <w:r w:rsidRPr="00CA756C">
        <w:rPr>
          <w:i/>
          <w:iCs/>
        </w:rPr>
        <w:t>minuta</w:t>
      </w:r>
      <w:proofErr w:type="spellEnd"/>
      <w:r w:rsidRPr="00CA756C">
        <w:t xml:space="preserve"> (&lt;3 µm) and </w:t>
      </w:r>
      <w:proofErr w:type="spellStart"/>
      <w:r w:rsidRPr="00CA756C">
        <w:rPr>
          <w:i/>
          <w:iCs/>
        </w:rPr>
        <w:t>Reticulofenestra</w:t>
      </w:r>
      <w:proofErr w:type="spellEnd"/>
      <w:r w:rsidRPr="00CA756C">
        <w:t xml:space="preserve"> spp. &gt;3 µm, which together contribute on average 94% of the total population but always &gt;82%. The standard deviation for each taxon was then calculated across moving windows of time (~100-250 </w:t>
      </w:r>
      <w:proofErr w:type="spellStart"/>
      <w:r w:rsidRPr="00CA756C">
        <w:t>kyr</w:t>
      </w:r>
      <w:proofErr w:type="spellEnd"/>
      <w:r w:rsidRPr="00CA756C">
        <w:t>/seven samples) and divided by the average abundance of the taxon, to give its coefficient of variation (CV). The sum of the CVs of these taxa gives the summed coefficient of variation (</w:t>
      </w:r>
      <w:r w:rsidRPr="00CA756C">
        <w:sym w:font="Symbol" w:char="F053"/>
      </w:r>
      <w:r w:rsidRPr="00CA756C">
        <w:rPr>
          <w:vertAlign w:val="subscript"/>
        </w:rPr>
        <w:t>CV</w:t>
      </w:r>
      <w:r w:rsidRPr="00CA756C">
        <w:t xml:space="preserve"> or SCV) summarizing whole assemblage level change (Fig. 4b</w:t>
      </w:r>
      <w:r w:rsidR="000D5367">
        <w:t xml:space="preserve"> and </w:t>
      </w:r>
      <w:r w:rsidR="000E70F9" w:rsidRPr="000D5367">
        <w:t xml:space="preserve">Table </w:t>
      </w:r>
      <w:r w:rsidR="000D5367" w:rsidRPr="000D5367">
        <w:t>S</w:t>
      </w:r>
      <w:r w:rsidR="000E70F9" w:rsidRPr="000D5367">
        <w:t>2)</w:t>
      </w:r>
      <w:r w:rsidRPr="000D5367">
        <w:t>. G</w:t>
      </w:r>
      <w:r w:rsidRPr="00CA756C">
        <w:t xml:space="preserve">aps in the record represent intervals with sampling resolution that is too low to calculate </w:t>
      </w:r>
      <w:r w:rsidRPr="00CA756C">
        <w:sym w:font="Symbol" w:char="F053"/>
      </w:r>
      <w:r w:rsidRPr="00CA756C">
        <w:rPr>
          <w:vertAlign w:val="subscript"/>
        </w:rPr>
        <w:t>CV</w:t>
      </w:r>
      <w:r w:rsidRPr="00CA756C">
        <w:t xml:space="preserve"> (e.g., the mid-Oligocene interval mentioned above). To facilitate direct comparison with the </w:t>
      </w:r>
      <w:proofErr w:type="spellStart"/>
      <w:r w:rsidRPr="00CA756C">
        <w:t>Paleocene</w:t>
      </w:r>
      <w:proofErr w:type="spellEnd"/>
      <w:r w:rsidRPr="00CA756C">
        <w:t xml:space="preserve"> to lower Eocene record of Alvarez et al. </w:t>
      </w:r>
      <w:r w:rsidRPr="00CA756C">
        <w:rPr>
          <w:noProof/>
        </w:rPr>
        <w:t>(2019)</w:t>
      </w:r>
      <w:r w:rsidRPr="00CA756C">
        <w:t xml:space="preserve">, the </w:t>
      </w:r>
      <w:r w:rsidRPr="00CA756C">
        <w:sym w:font="Symbol" w:char="F053"/>
      </w:r>
      <w:r w:rsidRPr="00CA756C">
        <w:rPr>
          <w:vertAlign w:val="subscript"/>
        </w:rPr>
        <w:t>CV</w:t>
      </w:r>
      <w:r w:rsidRPr="00CA756C">
        <w:t xml:space="preserve"> data was normalised to eight taxa. The </w:t>
      </w:r>
      <w:r w:rsidRPr="00CA756C">
        <w:sym w:font="Symbol" w:char="F053"/>
      </w:r>
      <w:r w:rsidRPr="00CA756C">
        <w:rPr>
          <w:vertAlign w:val="subscript"/>
        </w:rPr>
        <w:t>CV</w:t>
      </w:r>
      <w:r w:rsidRPr="00CA756C">
        <w:t xml:space="preserve"> values were ranked and plotted in rank order (Fig. 4c).</w:t>
      </w:r>
    </w:p>
    <w:p w14:paraId="42CFF512" w14:textId="77777777" w:rsidR="00961890" w:rsidRPr="00CA756C" w:rsidRDefault="00961890" w:rsidP="00961890"/>
    <w:p w14:paraId="0860C084" w14:textId="67FB8E74" w:rsidR="00961890" w:rsidRPr="00961890" w:rsidRDefault="00961890" w:rsidP="00961890">
      <w:r w:rsidRPr="00CA756C">
        <w:t xml:space="preserve">To test for the possible influence of nannofossil preservation and taxonomy on the </w:t>
      </w:r>
      <w:r w:rsidRPr="00CA756C">
        <w:sym w:font="Symbol" w:char="F053"/>
      </w:r>
      <w:r w:rsidRPr="00CA756C">
        <w:rPr>
          <w:vertAlign w:val="subscript"/>
        </w:rPr>
        <w:t>CV</w:t>
      </w:r>
      <w:r w:rsidRPr="00CA756C">
        <w:t xml:space="preserve"> record, several sensitivity tests were applied</w:t>
      </w:r>
      <w:r w:rsidR="00CE21E6">
        <w:t xml:space="preserve"> </w:t>
      </w:r>
      <w:r w:rsidR="00CE21E6">
        <w:rPr>
          <w:noProof/>
        </w:rPr>
        <w:t>(following Alvarez et al., 2019; Gibbs et al., 2012)</w:t>
      </w:r>
      <w:r w:rsidRPr="00CA756C">
        <w:t xml:space="preserve">. To test for the influence of preservation, potentially dissolution-susceptible taxa were removed from the dataset (e.g., </w:t>
      </w:r>
      <w:proofErr w:type="spellStart"/>
      <w:r w:rsidRPr="00CA756C">
        <w:rPr>
          <w:i/>
          <w:iCs/>
        </w:rPr>
        <w:t>Umbilicosphaera</w:t>
      </w:r>
      <w:proofErr w:type="spellEnd"/>
      <w:r w:rsidRPr="00CA756C">
        <w:rPr>
          <w:i/>
          <w:iCs/>
        </w:rPr>
        <w:t xml:space="preserve"> </w:t>
      </w:r>
      <w:proofErr w:type="spellStart"/>
      <w:r w:rsidRPr="00CA756C">
        <w:rPr>
          <w:i/>
          <w:iCs/>
        </w:rPr>
        <w:t>jafari</w:t>
      </w:r>
      <w:proofErr w:type="spellEnd"/>
      <w:r w:rsidRPr="00CA756C">
        <w:t xml:space="preserve"> and </w:t>
      </w:r>
      <w:r w:rsidRPr="00CA756C">
        <w:rPr>
          <w:i/>
          <w:iCs/>
        </w:rPr>
        <w:t xml:space="preserve">R. </w:t>
      </w:r>
      <w:proofErr w:type="spellStart"/>
      <w:r w:rsidRPr="00CA756C">
        <w:rPr>
          <w:i/>
          <w:iCs/>
        </w:rPr>
        <w:t>minuta</w:t>
      </w:r>
      <w:proofErr w:type="spellEnd"/>
      <w:r w:rsidRPr="00CA756C">
        <w:t xml:space="preserve">) and relative abundances and </w:t>
      </w:r>
      <w:r w:rsidRPr="00CA756C">
        <w:sym w:font="Symbol" w:char="F053"/>
      </w:r>
      <w:r w:rsidRPr="00CA756C">
        <w:rPr>
          <w:vertAlign w:val="subscript"/>
        </w:rPr>
        <w:t>CV</w:t>
      </w:r>
      <w:r w:rsidRPr="00CA756C">
        <w:t xml:space="preserve"> were recalculated. No significant difference was noted in the results across the different tests. To test for the effects of taxonomy, </w:t>
      </w:r>
      <w:r w:rsidRPr="00CA756C">
        <w:sym w:font="Symbol" w:char="F053"/>
      </w:r>
      <w:r w:rsidRPr="00CA756C">
        <w:rPr>
          <w:vertAlign w:val="subscript"/>
        </w:rPr>
        <w:t>CV</w:t>
      </w:r>
      <w:r w:rsidRPr="00CA756C">
        <w:t xml:space="preserve"> was calculated with one of the dominant taxa, </w:t>
      </w:r>
      <w:r w:rsidRPr="00CA756C">
        <w:rPr>
          <w:i/>
          <w:iCs/>
        </w:rPr>
        <w:t>C. floridanus,</w:t>
      </w:r>
      <w:r w:rsidRPr="00CA756C">
        <w:t xml:space="preserve"> treated as one taxonomic unit or split into two size-defined groups (&lt;5 and &gt;5 µm coccolith length). In the upper part of the record, where </w:t>
      </w:r>
      <w:r w:rsidRPr="00CA756C">
        <w:rPr>
          <w:i/>
          <w:iCs/>
        </w:rPr>
        <w:t>C. floridanus</w:t>
      </w:r>
      <w:r w:rsidRPr="00CA756C">
        <w:t xml:space="preserve"> dominates, the large variations in abundance between the two size-defined groupings may introduce closed-sum effects and amplify apparent variation, and so it was concluded that </w:t>
      </w:r>
      <w:r w:rsidRPr="00CA756C">
        <w:rPr>
          <w:i/>
          <w:iCs/>
        </w:rPr>
        <w:t>C. floridanus</w:t>
      </w:r>
      <w:r w:rsidRPr="00CA756C">
        <w:t xml:space="preserve"> should be treated as a single taxon.</w:t>
      </w:r>
    </w:p>
    <w:p w14:paraId="768EFB91" w14:textId="77777777" w:rsidR="000E70F9" w:rsidRPr="00CA756C" w:rsidRDefault="000E70F9" w:rsidP="000E70F9">
      <w:pPr>
        <w:pStyle w:val="Heading2"/>
      </w:pPr>
      <w:r w:rsidRPr="00CA756C">
        <w:t>Environmental proxy data</w:t>
      </w:r>
    </w:p>
    <w:p w14:paraId="6655D7BE" w14:textId="651640C9" w:rsidR="000E70F9" w:rsidRPr="00CA756C" w:rsidRDefault="000E70F9" w:rsidP="000E70F9">
      <w:r w:rsidRPr="00CA756C">
        <w:t xml:space="preserve">We have compared our biotic metrics with </w:t>
      </w:r>
      <w:r w:rsidRPr="00CA756C" w:rsidDel="009A3394">
        <w:t>oxygen and carbon stable isotopes</w:t>
      </w:r>
      <w:r>
        <w:t xml:space="preserve"> </w:t>
      </w:r>
      <w:r>
        <w:rPr>
          <w:noProof/>
        </w:rPr>
        <w:t>(global benthic stack of Westerhold et al., 2020)</w:t>
      </w:r>
      <w:r w:rsidRPr="00CA756C">
        <w:t xml:space="preserve"> which provide environmental proxies for temperature and carbon cycle perturbation. Long term records are available for both proxies at appropriate temporal resolutions. </w:t>
      </w:r>
      <w:r>
        <w:t>W</w:t>
      </w:r>
      <w:r w:rsidRPr="00CA756C">
        <w:t xml:space="preserve">e applied </w:t>
      </w:r>
      <w:r>
        <w:t xml:space="preserve">a </w:t>
      </w:r>
      <w:r w:rsidRPr="00CA756C">
        <w:t>coefficient of variation approach</w:t>
      </w:r>
      <w:r>
        <w:t>, t</w:t>
      </w:r>
      <w:r w:rsidRPr="00CA756C">
        <w:t xml:space="preserve">o generate a measure of proxy/environmental perturbation away from baseline conditions (an equivalent of </w:t>
      </w:r>
      <w:r w:rsidRPr="000D5367">
        <w:t>isotope excursion but independent of sign of change or underlying drivers and applicable to both oxygen and carbon datasets) (see Fig. 2</w:t>
      </w:r>
      <w:r w:rsidR="00847D4D" w:rsidRPr="000D5367">
        <w:t xml:space="preserve"> and Table </w:t>
      </w:r>
      <w:r w:rsidR="000D5367" w:rsidRPr="000D5367">
        <w:t>S</w:t>
      </w:r>
      <w:r w:rsidR="00847D4D" w:rsidRPr="000D5367">
        <w:t>3</w:t>
      </w:r>
      <w:r w:rsidRPr="000D5367">
        <w:t>). These</w:t>
      </w:r>
      <w:r>
        <w:t xml:space="preserve"> isotope variance values were placed in rank order to obtain estimates of background </w:t>
      </w:r>
      <w:r w:rsidRPr="00FE59E4">
        <w:rPr>
          <w:i/>
          <w:iCs/>
        </w:rPr>
        <w:t>versus</w:t>
      </w:r>
      <w:r>
        <w:t xml:space="preserve"> above background levels (similarly to how </w:t>
      </w:r>
      <w:r>
        <w:lastRenderedPageBreak/>
        <w:t xml:space="preserve">the </w:t>
      </w:r>
      <w:r w:rsidRPr="00CA756C">
        <w:sym w:font="Symbol" w:char="F053"/>
      </w:r>
      <w:r w:rsidRPr="00CA756C">
        <w:rPr>
          <w:vertAlign w:val="subscript"/>
        </w:rPr>
        <w:t>CV</w:t>
      </w:r>
      <w:r>
        <w:t xml:space="preserve"> nannoplankton community data were treated) with values of 0.21 being the inflection point in both carbon and oxygen. Peaks in isotope variance above 2.1 were used in the Figure 2 </w:t>
      </w:r>
      <w:proofErr w:type="spellStart"/>
      <w:r>
        <w:t>crossplots</w:t>
      </w:r>
      <w:proofErr w:type="spellEnd"/>
      <w:r>
        <w:t xml:space="preserve"> (highlighted by green or blue letters in Fig. </w:t>
      </w:r>
      <w:r w:rsidR="000D5367">
        <w:t>S</w:t>
      </w:r>
      <w:r>
        <w:t xml:space="preserve">1). The approximate equivalent CIE/OIE scale that corresponds to these isotope variance levels was placed below the </w:t>
      </w:r>
      <w:proofErr w:type="spellStart"/>
      <w:r>
        <w:t>crossplots</w:t>
      </w:r>
      <w:proofErr w:type="spellEnd"/>
      <w:r>
        <w:t xml:space="preserve"> by tying the peak variance to the known peak CIE/OIE of the PETM and EOT</w:t>
      </w:r>
      <w:r w:rsidRPr="00CA756C">
        <w:t>.</w:t>
      </w:r>
    </w:p>
    <w:p w14:paraId="02C636A3" w14:textId="77777777" w:rsidR="00961890" w:rsidRDefault="00961890" w:rsidP="00961890">
      <w:pPr>
        <w:pStyle w:val="Heading2"/>
      </w:pPr>
      <w:r w:rsidRPr="00511A89">
        <w:t>Species richness estimates</w:t>
      </w:r>
    </w:p>
    <w:p w14:paraId="092AC4EA" w14:textId="0A674413" w:rsidR="00961890" w:rsidRDefault="00961890" w:rsidP="00961890">
      <w:r w:rsidRPr="00511A89">
        <w:t xml:space="preserve">The species richness diversity data are </w:t>
      </w:r>
      <w:r>
        <w:t xml:space="preserve">from Lowery et al. </w:t>
      </w:r>
      <w:bookmarkStart w:id="8" w:name="_Hlk225177576"/>
      <w:r w:rsidR="00CE21E6">
        <w:rPr>
          <w:noProof/>
        </w:rPr>
        <w:t>(2020)</w:t>
      </w:r>
      <w:r w:rsidR="00CE21E6">
        <w:t xml:space="preserve"> </w:t>
      </w:r>
      <w:bookmarkEnd w:id="8"/>
      <w:r>
        <w:t xml:space="preserve">which is </w:t>
      </w:r>
      <w:r w:rsidRPr="00511A89">
        <w:t>the total</w:t>
      </w:r>
      <w:r>
        <w:t xml:space="preserve"> </w:t>
      </w:r>
      <w:r w:rsidRPr="00511A89">
        <w:t xml:space="preserve">number of </w:t>
      </w:r>
      <w:r>
        <w:t xml:space="preserve">species </w:t>
      </w:r>
      <w:r w:rsidRPr="00511A89">
        <w:t xml:space="preserve">that occur for some part of, or throughout, each </w:t>
      </w:r>
      <w:r>
        <w:t xml:space="preserve">one-million-year </w:t>
      </w:r>
      <w:r w:rsidRPr="00511A89">
        <w:t>stratigraphic bin.</w:t>
      </w:r>
      <w:r>
        <w:t xml:space="preserve"> The </w:t>
      </w:r>
      <w:proofErr w:type="spellStart"/>
      <w:r>
        <w:t>eutroph</w:t>
      </w:r>
      <w:proofErr w:type="spellEnd"/>
      <w:r>
        <w:t xml:space="preserve"> and oligotroph diversity data shown in Fig. 3 are the </w:t>
      </w:r>
      <w:proofErr w:type="spellStart"/>
      <w:r>
        <w:t>Isochrysodales</w:t>
      </w:r>
      <w:proofErr w:type="spellEnd"/>
      <w:r>
        <w:t xml:space="preserve"> and </w:t>
      </w:r>
      <w:r w:rsidRPr="000D5367">
        <w:t xml:space="preserve">Discoasterales richness from the Lowery et al. </w:t>
      </w:r>
      <w:r w:rsidR="00CE21E6" w:rsidRPr="000D5367">
        <w:rPr>
          <w:noProof/>
        </w:rPr>
        <w:t>(2020)</w:t>
      </w:r>
      <w:r w:rsidR="00CE21E6" w:rsidRPr="000D5367">
        <w:t xml:space="preserve"> </w:t>
      </w:r>
      <w:r w:rsidRPr="000D5367">
        <w:t>compilation, as the dominant groups which best reflect these two ecological strategies</w:t>
      </w:r>
      <w:r w:rsidR="000E70F9" w:rsidRPr="000D5367">
        <w:t xml:space="preserve"> (Table </w:t>
      </w:r>
      <w:r w:rsidR="000D5367" w:rsidRPr="000D5367">
        <w:t>S</w:t>
      </w:r>
      <w:r w:rsidR="000E70F9" w:rsidRPr="000D5367">
        <w:t>4)</w:t>
      </w:r>
      <w:r w:rsidRPr="000D5367">
        <w:t>.</w:t>
      </w:r>
    </w:p>
    <w:p w14:paraId="6C602312" w14:textId="77777777" w:rsidR="00961890" w:rsidRPr="00B15B50" w:rsidRDefault="00961890" w:rsidP="00961890">
      <w:pPr>
        <w:rPr>
          <w:sz w:val="22"/>
          <w:szCs w:val="22"/>
          <w:lang w:val="fr-FR"/>
        </w:rPr>
      </w:pPr>
    </w:p>
    <w:p w14:paraId="3F2E68B1" w14:textId="13E7DE53" w:rsidR="00961890" w:rsidRPr="00C705BF" w:rsidRDefault="00961890" w:rsidP="00961890">
      <w:pPr>
        <w:rPr>
          <w:b/>
          <w:bCs/>
          <w:szCs w:val="20"/>
        </w:rPr>
      </w:pPr>
      <w:r w:rsidRPr="00C705BF">
        <w:rPr>
          <w:b/>
          <w:bCs/>
          <w:szCs w:val="20"/>
        </w:rPr>
        <w:t xml:space="preserve">Supplementary Information </w:t>
      </w:r>
      <w:r w:rsidR="00710C4E">
        <w:rPr>
          <w:b/>
          <w:bCs/>
          <w:szCs w:val="20"/>
        </w:rPr>
        <w:t>Figures</w:t>
      </w:r>
      <w:r w:rsidRPr="00C705BF">
        <w:rPr>
          <w:b/>
          <w:bCs/>
          <w:szCs w:val="20"/>
        </w:rPr>
        <w:t>/</w:t>
      </w:r>
      <w:r w:rsidR="00710C4E">
        <w:rPr>
          <w:b/>
          <w:bCs/>
          <w:szCs w:val="20"/>
        </w:rPr>
        <w:t>Tables</w:t>
      </w:r>
      <w:r w:rsidRPr="00C705BF">
        <w:rPr>
          <w:b/>
          <w:bCs/>
          <w:szCs w:val="20"/>
        </w:rPr>
        <w:t>:</w:t>
      </w:r>
    </w:p>
    <w:p w14:paraId="6F049DD9" w14:textId="2D30A507" w:rsidR="00961890" w:rsidRPr="004225D9" w:rsidRDefault="00961890" w:rsidP="004225D9">
      <w:pPr>
        <w:pStyle w:val="Caption"/>
      </w:pPr>
      <w:r w:rsidRPr="001701E5">
        <w:t xml:space="preserve">Figure </w:t>
      </w:r>
      <w:r w:rsidR="000D5367">
        <w:t>S</w:t>
      </w:r>
      <w:r w:rsidRPr="001701E5">
        <w:t>1.</w:t>
      </w:r>
      <w:r>
        <w:t xml:space="preserve"> </w:t>
      </w:r>
      <w:r w:rsidRPr="00961890">
        <w:rPr>
          <w:b w:val="0"/>
          <w:bCs w:val="0"/>
        </w:rPr>
        <w:t xml:space="preserve">Carbon and oxygen coefficients of variation. CENOGRID benthic foraminifer carbon (green line; </w:t>
      </w:r>
      <w:r w:rsidRPr="00961890">
        <w:t>a</w:t>
      </w:r>
      <w:r w:rsidRPr="00961890">
        <w:rPr>
          <w:b w:val="0"/>
          <w:bCs w:val="0"/>
        </w:rPr>
        <w:t xml:space="preserve">) and oxygen (blue line; </w:t>
      </w:r>
      <w:r w:rsidRPr="00961890">
        <w:t>d</w:t>
      </w:r>
      <w:r w:rsidRPr="00961890">
        <w:rPr>
          <w:b w:val="0"/>
          <w:bCs w:val="0"/>
        </w:rPr>
        <w:t>) isotopes (</w:t>
      </w:r>
      <w:r w:rsidR="00243F06">
        <w:rPr>
          <w:b w:val="0"/>
          <w:bCs w:val="0"/>
        </w:rPr>
        <w:t xml:space="preserve">dark </w:t>
      </w:r>
      <w:r w:rsidR="003F551B">
        <w:rPr>
          <w:b w:val="0"/>
          <w:bCs w:val="0"/>
        </w:rPr>
        <w:t>orange</w:t>
      </w:r>
      <w:r w:rsidRPr="00961890">
        <w:rPr>
          <w:b w:val="0"/>
          <w:bCs w:val="0"/>
        </w:rPr>
        <w:t xml:space="preserve"> lines are ~250 </w:t>
      </w:r>
      <w:proofErr w:type="spellStart"/>
      <w:r w:rsidRPr="00961890">
        <w:rPr>
          <w:b w:val="0"/>
          <w:bCs w:val="0"/>
        </w:rPr>
        <w:t>kyr</w:t>
      </w:r>
      <w:proofErr w:type="spellEnd"/>
      <w:r w:rsidRPr="00961890">
        <w:rPr>
          <w:b w:val="0"/>
          <w:bCs w:val="0"/>
        </w:rPr>
        <w:t xml:space="preserve"> running mean) from Westerhold et al. </w:t>
      </w:r>
      <w:r w:rsidR="009D061A">
        <w:rPr>
          <w:b w:val="0"/>
          <w:bCs w:val="0"/>
          <w:noProof/>
        </w:rPr>
        <w:t>(2020)</w:t>
      </w:r>
      <w:r w:rsidRPr="00961890">
        <w:rPr>
          <w:b w:val="0"/>
          <w:bCs w:val="0"/>
        </w:rPr>
        <w:t xml:space="preserve">. </w:t>
      </w:r>
      <w:r w:rsidRPr="00961890">
        <w:t>b</w:t>
      </w:r>
      <w:r w:rsidRPr="00961890">
        <w:rPr>
          <w:b w:val="0"/>
          <w:bCs w:val="0"/>
        </w:rPr>
        <w:t xml:space="preserve"> and </w:t>
      </w:r>
      <w:proofErr w:type="spellStart"/>
      <w:r w:rsidRPr="00961890">
        <w:t>e</w:t>
      </w:r>
      <w:proofErr w:type="spellEnd"/>
      <w:r w:rsidRPr="00961890">
        <w:rPr>
          <w:b w:val="0"/>
          <w:bCs w:val="0"/>
        </w:rPr>
        <w:t xml:space="preserve"> are the coefficient of variation of the isotope records using 250 and 750 </w:t>
      </w:r>
      <w:proofErr w:type="spellStart"/>
      <w:r w:rsidRPr="00961890">
        <w:rPr>
          <w:b w:val="0"/>
          <w:bCs w:val="0"/>
        </w:rPr>
        <w:t>kyr</w:t>
      </w:r>
      <w:proofErr w:type="spellEnd"/>
      <w:r w:rsidRPr="00961890">
        <w:rPr>
          <w:b w:val="0"/>
          <w:bCs w:val="0"/>
        </w:rPr>
        <w:t xml:space="preserve"> windows. Letters indicate levels of variance that are above background, included in Figure 2. Summed coefficient of variation from Figure 1</w:t>
      </w:r>
      <w:r w:rsidR="003F551B">
        <w:rPr>
          <w:b w:val="0"/>
          <w:bCs w:val="0"/>
        </w:rPr>
        <w:t xml:space="preserve"> (red line; </w:t>
      </w:r>
      <w:r w:rsidR="003F551B">
        <w:t>c</w:t>
      </w:r>
      <w:r w:rsidR="003F551B">
        <w:rPr>
          <w:b w:val="0"/>
          <w:bCs w:val="0"/>
        </w:rPr>
        <w:t>)</w:t>
      </w:r>
      <w:r w:rsidRPr="00961890">
        <w:rPr>
          <w:b w:val="0"/>
          <w:bCs w:val="0"/>
        </w:rPr>
        <w:t xml:space="preserve"> with letters highlighting above background levels that do not correspond to named climatic events. Background level datapoints used in Figure 2 are from levels highlighted by pink dashed lines and correspond broadly to 2 Myr spacing between climatic events.</w:t>
      </w:r>
      <w:r w:rsidR="00243F06" w:rsidRPr="00243F06">
        <w:rPr>
          <w:b w:val="0"/>
          <w:bCs w:val="0"/>
        </w:rPr>
        <w:t xml:space="preserve"> </w:t>
      </w:r>
      <w:r w:rsidR="00473903">
        <w:rPr>
          <w:b w:val="0"/>
          <w:bCs w:val="0"/>
        </w:rPr>
        <w:t>Abbreviated e</w:t>
      </w:r>
      <w:r w:rsidR="00243F06" w:rsidRPr="00A17F9C">
        <w:rPr>
          <w:b w:val="0"/>
          <w:bCs w:val="0"/>
        </w:rPr>
        <w:t xml:space="preserve">vent names </w:t>
      </w:r>
      <w:r w:rsidR="00473903">
        <w:rPr>
          <w:b w:val="0"/>
          <w:bCs w:val="0"/>
        </w:rPr>
        <w:t>and red triangles are</w:t>
      </w:r>
      <w:r w:rsidR="00243F06" w:rsidRPr="00A17F9C">
        <w:rPr>
          <w:b w:val="0"/>
          <w:bCs w:val="0"/>
        </w:rPr>
        <w:t xml:space="preserve"> as Fig</w:t>
      </w:r>
      <w:r w:rsidR="00473903">
        <w:rPr>
          <w:b w:val="0"/>
          <w:bCs w:val="0"/>
        </w:rPr>
        <w:t xml:space="preserve">ure </w:t>
      </w:r>
      <w:r w:rsidR="00243F06" w:rsidRPr="00A17F9C">
        <w:rPr>
          <w:b w:val="0"/>
          <w:bCs w:val="0"/>
        </w:rPr>
        <w:t>1</w:t>
      </w:r>
      <w:r w:rsidR="00473903">
        <w:rPr>
          <w:b w:val="0"/>
          <w:bCs w:val="0"/>
        </w:rPr>
        <w:t xml:space="preserve">; </w:t>
      </w:r>
      <w:proofErr w:type="spellStart"/>
      <w:r w:rsidR="00473903">
        <w:rPr>
          <w:b w:val="0"/>
          <w:bCs w:val="0"/>
        </w:rPr>
        <w:t>i</w:t>
      </w:r>
      <w:proofErr w:type="spellEnd"/>
      <w:r w:rsidR="00473903">
        <w:rPr>
          <w:b w:val="0"/>
          <w:bCs w:val="0"/>
        </w:rPr>
        <w:t xml:space="preserve"> and </w:t>
      </w:r>
      <w:r w:rsidR="00473903" w:rsidRPr="00473903">
        <w:rPr>
          <w:b w:val="0"/>
          <w:bCs w:val="0"/>
        </w:rPr>
        <w:t xml:space="preserve">ii are </w:t>
      </w:r>
      <w:r w:rsidR="00473903">
        <w:rPr>
          <w:b w:val="0"/>
          <w:bCs w:val="0"/>
        </w:rPr>
        <w:t xml:space="preserve">MOGI </w:t>
      </w:r>
      <w:r w:rsidR="00473903" w:rsidRPr="00473903">
        <w:rPr>
          <w:b w:val="0"/>
          <w:bCs w:val="0"/>
        </w:rPr>
        <w:sym w:font="Symbol" w:char="F053"/>
      </w:r>
      <w:r w:rsidR="00473903" w:rsidRPr="00473903">
        <w:rPr>
          <w:b w:val="0"/>
          <w:bCs w:val="0"/>
          <w:vertAlign w:val="subscript"/>
        </w:rPr>
        <w:t>CV</w:t>
      </w:r>
      <w:r w:rsidR="00473903" w:rsidRPr="00473903">
        <w:rPr>
          <w:b w:val="0"/>
          <w:bCs w:val="0"/>
        </w:rPr>
        <w:t xml:space="preserve"> pea</w:t>
      </w:r>
      <w:r w:rsidR="00473903">
        <w:rPr>
          <w:b w:val="0"/>
          <w:bCs w:val="0"/>
        </w:rPr>
        <w:t>k</w:t>
      </w:r>
      <w:r w:rsidR="00473903" w:rsidRPr="00473903">
        <w:rPr>
          <w:b w:val="0"/>
          <w:bCs w:val="0"/>
        </w:rPr>
        <w:t>s</w:t>
      </w:r>
      <w:r w:rsidR="00473903">
        <w:rPr>
          <w:b w:val="0"/>
          <w:bCs w:val="0"/>
        </w:rPr>
        <w:t xml:space="preserve"> as Figure 2</w:t>
      </w:r>
      <w:r w:rsidR="00243F06" w:rsidRPr="00473903">
        <w:rPr>
          <w:b w:val="0"/>
          <w:bCs w:val="0"/>
        </w:rPr>
        <w:t>.</w:t>
      </w:r>
    </w:p>
    <w:p w14:paraId="15014D00" w14:textId="2A4A32E9" w:rsidR="00473903" w:rsidRPr="00C128C9" w:rsidRDefault="00473903" w:rsidP="001C0410">
      <w:pPr>
        <w:pStyle w:val="Caption"/>
      </w:pPr>
      <w:r w:rsidRPr="00473903">
        <w:t xml:space="preserve">Table </w:t>
      </w:r>
      <w:r w:rsidR="000D5367">
        <w:t>S</w:t>
      </w:r>
      <w:r w:rsidRPr="00473903">
        <w:t>1.</w:t>
      </w:r>
      <w:r>
        <w:t xml:space="preserve"> </w:t>
      </w:r>
      <w:r w:rsidRPr="001C0410">
        <w:rPr>
          <w:b w:val="0"/>
          <w:bCs w:val="0"/>
        </w:rPr>
        <w:t xml:space="preserve">Age models for IODP Exp. 342 Sites U1406, U1411, and U1408. Age models based on integrated biostratigraphy and </w:t>
      </w:r>
      <w:proofErr w:type="spellStart"/>
      <w:r w:rsidRPr="001C0410">
        <w:rPr>
          <w:b w:val="0"/>
          <w:bCs w:val="0"/>
        </w:rPr>
        <w:t>magnetostratigraphy</w:t>
      </w:r>
      <w:proofErr w:type="spellEnd"/>
      <w:r w:rsidRPr="001C0410">
        <w:rPr>
          <w:b w:val="0"/>
          <w:bCs w:val="0"/>
        </w:rPr>
        <w:t xml:space="preserve"> from shipboard or updated publications and unpublished datasets listed</w:t>
      </w:r>
      <w:r w:rsidR="00E63929" w:rsidRPr="001C0410">
        <w:rPr>
          <w:b w:val="0"/>
          <w:bCs w:val="0"/>
        </w:rPr>
        <w:t xml:space="preserve"> </w:t>
      </w:r>
      <w:r w:rsidR="00E63929" w:rsidRPr="001C0410">
        <w:rPr>
          <w:b w:val="0"/>
          <w:bCs w:val="0"/>
          <w:noProof/>
        </w:rPr>
        <w:t>(Boulila et al., 2018; Newsam, 2016; van Peer et al., 2024; Routledge, 2021)</w:t>
      </w:r>
      <w:r w:rsidRPr="001C0410">
        <w:rPr>
          <w:b w:val="0"/>
          <w:bCs w:val="0"/>
        </w:rPr>
        <w:t xml:space="preserve">. CN, calcareous nannofossil datum; </w:t>
      </w:r>
      <w:proofErr w:type="spellStart"/>
      <w:r w:rsidRPr="001C0410">
        <w:rPr>
          <w:b w:val="0"/>
          <w:bCs w:val="0"/>
        </w:rPr>
        <w:t>chron</w:t>
      </w:r>
      <w:proofErr w:type="spellEnd"/>
      <w:r w:rsidRPr="001C0410">
        <w:rPr>
          <w:b w:val="0"/>
          <w:bCs w:val="0"/>
        </w:rPr>
        <w:t xml:space="preserve">, magnetostratigraphic </w:t>
      </w:r>
      <w:proofErr w:type="spellStart"/>
      <w:r w:rsidR="00E63929" w:rsidRPr="001C0410">
        <w:rPr>
          <w:b w:val="0"/>
          <w:bCs w:val="0"/>
        </w:rPr>
        <w:t>chron</w:t>
      </w:r>
      <w:proofErr w:type="spellEnd"/>
      <w:r w:rsidR="00E63929" w:rsidRPr="001C0410">
        <w:rPr>
          <w:b w:val="0"/>
          <w:bCs w:val="0"/>
        </w:rPr>
        <w:t xml:space="preserve"> boundary; PF, planktic foraminifera datum; T, top event.</w:t>
      </w:r>
    </w:p>
    <w:p w14:paraId="5C2487E2" w14:textId="30794CDF" w:rsidR="00847D4D" w:rsidRDefault="00847D4D" w:rsidP="001C0410">
      <w:pPr>
        <w:pStyle w:val="Caption"/>
      </w:pPr>
      <w:r w:rsidRPr="005D26DC">
        <w:rPr>
          <w:szCs w:val="20"/>
        </w:rPr>
        <w:t>Table</w:t>
      </w:r>
      <w:r>
        <w:rPr>
          <w:szCs w:val="20"/>
        </w:rPr>
        <w:t xml:space="preserve"> </w:t>
      </w:r>
      <w:r w:rsidR="000D5367">
        <w:rPr>
          <w:szCs w:val="20"/>
        </w:rPr>
        <w:t>S</w:t>
      </w:r>
      <w:r>
        <w:rPr>
          <w:szCs w:val="20"/>
        </w:rPr>
        <w:t xml:space="preserve">2. </w:t>
      </w:r>
      <w:r w:rsidRPr="001C0410">
        <w:rPr>
          <w:b w:val="0"/>
          <w:bCs w:val="0"/>
        </w:rPr>
        <w:t>Summed coefficient of variation (</w:t>
      </w:r>
      <w:r w:rsidRPr="001C0410">
        <w:rPr>
          <w:b w:val="0"/>
          <w:bCs w:val="0"/>
        </w:rPr>
        <w:sym w:font="Symbol" w:char="F053"/>
      </w:r>
      <w:r w:rsidRPr="001C0410">
        <w:rPr>
          <w:b w:val="0"/>
          <w:bCs w:val="0"/>
          <w:vertAlign w:val="subscript"/>
        </w:rPr>
        <w:t>CV</w:t>
      </w:r>
      <w:r w:rsidRPr="001C0410">
        <w:rPr>
          <w:b w:val="0"/>
          <w:bCs w:val="0"/>
        </w:rPr>
        <w:t xml:space="preserve"> or SCV) summarizing whole assemblage level change for the middle Eocene-Lower Miocene (38.20–21.77 Ma) across 7 taxa, normalised to 8 taxa to match Alvarez et al. </w:t>
      </w:r>
      <w:r w:rsidRPr="001C0410">
        <w:rPr>
          <w:b w:val="0"/>
          <w:bCs w:val="0"/>
          <w:noProof/>
        </w:rPr>
        <w:t>(2019)</w:t>
      </w:r>
      <w:r w:rsidRPr="001C0410">
        <w:rPr>
          <w:b w:val="0"/>
          <w:bCs w:val="0"/>
        </w:rPr>
        <w:t xml:space="preserve"> </w:t>
      </w:r>
      <w:proofErr w:type="spellStart"/>
      <w:r w:rsidRPr="001C0410">
        <w:rPr>
          <w:b w:val="0"/>
          <w:bCs w:val="0"/>
        </w:rPr>
        <w:t>Paleocene</w:t>
      </w:r>
      <w:proofErr w:type="spellEnd"/>
      <w:r w:rsidRPr="001C0410">
        <w:rPr>
          <w:b w:val="0"/>
          <w:bCs w:val="0"/>
        </w:rPr>
        <w:t>-Eocene dataset.</w:t>
      </w:r>
    </w:p>
    <w:p w14:paraId="27D55401" w14:textId="0BFC06AF" w:rsidR="00847D4D" w:rsidRPr="001C0410" w:rsidRDefault="00847D4D" w:rsidP="001C0410">
      <w:pPr>
        <w:pStyle w:val="Caption"/>
        <w:rPr>
          <w:b w:val="0"/>
          <w:bCs w:val="0"/>
        </w:rPr>
      </w:pPr>
      <w:r w:rsidRPr="005D26DC">
        <w:rPr>
          <w:szCs w:val="20"/>
        </w:rPr>
        <w:t>Table</w:t>
      </w:r>
      <w:r>
        <w:rPr>
          <w:szCs w:val="20"/>
        </w:rPr>
        <w:t xml:space="preserve"> </w:t>
      </w:r>
      <w:r w:rsidR="000D5367">
        <w:rPr>
          <w:szCs w:val="20"/>
        </w:rPr>
        <w:t>S</w:t>
      </w:r>
      <w:r>
        <w:rPr>
          <w:szCs w:val="20"/>
        </w:rPr>
        <w:t xml:space="preserve">3. </w:t>
      </w:r>
      <w:proofErr w:type="spellStart"/>
      <w:r w:rsidRPr="001C0410">
        <w:rPr>
          <w:b w:val="0"/>
          <w:bCs w:val="0"/>
        </w:rPr>
        <w:t>Crossplots</w:t>
      </w:r>
      <w:proofErr w:type="spellEnd"/>
      <w:r w:rsidRPr="001C0410">
        <w:rPr>
          <w:b w:val="0"/>
          <w:bCs w:val="0"/>
        </w:rPr>
        <w:t xml:space="preserve"> of </w:t>
      </w:r>
      <w:r w:rsidRPr="001C0410">
        <w:rPr>
          <w:b w:val="0"/>
          <w:bCs w:val="0"/>
        </w:rPr>
        <w:sym w:font="Symbol" w:char="F053"/>
      </w:r>
      <w:r w:rsidRPr="001C0410">
        <w:rPr>
          <w:b w:val="0"/>
          <w:bCs w:val="0"/>
          <w:vertAlign w:val="subscript"/>
        </w:rPr>
        <w:t>CV</w:t>
      </w:r>
      <w:r w:rsidRPr="001C0410">
        <w:rPr>
          <w:b w:val="0"/>
          <w:bCs w:val="0"/>
        </w:rPr>
        <w:t xml:space="preserve"> and magnitude of environmental perturbation as proxied by the standard deviation (SD) of carbon and oxygen stable isotope variance. Global benthic stack of carbon and oxygen stable isotope from Westerhold et al. </w:t>
      </w:r>
      <w:r w:rsidRPr="001C0410">
        <w:rPr>
          <w:b w:val="0"/>
          <w:bCs w:val="0"/>
          <w:noProof/>
        </w:rPr>
        <w:t>(2020)</w:t>
      </w:r>
      <w:r w:rsidRPr="001C0410">
        <w:rPr>
          <w:b w:val="0"/>
          <w:bCs w:val="0"/>
        </w:rPr>
        <w:t xml:space="preserve">, standard deviation value adjusted for named events based on approximately equivalent OIE/CIE. Letters correspond to datapoints in Fig. </w:t>
      </w:r>
      <w:r w:rsidR="000D5367">
        <w:rPr>
          <w:b w:val="0"/>
          <w:bCs w:val="0"/>
        </w:rPr>
        <w:t>S</w:t>
      </w:r>
      <w:r w:rsidRPr="001C0410">
        <w:rPr>
          <w:b w:val="0"/>
          <w:bCs w:val="0"/>
        </w:rPr>
        <w:t>1.</w:t>
      </w:r>
    </w:p>
    <w:p w14:paraId="4E358F34" w14:textId="207BD458" w:rsidR="00DF20F7" w:rsidRPr="00DF20F7" w:rsidRDefault="00847D4D" w:rsidP="00DF20F7">
      <w:pPr>
        <w:pStyle w:val="Caption"/>
        <w:rPr>
          <w:b w:val="0"/>
          <w:bCs w:val="0"/>
        </w:rPr>
      </w:pPr>
      <w:r w:rsidRPr="002B142D">
        <w:rPr>
          <w:szCs w:val="20"/>
        </w:rPr>
        <w:t xml:space="preserve">Table </w:t>
      </w:r>
      <w:r w:rsidR="000D5367">
        <w:rPr>
          <w:szCs w:val="20"/>
        </w:rPr>
        <w:t>S</w:t>
      </w:r>
      <w:r w:rsidRPr="002B142D">
        <w:rPr>
          <w:szCs w:val="20"/>
        </w:rPr>
        <w:t>4.</w:t>
      </w:r>
      <w:r>
        <w:rPr>
          <w:szCs w:val="20"/>
        </w:rPr>
        <w:t xml:space="preserve"> </w:t>
      </w:r>
      <w:proofErr w:type="spellStart"/>
      <w:r w:rsidRPr="001C0410">
        <w:rPr>
          <w:b w:val="0"/>
          <w:bCs w:val="0"/>
        </w:rPr>
        <w:t>Isochrysidales</w:t>
      </w:r>
      <w:proofErr w:type="spellEnd"/>
      <w:r w:rsidRPr="001C0410">
        <w:rPr>
          <w:b w:val="0"/>
          <w:bCs w:val="0"/>
        </w:rPr>
        <w:t xml:space="preserve"> and Discoasterales richness from the Lowery et al. </w:t>
      </w:r>
      <w:r w:rsidRPr="001C0410">
        <w:rPr>
          <w:b w:val="0"/>
          <w:bCs w:val="0"/>
          <w:noProof/>
        </w:rPr>
        <w:t>(2020)</w:t>
      </w:r>
      <w:r w:rsidRPr="001C0410">
        <w:rPr>
          <w:b w:val="0"/>
          <w:bCs w:val="0"/>
        </w:rPr>
        <w:t xml:space="preserve"> compilation.</w:t>
      </w:r>
    </w:p>
    <w:p w14:paraId="6AD6ACA0" w14:textId="43B8CB67" w:rsidR="00DF20F7" w:rsidRDefault="00DF20F7" w:rsidP="00DF20F7">
      <w:pPr>
        <w:pStyle w:val="Heading1"/>
      </w:pPr>
      <w:r>
        <w:t xml:space="preserve">Supplement </w:t>
      </w:r>
      <w:r>
        <w:t>References</w:t>
      </w:r>
    </w:p>
    <w:p w14:paraId="642ED49C" w14:textId="77777777" w:rsidR="00DF20F7" w:rsidRPr="00C91F95" w:rsidRDefault="00DF20F7" w:rsidP="00DF20F7">
      <w:pPr>
        <w:pStyle w:val="Bibliography"/>
        <w:rPr>
          <w:rFonts w:eastAsia="SimSun"/>
          <w:lang w:eastAsia="en-GB"/>
        </w:rPr>
      </w:pPr>
      <w:r w:rsidRPr="00C91F95">
        <w:rPr>
          <w:rFonts w:eastAsia="SimSun"/>
          <w:lang w:eastAsia="en-GB"/>
        </w:rPr>
        <w:t>Alvarez, S. A., Gibbs, S. J., Bown, P. R., Kim, H., Sheward, R. M., and Ridgwell, A.: Diversity decoupled from ecosystem function and resilience during mass extinction recovery, Nature, 574, 242–245, https://doi.org/10.1038/s41586-019-1590-8, 2019.</w:t>
      </w:r>
    </w:p>
    <w:p w14:paraId="20F76487" w14:textId="77777777" w:rsidR="00DF20F7" w:rsidRPr="00C91F95" w:rsidRDefault="00DF20F7" w:rsidP="00DF20F7">
      <w:pPr>
        <w:pStyle w:val="Bibliography"/>
        <w:rPr>
          <w:rFonts w:eastAsia="SimSun"/>
          <w:lang w:eastAsia="en-GB"/>
        </w:rPr>
      </w:pPr>
      <w:proofErr w:type="spellStart"/>
      <w:r w:rsidRPr="00C91F95">
        <w:rPr>
          <w:rFonts w:eastAsia="SimSun"/>
          <w:lang w:eastAsia="en-GB"/>
        </w:rPr>
        <w:t>Boulila</w:t>
      </w:r>
      <w:proofErr w:type="spellEnd"/>
      <w:r w:rsidRPr="00C91F95">
        <w:rPr>
          <w:rFonts w:eastAsia="SimSun"/>
          <w:lang w:eastAsia="en-GB"/>
        </w:rPr>
        <w:t xml:space="preserve">, S., </w:t>
      </w:r>
      <w:proofErr w:type="spellStart"/>
      <w:r w:rsidRPr="00C91F95">
        <w:rPr>
          <w:rFonts w:eastAsia="SimSun"/>
          <w:lang w:eastAsia="en-GB"/>
        </w:rPr>
        <w:t>Vahlenkamp</w:t>
      </w:r>
      <w:proofErr w:type="spellEnd"/>
      <w:r w:rsidRPr="00C91F95">
        <w:rPr>
          <w:rFonts w:eastAsia="SimSun"/>
          <w:lang w:eastAsia="en-GB"/>
        </w:rPr>
        <w:t xml:space="preserve">, M., De </w:t>
      </w:r>
      <w:proofErr w:type="spellStart"/>
      <w:r w:rsidRPr="00C91F95">
        <w:rPr>
          <w:rFonts w:eastAsia="SimSun"/>
          <w:lang w:eastAsia="en-GB"/>
        </w:rPr>
        <w:t>Vleeschouwer</w:t>
      </w:r>
      <w:proofErr w:type="spellEnd"/>
      <w:r w:rsidRPr="00C91F95">
        <w:rPr>
          <w:rFonts w:eastAsia="SimSun"/>
          <w:lang w:eastAsia="en-GB"/>
        </w:rPr>
        <w:t xml:space="preserve">, D., Laskar, J., Yamamoto, Y., </w:t>
      </w:r>
      <w:proofErr w:type="spellStart"/>
      <w:r w:rsidRPr="00C91F95">
        <w:rPr>
          <w:rFonts w:eastAsia="SimSun"/>
          <w:lang w:eastAsia="en-GB"/>
        </w:rPr>
        <w:t>Pälike</w:t>
      </w:r>
      <w:proofErr w:type="spellEnd"/>
      <w:r w:rsidRPr="00C91F95">
        <w:rPr>
          <w:rFonts w:eastAsia="SimSun"/>
          <w:lang w:eastAsia="en-GB"/>
        </w:rPr>
        <w:t xml:space="preserve">, H., Kirtland Turner, S., Sexton, P. F., Westerhold, T., and </w:t>
      </w:r>
      <w:proofErr w:type="spellStart"/>
      <w:r w:rsidRPr="00C91F95">
        <w:rPr>
          <w:rFonts w:eastAsia="SimSun"/>
          <w:lang w:eastAsia="en-GB"/>
        </w:rPr>
        <w:t>Röhl</w:t>
      </w:r>
      <w:proofErr w:type="spellEnd"/>
      <w:r w:rsidRPr="00C91F95">
        <w:rPr>
          <w:rFonts w:eastAsia="SimSun"/>
          <w:lang w:eastAsia="en-GB"/>
        </w:rPr>
        <w:t>, U.: Towards a robust and consistent middle Eocene astronomical timescale, Earth Planet. Sci. Lett., 486, 94–107, https://doi.org/10.1016/j.epsl.2018.01.003, 2018.</w:t>
      </w:r>
    </w:p>
    <w:p w14:paraId="487720C4" w14:textId="77777777" w:rsidR="00DF20F7" w:rsidRPr="00C91F95" w:rsidRDefault="00DF20F7" w:rsidP="00DF20F7">
      <w:pPr>
        <w:pStyle w:val="Bibliography"/>
        <w:rPr>
          <w:rFonts w:eastAsia="SimSun"/>
          <w:lang w:eastAsia="en-GB"/>
        </w:rPr>
      </w:pPr>
      <w:r w:rsidRPr="00C91F95">
        <w:rPr>
          <w:rFonts w:eastAsia="SimSun"/>
          <w:lang w:eastAsia="en-GB"/>
        </w:rPr>
        <w:t>Bown, P. R. and Young, J. R.: Techniques, in: Calcareous Nannofossil Biostratigraphy, edited by: Bown, P. R., Chapman &amp; Hall, Cambridge, 16–28, 1998.</w:t>
      </w:r>
    </w:p>
    <w:p w14:paraId="4DD8425E" w14:textId="77777777" w:rsidR="00DF20F7" w:rsidRPr="00C91F95" w:rsidRDefault="00DF20F7" w:rsidP="00DF20F7">
      <w:pPr>
        <w:pStyle w:val="Bibliography"/>
        <w:rPr>
          <w:rFonts w:eastAsia="SimSun"/>
          <w:lang w:eastAsia="en-GB"/>
        </w:rPr>
      </w:pPr>
      <w:r w:rsidRPr="00C91F95">
        <w:rPr>
          <w:rFonts w:eastAsia="SimSun"/>
          <w:lang w:eastAsia="en-GB"/>
        </w:rPr>
        <w:lastRenderedPageBreak/>
        <w:t>Bown, P. R. and Newsam, C.: Calcareous nannofossils from the Eocene North Atlantic Ocean (IODP Expedition 342 Sites U1403–1411), J. Nannoplankton Res., 37, 25–60, 2017.</w:t>
      </w:r>
    </w:p>
    <w:p w14:paraId="58847655" w14:textId="77777777" w:rsidR="00DF20F7" w:rsidRPr="00C91F95" w:rsidRDefault="00DF20F7" w:rsidP="00DF20F7">
      <w:pPr>
        <w:pStyle w:val="Bibliography"/>
        <w:rPr>
          <w:rFonts w:eastAsia="SimSun"/>
          <w:lang w:eastAsia="en-GB"/>
        </w:rPr>
      </w:pPr>
      <w:r w:rsidRPr="00C91F95">
        <w:rPr>
          <w:rFonts w:eastAsia="SimSun"/>
          <w:lang w:eastAsia="en-GB"/>
        </w:rPr>
        <w:t xml:space="preserve">Gibbs, S. J., Bown, P. R., Murphy, B. H., Sluijs, A., Edgar, K. M., </w:t>
      </w:r>
      <w:proofErr w:type="spellStart"/>
      <w:r w:rsidRPr="00C91F95">
        <w:rPr>
          <w:rFonts w:eastAsia="SimSun"/>
          <w:lang w:eastAsia="en-GB"/>
        </w:rPr>
        <w:t>Pälike</w:t>
      </w:r>
      <w:proofErr w:type="spellEnd"/>
      <w:r w:rsidRPr="00C91F95">
        <w:rPr>
          <w:rFonts w:eastAsia="SimSun"/>
          <w:lang w:eastAsia="en-GB"/>
        </w:rPr>
        <w:t xml:space="preserve">, H., Bolton, C. T., and Zachos, J. C.: Scaled biotic disruption during early Eocene global warming events, </w:t>
      </w:r>
      <w:proofErr w:type="spellStart"/>
      <w:r w:rsidRPr="00C91F95">
        <w:rPr>
          <w:rFonts w:eastAsia="SimSun"/>
          <w:lang w:eastAsia="en-GB"/>
        </w:rPr>
        <w:t>Biogeosciences</w:t>
      </w:r>
      <w:proofErr w:type="spellEnd"/>
      <w:r w:rsidRPr="00C91F95">
        <w:rPr>
          <w:rFonts w:eastAsia="SimSun"/>
          <w:lang w:eastAsia="en-GB"/>
        </w:rPr>
        <w:t>, 9, 4679–4688, https://doi.org/10.5194/bg-9-4679-2012, 2012.</w:t>
      </w:r>
    </w:p>
    <w:p w14:paraId="68A6C5AB" w14:textId="77777777" w:rsidR="00DF20F7" w:rsidRPr="00C91F95" w:rsidRDefault="00DF20F7" w:rsidP="00DF20F7">
      <w:pPr>
        <w:pStyle w:val="Bibliography"/>
        <w:rPr>
          <w:rFonts w:eastAsia="SimSun"/>
          <w:lang w:eastAsia="en-GB"/>
        </w:rPr>
      </w:pPr>
      <w:r w:rsidRPr="00C91F95">
        <w:rPr>
          <w:rFonts w:eastAsia="SimSun"/>
          <w:lang w:eastAsia="en-GB"/>
        </w:rPr>
        <w:t xml:space="preserve">Lowery, C. M., Bown, P. R., </w:t>
      </w:r>
      <w:proofErr w:type="spellStart"/>
      <w:r w:rsidRPr="00C91F95">
        <w:rPr>
          <w:rFonts w:eastAsia="SimSun"/>
          <w:lang w:eastAsia="en-GB"/>
        </w:rPr>
        <w:t>Fraass</w:t>
      </w:r>
      <w:proofErr w:type="spellEnd"/>
      <w:r w:rsidRPr="00C91F95">
        <w:rPr>
          <w:rFonts w:eastAsia="SimSun"/>
          <w:lang w:eastAsia="en-GB"/>
        </w:rPr>
        <w:t xml:space="preserve">, A. J., and Hull, P. M.: Ecological response of plankton to </w:t>
      </w:r>
      <w:proofErr w:type="spellStart"/>
      <w:r w:rsidRPr="00C91F95">
        <w:rPr>
          <w:rFonts w:eastAsia="SimSun"/>
          <w:lang w:eastAsia="en-GB"/>
        </w:rPr>
        <w:t>eEnvironmental</w:t>
      </w:r>
      <w:proofErr w:type="spellEnd"/>
      <w:r w:rsidRPr="00C91F95">
        <w:rPr>
          <w:rFonts w:eastAsia="SimSun"/>
          <w:lang w:eastAsia="en-GB"/>
        </w:rPr>
        <w:t xml:space="preserve"> change: Thresholds for extinction, Annu. Rev. Earth Planet. Sci., 48, 16.1-16.27, https://doi.org/10.1146/annurev-earth-081619-052818, 2020.</w:t>
      </w:r>
    </w:p>
    <w:p w14:paraId="07C24F18" w14:textId="77777777" w:rsidR="00DF20F7" w:rsidRPr="00C91F95" w:rsidRDefault="00DF20F7" w:rsidP="00DF20F7">
      <w:pPr>
        <w:pStyle w:val="Bibliography"/>
        <w:rPr>
          <w:rFonts w:eastAsia="SimSun"/>
          <w:lang w:eastAsia="en-GB"/>
        </w:rPr>
      </w:pPr>
      <w:r w:rsidRPr="00C91F95">
        <w:rPr>
          <w:rFonts w:eastAsia="SimSun"/>
          <w:lang w:eastAsia="en-GB"/>
        </w:rPr>
        <w:t>Newsam, C.: Calcareous nannoplankton evolution and the Paleogene greenhouse to icehouse climate-mode transition, University College London, 0–224 pp., 2016.</w:t>
      </w:r>
    </w:p>
    <w:p w14:paraId="0CF876CA" w14:textId="6B4F4240" w:rsidR="00DF20F7" w:rsidRPr="00DF20F7" w:rsidRDefault="00DF20F7" w:rsidP="00DF20F7">
      <w:pPr>
        <w:pStyle w:val="Bibliography"/>
        <w:rPr>
          <w:rFonts w:eastAsia="SimSun"/>
          <w:lang w:eastAsia="en-GB"/>
        </w:rPr>
      </w:pPr>
      <w:r w:rsidRPr="00C91F95">
        <w:rPr>
          <w:rFonts w:eastAsia="SimSun"/>
          <w:lang w:eastAsia="en-GB"/>
        </w:rPr>
        <w:t xml:space="preserve">Norris, R. D., Wilson, P. A., Blum, P., Fehr, A., Agnini, C., Bornemann, A., </w:t>
      </w:r>
      <w:proofErr w:type="spellStart"/>
      <w:r w:rsidRPr="00C91F95">
        <w:rPr>
          <w:rFonts w:eastAsia="SimSun"/>
          <w:lang w:eastAsia="en-GB"/>
        </w:rPr>
        <w:t>Boulila</w:t>
      </w:r>
      <w:proofErr w:type="spellEnd"/>
      <w:r w:rsidRPr="00C91F95">
        <w:rPr>
          <w:rFonts w:eastAsia="SimSun"/>
          <w:lang w:eastAsia="en-GB"/>
        </w:rPr>
        <w:t xml:space="preserve">, S., Bown, P. R., </w:t>
      </w:r>
      <w:proofErr w:type="spellStart"/>
      <w:r w:rsidRPr="00C91F95">
        <w:rPr>
          <w:rFonts w:eastAsia="SimSun"/>
          <w:lang w:eastAsia="en-GB"/>
        </w:rPr>
        <w:t>Cournede</w:t>
      </w:r>
      <w:proofErr w:type="spellEnd"/>
      <w:r w:rsidRPr="00C91F95">
        <w:rPr>
          <w:rFonts w:eastAsia="SimSun"/>
          <w:lang w:eastAsia="en-GB"/>
        </w:rPr>
        <w:t xml:space="preserve">, C., Friedrich, O., Ghosh, A. K., Hollis, C. J., Hull, P. M., Jo, K. </w:t>
      </w:r>
      <w:proofErr w:type="spellStart"/>
      <w:r w:rsidRPr="00C91F95">
        <w:rPr>
          <w:rFonts w:eastAsia="SimSun"/>
          <w:lang w:eastAsia="en-GB"/>
        </w:rPr>
        <w:t>nam</w:t>
      </w:r>
      <w:proofErr w:type="spellEnd"/>
      <w:r w:rsidRPr="00C91F95">
        <w:rPr>
          <w:rFonts w:eastAsia="SimSun"/>
          <w:lang w:eastAsia="en-GB"/>
        </w:rPr>
        <w:t xml:space="preserve">, </w:t>
      </w:r>
      <w:proofErr w:type="spellStart"/>
      <w:r w:rsidRPr="00C91F95">
        <w:rPr>
          <w:rFonts w:eastAsia="SimSun"/>
          <w:lang w:eastAsia="en-GB"/>
        </w:rPr>
        <w:t>Junium</w:t>
      </w:r>
      <w:proofErr w:type="spellEnd"/>
      <w:r w:rsidRPr="00C91F95">
        <w:rPr>
          <w:rFonts w:eastAsia="SimSun"/>
          <w:lang w:eastAsia="en-GB"/>
        </w:rPr>
        <w:t xml:space="preserve">, C. K., Kaneko, M., </w:t>
      </w:r>
      <w:proofErr w:type="spellStart"/>
      <w:r w:rsidRPr="00C91F95">
        <w:rPr>
          <w:rFonts w:eastAsia="SimSun"/>
          <w:lang w:eastAsia="en-GB"/>
        </w:rPr>
        <w:t>Liebrand</w:t>
      </w:r>
      <w:proofErr w:type="spellEnd"/>
      <w:r w:rsidRPr="00C91F95">
        <w:rPr>
          <w:rFonts w:eastAsia="SimSun"/>
          <w:lang w:eastAsia="en-GB"/>
        </w:rPr>
        <w:t xml:space="preserve">, D., Lippert, P. C., Liu, Z., Matsui, H., Moriya, K., Nishi, H., Opdyke, B. N., Penman, D., Romans, B., Scher, H. D., Sexton, P., Takagi, H., Turner, S. K., Whiteside, J. H., Yamaguchi, T., and Yamamoto, Y.: Expedition 342 summary, Proc. </w:t>
      </w:r>
      <w:proofErr w:type="spellStart"/>
      <w:r w:rsidRPr="00C91F95">
        <w:rPr>
          <w:rFonts w:eastAsia="SimSun"/>
          <w:lang w:eastAsia="en-GB"/>
        </w:rPr>
        <w:t>Integr</w:t>
      </w:r>
      <w:proofErr w:type="spellEnd"/>
      <w:r w:rsidRPr="00C91F95">
        <w:rPr>
          <w:rFonts w:eastAsia="SimSun"/>
          <w:lang w:eastAsia="en-GB"/>
        </w:rPr>
        <w:t>. Ocean Drill. Program, 342, 1–149, https://doi.org/10.2204/iodp.proc.342.101.2014, 2014.</w:t>
      </w:r>
    </w:p>
    <w:p w14:paraId="3AE5C1EC" w14:textId="77777777" w:rsidR="00DF20F7" w:rsidRPr="00C91F95" w:rsidRDefault="00DF20F7" w:rsidP="00DF20F7">
      <w:pPr>
        <w:pStyle w:val="Bibliography"/>
        <w:rPr>
          <w:rFonts w:eastAsia="SimSun"/>
          <w:lang w:eastAsia="en-GB"/>
        </w:rPr>
      </w:pPr>
      <w:r w:rsidRPr="00C91F95">
        <w:rPr>
          <w:rFonts w:eastAsia="SimSun"/>
          <w:lang w:eastAsia="en-GB"/>
        </w:rPr>
        <w:t xml:space="preserve">Paillard, D., </w:t>
      </w:r>
      <w:proofErr w:type="spellStart"/>
      <w:r w:rsidRPr="00C91F95">
        <w:rPr>
          <w:rFonts w:eastAsia="SimSun"/>
          <w:lang w:eastAsia="en-GB"/>
        </w:rPr>
        <w:t>Labeyrie</w:t>
      </w:r>
      <w:proofErr w:type="spellEnd"/>
      <w:r w:rsidRPr="00C91F95">
        <w:rPr>
          <w:rFonts w:eastAsia="SimSun"/>
          <w:lang w:eastAsia="en-GB"/>
        </w:rPr>
        <w:t xml:space="preserve">, L., and </w:t>
      </w:r>
      <w:proofErr w:type="spellStart"/>
      <w:r w:rsidRPr="00C91F95">
        <w:rPr>
          <w:rFonts w:eastAsia="SimSun"/>
          <w:lang w:eastAsia="en-GB"/>
        </w:rPr>
        <w:t>Yiou</w:t>
      </w:r>
      <w:proofErr w:type="spellEnd"/>
      <w:r w:rsidRPr="00C91F95">
        <w:rPr>
          <w:rFonts w:eastAsia="SimSun"/>
          <w:lang w:eastAsia="en-GB"/>
        </w:rPr>
        <w:t>, P.: Macintosh program performs time-series analysis, Eos Trans. Am. Geophys. Union, 77, 379, 1996.</w:t>
      </w:r>
    </w:p>
    <w:p w14:paraId="59B24A66" w14:textId="77777777" w:rsidR="00DF20F7" w:rsidRPr="00C91F95" w:rsidRDefault="00DF20F7" w:rsidP="00DF20F7">
      <w:pPr>
        <w:pStyle w:val="Bibliography"/>
        <w:rPr>
          <w:rFonts w:eastAsia="SimSun"/>
          <w:lang w:eastAsia="en-GB"/>
        </w:rPr>
      </w:pPr>
      <w:r w:rsidRPr="00C91F95">
        <w:rPr>
          <w:rFonts w:eastAsia="SimSun"/>
          <w:lang w:eastAsia="en-GB"/>
        </w:rPr>
        <w:t>Routledge, C. M.: Plankton evolution and the Paleogene/Neogene transition, University College London, London, 1–231 pp., 2021.</w:t>
      </w:r>
    </w:p>
    <w:p w14:paraId="611C0437" w14:textId="77777777" w:rsidR="00DF20F7" w:rsidRPr="00C91F95" w:rsidRDefault="00DF20F7" w:rsidP="00DF20F7">
      <w:pPr>
        <w:pStyle w:val="Bibliography"/>
        <w:rPr>
          <w:rFonts w:eastAsia="SimSun"/>
          <w:lang w:eastAsia="en-GB"/>
        </w:rPr>
      </w:pPr>
      <w:r w:rsidRPr="00C91F95">
        <w:rPr>
          <w:rFonts w:eastAsia="SimSun"/>
          <w:lang w:eastAsia="en-GB"/>
        </w:rPr>
        <w:t xml:space="preserve">van Peer, T. E., </w:t>
      </w:r>
      <w:proofErr w:type="spellStart"/>
      <w:r w:rsidRPr="00C91F95">
        <w:rPr>
          <w:rFonts w:eastAsia="SimSun"/>
          <w:lang w:eastAsia="en-GB"/>
        </w:rPr>
        <w:t>Liebrand</w:t>
      </w:r>
      <w:proofErr w:type="spellEnd"/>
      <w:r w:rsidRPr="00C91F95">
        <w:rPr>
          <w:rFonts w:eastAsia="SimSun"/>
          <w:lang w:eastAsia="en-GB"/>
        </w:rPr>
        <w:t xml:space="preserve">, D., Taylor, V. E., </w:t>
      </w:r>
      <w:proofErr w:type="spellStart"/>
      <w:r w:rsidRPr="00C91F95">
        <w:rPr>
          <w:rFonts w:eastAsia="SimSun"/>
          <w:lang w:eastAsia="en-GB"/>
        </w:rPr>
        <w:t>Brzelinski</w:t>
      </w:r>
      <w:proofErr w:type="spellEnd"/>
      <w:r w:rsidRPr="00C91F95">
        <w:rPr>
          <w:rFonts w:eastAsia="SimSun"/>
          <w:lang w:eastAsia="en-GB"/>
        </w:rPr>
        <w:t>, S., Wolf, I., Bornemann, A., Friedrich, O., Bohaty, S. M., Xuan, C., Lippert, P. C., and Wilson, P. A.: Eccentricity pacing and rapid termination of the early Antarctic ice ages, Nat. Commun., 15, 10600, https://doi.org/10.1038/s41467-024-54186-1, 2024.</w:t>
      </w:r>
    </w:p>
    <w:p w14:paraId="10969B7C" w14:textId="77777777" w:rsidR="00DF20F7" w:rsidRDefault="00DF20F7" w:rsidP="00DF20F7">
      <w:pPr>
        <w:pStyle w:val="Bibliography"/>
        <w:rPr>
          <w:rFonts w:eastAsia="SimSun"/>
          <w:lang w:eastAsia="en-GB"/>
        </w:rPr>
      </w:pPr>
      <w:r w:rsidRPr="00C91F95">
        <w:rPr>
          <w:rFonts w:eastAsia="SimSun"/>
          <w:lang w:eastAsia="en-GB"/>
        </w:rPr>
        <w:t xml:space="preserve">Westerhold, T., </w:t>
      </w:r>
      <w:proofErr w:type="spellStart"/>
      <w:r w:rsidRPr="00C91F95">
        <w:rPr>
          <w:rFonts w:eastAsia="SimSun"/>
          <w:lang w:eastAsia="en-GB"/>
        </w:rPr>
        <w:t>Röhl</w:t>
      </w:r>
      <w:proofErr w:type="spellEnd"/>
      <w:r w:rsidRPr="00C91F95">
        <w:rPr>
          <w:rFonts w:eastAsia="SimSun"/>
          <w:lang w:eastAsia="en-GB"/>
        </w:rPr>
        <w:t xml:space="preserve">, U., Donner, B., and Zachos, J. C.: Global extent of Early Eocene hyperthermal events: A new Pacific benthic foraminiferal isotope record from </w:t>
      </w:r>
      <w:proofErr w:type="spellStart"/>
      <w:r w:rsidRPr="00C91F95">
        <w:rPr>
          <w:rFonts w:eastAsia="SimSun"/>
          <w:lang w:eastAsia="en-GB"/>
        </w:rPr>
        <w:t>Shatsky</w:t>
      </w:r>
      <w:proofErr w:type="spellEnd"/>
      <w:r w:rsidRPr="00C91F95">
        <w:rPr>
          <w:rFonts w:eastAsia="SimSun"/>
          <w:lang w:eastAsia="en-GB"/>
        </w:rPr>
        <w:t xml:space="preserve"> Rise (ODP Site 1209), </w:t>
      </w:r>
      <w:proofErr w:type="spellStart"/>
      <w:r w:rsidRPr="00C91F95">
        <w:rPr>
          <w:rFonts w:eastAsia="SimSun"/>
          <w:lang w:eastAsia="en-GB"/>
        </w:rPr>
        <w:t>Paleoceanogr</w:t>
      </w:r>
      <w:proofErr w:type="spellEnd"/>
      <w:r w:rsidRPr="00C91F95">
        <w:rPr>
          <w:rFonts w:eastAsia="SimSun"/>
          <w:lang w:eastAsia="en-GB"/>
        </w:rPr>
        <w:t>. Paleoclimatology, 33, 626–642, https://doi.org/10.1029/2017PA003306, 2018.</w:t>
      </w:r>
    </w:p>
    <w:p w14:paraId="0F3727AB" w14:textId="2A3E6483" w:rsidR="00DF20F7" w:rsidRPr="00DF20F7" w:rsidRDefault="00DF20F7" w:rsidP="00DF20F7">
      <w:pPr>
        <w:pStyle w:val="Bibliography"/>
        <w:rPr>
          <w:rFonts w:eastAsia="SimSun"/>
          <w:lang w:eastAsia="en-GB"/>
        </w:rPr>
      </w:pPr>
      <w:r w:rsidRPr="00C91F95">
        <w:rPr>
          <w:rFonts w:eastAsia="SimSun"/>
          <w:lang w:eastAsia="en-GB"/>
        </w:rPr>
        <w:t xml:space="preserve">Westerhold, T., Marwan, N., Drury, A. J., </w:t>
      </w:r>
      <w:proofErr w:type="spellStart"/>
      <w:r w:rsidRPr="00C91F95">
        <w:rPr>
          <w:rFonts w:eastAsia="SimSun"/>
          <w:lang w:eastAsia="en-GB"/>
        </w:rPr>
        <w:t>Liebrand</w:t>
      </w:r>
      <w:proofErr w:type="spellEnd"/>
      <w:r w:rsidRPr="00C91F95">
        <w:rPr>
          <w:rFonts w:eastAsia="SimSun"/>
          <w:lang w:eastAsia="en-GB"/>
        </w:rPr>
        <w:t xml:space="preserve">, D., Agnini, C., Anagnostou, E., Barnet, J. S. K., Bohaty, S. M., De </w:t>
      </w:r>
      <w:proofErr w:type="spellStart"/>
      <w:r w:rsidRPr="00C91F95">
        <w:rPr>
          <w:rFonts w:eastAsia="SimSun"/>
          <w:lang w:eastAsia="en-GB"/>
        </w:rPr>
        <w:t>Vleeschouwer</w:t>
      </w:r>
      <w:proofErr w:type="spellEnd"/>
      <w:r w:rsidRPr="00C91F95">
        <w:rPr>
          <w:rFonts w:eastAsia="SimSun"/>
          <w:lang w:eastAsia="en-GB"/>
        </w:rPr>
        <w:t xml:space="preserve">, D., Florindo, F., </w:t>
      </w:r>
      <w:proofErr w:type="spellStart"/>
      <w:r w:rsidRPr="00C91F95">
        <w:rPr>
          <w:rFonts w:eastAsia="SimSun"/>
          <w:lang w:eastAsia="en-GB"/>
        </w:rPr>
        <w:t>Frederichs</w:t>
      </w:r>
      <w:proofErr w:type="spellEnd"/>
      <w:r w:rsidRPr="00C91F95">
        <w:rPr>
          <w:rFonts w:eastAsia="SimSun"/>
          <w:lang w:eastAsia="en-GB"/>
        </w:rPr>
        <w:t xml:space="preserve">, T., Hodell, D. A., </w:t>
      </w:r>
      <w:proofErr w:type="spellStart"/>
      <w:r w:rsidRPr="00C91F95">
        <w:rPr>
          <w:rFonts w:eastAsia="SimSun"/>
          <w:lang w:eastAsia="en-GB"/>
        </w:rPr>
        <w:t>Holbourn</w:t>
      </w:r>
      <w:proofErr w:type="spellEnd"/>
      <w:r w:rsidRPr="00C91F95">
        <w:rPr>
          <w:rFonts w:eastAsia="SimSun"/>
          <w:lang w:eastAsia="en-GB"/>
        </w:rPr>
        <w:t xml:space="preserve">, A. E., Kroon, D., Lauretano, V., Littler, K., Lourens, L. J., Lyle, M., </w:t>
      </w:r>
      <w:proofErr w:type="spellStart"/>
      <w:r w:rsidRPr="00C91F95">
        <w:rPr>
          <w:rFonts w:eastAsia="SimSun"/>
          <w:lang w:eastAsia="en-GB"/>
        </w:rPr>
        <w:t>Pälike</w:t>
      </w:r>
      <w:proofErr w:type="spellEnd"/>
      <w:r w:rsidRPr="00C91F95">
        <w:rPr>
          <w:rFonts w:eastAsia="SimSun"/>
          <w:lang w:eastAsia="en-GB"/>
        </w:rPr>
        <w:t xml:space="preserve">, H., </w:t>
      </w:r>
      <w:proofErr w:type="spellStart"/>
      <w:r w:rsidRPr="00C91F95">
        <w:rPr>
          <w:rFonts w:eastAsia="SimSun"/>
          <w:lang w:eastAsia="en-GB"/>
        </w:rPr>
        <w:t>Röhl</w:t>
      </w:r>
      <w:proofErr w:type="spellEnd"/>
      <w:r w:rsidRPr="00C91F95">
        <w:rPr>
          <w:rFonts w:eastAsia="SimSun"/>
          <w:lang w:eastAsia="en-GB"/>
        </w:rPr>
        <w:t>, U., Tian, J., Wilkens, R. H., Wilson, P. A., and Zachos, J. C.: An astronomically dated record of Earth’s climate and its predictability over the last 66 million years, Science, 369, 1383–1387, https://doi.org/10.1126/science.aba6853, 2020.</w:t>
      </w:r>
    </w:p>
    <w:sectPr w:rsidR="00DF20F7" w:rsidRPr="00DF20F7" w:rsidSect="00F512A5">
      <w:footerReference w:type="default" r:id="rId8"/>
      <w:pgSz w:w="11907" w:h="13608"/>
      <w:pgMar w:top="567" w:right="936" w:bottom="1338" w:left="936" w:header="0" w:footer="737" w:gutter="0"/>
      <w:lnNumType w:countBy="5" w:distance="227"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C36BC" w14:textId="77777777" w:rsidR="00784B47" w:rsidRDefault="00784B47" w:rsidP="006D0C96">
      <w:pPr>
        <w:spacing w:line="240" w:lineRule="auto"/>
      </w:pPr>
      <w:r>
        <w:separator/>
      </w:r>
    </w:p>
  </w:endnote>
  <w:endnote w:type="continuationSeparator" w:id="0">
    <w:p w14:paraId="3DC02919" w14:textId="77777777" w:rsidR="00784B47" w:rsidRDefault="00784B47" w:rsidP="006D0C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7788171"/>
      <w:docPartObj>
        <w:docPartGallery w:val="Page Numbers (Bottom of Page)"/>
        <w:docPartUnique/>
      </w:docPartObj>
    </w:sdtPr>
    <w:sdtEndPr>
      <w:rPr>
        <w:noProof/>
      </w:rPr>
    </w:sdtEndPr>
    <w:sdtContent>
      <w:p w14:paraId="5576ABD1" w14:textId="77777777" w:rsidR="006D0C96" w:rsidRDefault="006D0C96">
        <w:pPr>
          <w:pStyle w:val="Footer"/>
          <w:jc w:val="center"/>
        </w:pPr>
        <w:r>
          <w:fldChar w:fldCharType="begin"/>
        </w:r>
        <w:r>
          <w:instrText xml:space="preserve"> PAGE   \* MERGEFORMAT </w:instrText>
        </w:r>
        <w:r>
          <w:fldChar w:fldCharType="separate"/>
        </w:r>
        <w:r w:rsidR="003118C8">
          <w:rPr>
            <w:noProof/>
          </w:rPr>
          <w:t>2</w:t>
        </w:r>
        <w:r>
          <w:rPr>
            <w:noProof/>
          </w:rPr>
          <w:fldChar w:fldCharType="end"/>
        </w:r>
      </w:p>
    </w:sdtContent>
  </w:sdt>
  <w:p w14:paraId="44AA5123" w14:textId="77777777" w:rsidR="006D0C96" w:rsidRDefault="006D0C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0252C" w14:textId="77777777" w:rsidR="00784B47" w:rsidRDefault="00784B47" w:rsidP="006D0C96">
      <w:pPr>
        <w:spacing w:line="240" w:lineRule="auto"/>
      </w:pPr>
      <w:r>
        <w:separator/>
      </w:r>
    </w:p>
  </w:footnote>
  <w:footnote w:type="continuationSeparator" w:id="0">
    <w:p w14:paraId="6B786717" w14:textId="77777777" w:rsidR="00784B47" w:rsidRDefault="00784B47" w:rsidP="006D0C9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94403"/>
    <w:multiLevelType w:val="hybridMultilevel"/>
    <w:tmpl w:val="E6ECA0A2"/>
    <w:lvl w:ilvl="0" w:tplc="35A460C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3621EB8"/>
    <w:multiLevelType w:val="hybridMultilevel"/>
    <w:tmpl w:val="B3626938"/>
    <w:lvl w:ilvl="0" w:tplc="F29A847E">
      <w:start w:val="1"/>
      <w:numFmt w:val="bullet"/>
      <w:pStyle w:val="Bullets"/>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A7D7FD4"/>
    <w:multiLevelType w:val="hybridMultilevel"/>
    <w:tmpl w:val="83720B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5780240">
    <w:abstractNumId w:val="1"/>
  </w:num>
  <w:num w:numId="2" w16cid:durableId="1476216129">
    <w:abstractNumId w:val="1"/>
  </w:num>
  <w:num w:numId="3" w16cid:durableId="982927824">
    <w:abstractNumId w:val="0"/>
  </w:num>
  <w:num w:numId="4" w16cid:durableId="19007450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213"/>
    <w:rsid w:val="0000100C"/>
    <w:rsid w:val="0000605A"/>
    <w:rsid w:val="00026CCE"/>
    <w:rsid w:val="00041A84"/>
    <w:rsid w:val="0005690A"/>
    <w:rsid w:val="00075F28"/>
    <w:rsid w:val="000827DE"/>
    <w:rsid w:val="00084789"/>
    <w:rsid w:val="000A1B66"/>
    <w:rsid w:val="000B7E00"/>
    <w:rsid w:val="000C3A9F"/>
    <w:rsid w:val="000D3245"/>
    <w:rsid w:val="000D5367"/>
    <w:rsid w:val="000D708A"/>
    <w:rsid w:val="000E0FDC"/>
    <w:rsid w:val="000E5B54"/>
    <w:rsid w:val="000E70F9"/>
    <w:rsid w:val="00135329"/>
    <w:rsid w:val="00162BE0"/>
    <w:rsid w:val="00187017"/>
    <w:rsid w:val="001879BD"/>
    <w:rsid w:val="001A7E5D"/>
    <w:rsid w:val="001B0862"/>
    <w:rsid w:val="001C0410"/>
    <w:rsid w:val="001C5EB9"/>
    <w:rsid w:val="001C7EF4"/>
    <w:rsid w:val="001C7FE5"/>
    <w:rsid w:val="001D7B16"/>
    <w:rsid w:val="001F6ECF"/>
    <w:rsid w:val="00200B97"/>
    <w:rsid w:val="00203F92"/>
    <w:rsid w:val="0023286C"/>
    <w:rsid w:val="00236725"/>
    <w:rsid w:val="00243F06"/>
    <w:rsid w:val="00261312"/>
    <w:rsid w:val="002A5B62"/>
    <w:rsid w:val="002A72F0"/>
    <w:rsid w:val="002D68D9"/>
    <w:rsid w:val="002D7ECA"/>
    <w:rsid w:val="002E5939"/>
    <w:rsid w:val="002F3072"/>
    <w:rsid w:val="00305A8A"/>
    <w:rsid w:val="003118C8"/>
    <w:rsid w:val="00335619"/>
    <w:rsid w:val="00382F18"/>
    <w:rsid w:val="003A4FB4"/>
    <w:rsid w:val="003D5288"/>
    <w:rsid w:val="003E18BA"/>
    <w:rsid w:val="003F368F"/>
    <w:rsid w:val="003F551B"/>
    <w:rsid w:val="004065D0"/>
    <w:rsid w:val="00415F45"/>
    <w:rsid w:val="004225D9"/>
    <w:rsid w:val="00450DB9"/>
    <w:rsid w:val="00463568"/>
    <w:rsid w:val="00473903"/>
    <w:rsid w:val="004A10EB"/>
    <w:rsid w:val="004A7123"/>
    <w:rsid w:val="004D0F1A"/>
    <w:rsid w:val="004D253D"/>
    <w:rsid w:val="00502B2B"/>
    <w:rsid w:val="005030B0"/>
    <w:rsid w:val="005221DC"/>
    <w:rsid w:val="00542A82"/>
    <w:rsid w:val="0055217B"/>
    <w:rsid w:val="00564213"/>
    <w:rsid w:val="00570DE4"/>
    <w:rsid w:val="00587D34"/>
    <w:rsid w:val="00594EAD"/>
    <w:rsid w:val="00597AB9"/>
    <w:rsid w:val="005A18B8"/>
    <w:rsid w:val="005A4B71"/>
    <w:rsid w:val="005A4F32"/>
    <w:rsid w:val="005F7A54"/>
    <w:rsid w:val="0061055A"/>
    <w:rsid w:val="006326D7"/>
    <w:rsid w:val="00637C7C"/>
    <w:rsid w:val="00657A0E"/>
    <w:rsid w:val="00662CC8"/>
    <w:rsid w:val="00665954"/>
    <w:rsid w:val="00670F05"/>
    <w:rsid w:val="00672BBE"/>
    <w:rsid w:val="00692972"/>
    <w:rsid w:val="00693770"/>
    <w:rsid w:val="006B68ED"/>
    <w:rsid w:val="006C7DC9"/>
    <w:rsid w:val="006D0C96"/>
    <w:rsid w:val="006E44C0"/>
    <w:rsid w:val="006E7F6B"/>
    <w:rsid w:val="0070537F"/>
    <w:rsid w:val="00710C4E"/>
    <w:rsid w:val="00733CBB"/>
    <w:rsid w:val="00744F24"/>
    <w:rsid w:val="00751A44"/>
    <w:rsid w:val="007640F2"/>
    <w:rsid w:val="007671FF"/>
    <w:rsid w:val="00774E07"/>
    <w:rsid w:val="00784B47"/>
    <w:rsid w:val="00796A7F"/>
    <w:rsid w:val="007C0105"/>
    <w:rsid w:val="00823258"/>
    <w:rsid w:val="0084764B"/>
    <w:rsid w:val="00847D4D"/>
    <w:rsid w:val="00855006"/>
    <w:rsid w:val="00861E62"/>
    <w:rsid w:val="0087062F"/>
    <w:rsid w:val="00883829"/>
    <w:rsid w:val="008B719F"/>
    <w:rsid w:val="008C7284"/>
    <w:rsid w:val="008D39BB"/>
    <w:rsid w:val="008E213F"/>
    <w:rsid w:val="008E3110"/>
    <w:rsid w:val="009150E4"/>
    <w:rsid w:val="0091791F"/>
    <w:rsid w:val="00925FA3"/>
    <w:rsid w:val="00932F15"/>
    <w:rsid w:val="00943440"/>
    <w:rsid w:val="00961890"/>
    <w:rsid w:val="00991498"/>
    <w:rsid w:val="009B01F6"/>
    <w:rsid w:val="009B3B48"/>
    <w:rsid w:val="009D061A"/>
    <w:rsid w:val="009D38E2"/>
    <w:rsid w:val="009F2C0A"/>
    <w:rsid w:val="00A0741A"/>
    <w:rsid w:val="00A17EED"/>
    <w:rsid w:val="00A17F9C"/>
    <w:rsid w:val="00A90F31"/>
    <w:rsid w:val="00AB17B7"/>
    <w:rsid w:val="00AB26E5"/>
    <w:rsid w:val="00AE4157"/>
    <w:rsid w:val="00AE7694"/>
    <w:rsid w:val="00AF7CC2"/>
    <w:rsid w:val="00B148DE"/>
    <w:rsid w:val="00B15B50"/>
    <w:rsid w:val="00B4015F"/>
    <w:rsid w:val="00B41EB6"/>
    <w:rsid w:val="00B5029C"/>
    <w:rsid w:val="00B5719D"/>
    <w:rsid w:val="00B62878"/>
    <w:rsid w:val="00B67674"/>
    <w:rsid w:val="00B75342"/>
    <w:rsid w:val="00B94A58"/>
    <w:rsid w:val="00BA4CD3"/>
    <w:rsid w:val="00BB3BC7"/>
    <w:rsid w:val="00BD0523"/>
    <w:rsid w:val="00BE1E22"/>
    <w:rsid w:val="00C00AAB"/>
    <w:rsid w:val="00C128C9"/>
    <w:rsid w:val="00C1589F"/>
    <w:rsid w:val="00C16E92"/>
    <w:rsid w:val="00C26311"/>
    <w:rsid w:val="00C35812"/>
    <w:rsid w:val="00C53795"/>
    <w:rsid w:val="00C60B14"/>
    <w:rsid w:val="00C61758"/>
    <w:rsid w:val="00C628C2"/>
    <w:rsid w:val="00C65DA8"/>
    <w:rsid w:val="00C705BF"/>
    <w:rsid w:val="00C82F79"/>
    <w:rsid w:val="00C85D05"/>
    <w:rsid w:val="00C91F95"/>
    <w:rsid w:val="00CA3106"/>
    <w:rsid w:val="00CC51D0"/>
    <w:rsid w:val="00CC58E2"/>
    <w:rsid w:val="00CD59BA"/>
    <w:rsid w:val="00CE21E6"/>
    <w:rsid w:val="00D40CE0"/>
    <w:rsid w:val="00D47F65"/>
    <w:rsid w:val="00D62E70"/>
    <w:rsid w:val="00D74BF8"/>
    <w:rsid w:val="00D86470"/>
    <w:rsid w:val="00DB4E53"/>
    <w:rsid w:val="00DC665F"/>
    <w:rsid w:val="00DF20F7"/>
    <w:rsid w:val="00E00253"/>
    <w:rsid w:val="00E00339"/>
    <w:rsid w:val="00E142A8"/>
    <w:rsid w:val="00E63929"/>
    <w:rsid w:val="00E76CF4"/>
    <w:rsid w:val="00E861A5"/>
    <w:rsid w:val="00EA20E5"/>
    <w:rsid w:val="00EA4654"/>
    <w:rsid w:val="00EB3C2A"/>
    <w:rsid w:val="00EC016C"/>
    <w:rsid w:val="00EC23B1"/>
    <w:rsid w:val="00EC356E"/>
    <w:rsid w:val="00ED31F9"/>
    <w:rsid w:val="00ED6B96"/>
    <w:rsid w:val="00EE58C0"/>
    <w:rsid w:val="00EF58EA"/>
    <w:rsid w:val="00F00ACA"/>
    <w:rsid w:val="00F35903"/>
    <w:rsid w:val="00F36803"/>
    <w:rsid w:val="00F512A5"/>
    <w:rsid w:val="00F5258E"/>
    <w:rsid w:val="00F64C9C"/>
    <w:rsid w:val="00FC01D0"/>
    <w:rsid w:val="00FF308B"/>
    <w:rsid w:val="00FF74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BE553"/>
  <w15:docId w15:val="{D2CFD17B-36C5-4048-BB43-0059F9DAD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61A"/>
    <w:pPr>
      <w:spacing w:line="360" w:lineRule="auto"/>
      <w:jc w:val="both"/>
    </w:pPr>
    <w:rPr>
      <w:rFonts w:ascii="Times New Roman" w:eastAsia="Times New Roman" w:hAnsi="Times New Roman"/>
      <w:szCs w:val="24"/>
      <w:lang w:eastAsia="de-DE"/>
    </w:rPr>
  </w:style>
  <w:style w:type="paragraph" w:styleId="Heading1">
    <w:name w:val="heading 1"/>
    <w:basedOn w:val="Normal"/>
    <w:next w:val="Normal"/>
    <w:link w:val="Heading1Char"/>
    <w:qFormat/>
    <w:rsid w:val="00075F28"/>
    <w:pPr>
      <w:keepNext/>
      <w:spacing w:before="480" w:after="240" w:line="240" w:lineRule="auto"/>
      <w:outlineLvl w:val="0"/>
    </w:pPr>
    <w:rPr>
      <w:rFonts w:cs="Arial"/>
      <w:b/>
      <w:bCs/>
      <w:color w:val="000000"/>
      <w:kern w:val="32"/>
      <w:szCs w:val="32"/>
    </w:rPr>
  </w:style>
  <w:style w:type="paragraph" w:styleId="Heading2">
    <w:name w:val="heading 2"/>
    <w:basedOn w:val="Normal"/>
    <w:next w:val="Normal"/>
    <w:link w:val="Heading2Char"/>
    <w:qFormat/>
    <w:rsid w:val="00E00339"/>
    <w:pPr>
      <w:keepNext/>
      <w:spacing w:before="240" w:after="240" w:line="240" w:lineRule="auto"/>
      <w:outlineLvl w:val="1"/>
    </w:pPr>
    <w:rPr>
      <w:rFonts w:cs="Arial"/>
      <w:b/>
      <w:bCs/>
      <w:iCs/>
      <w:szCs w:val="28"/>
    </w:rPr>
  </w:style>
  <w:style w:type="paragraph" w:styleId="Heading3">
    <w:name w:val="heading 3"/>
    <w:basedOn w:val="Normal"/>
    <w:next w:val="Normal"/>
    <w:link w:val="Heading3Char"/>
    <w:qFormat/>
    <w:rsid w:val="005A4F32"/>
    <w:pPr>
      <w:keepNext/>
      <w:spacing w:before="240" w:after="240" w:line="240" w:lineRule="auto"/>
      <w:outlineLvl w:val="2"/>
    </w:pPr>
    <w:rPr>
      <w:rFonts w:cs="Arial"/>
      <w:b/>
      <w:bCs/>
      <w:szCs w:val="26"/>
    </w:rPr>
  </w:style>
  <w:style w:type="paragraph" w:styleId="Heading4">
    <w:name w:val="heading 4"/>
    <w:basedOn w:val="Normal"/>
    <w:next w:val="Normal"/>
    <w:link w:val="Heading4Char"/>
    <w:rsid w:val="00ED6B96"/>
    <w:pPr>
      <w:keepNext/>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treff">
    <w:name w:val="Betreff"/>
    <w:basedOn w:val="Normal"/>
    <w:next w:val="Normal"/>
    <w:rsid w:val="00ED6B96"/>
    <w:rPr>
      <w:b/>
    </w:rPr>
  </w:style>
  <w:style w:type="paragraph" w:customStyle="1" w:styleId="Bullets">
    <w:name w:val="Bullets"/>
    <w:basedOn w:val="Normal"/>
    <w:link w:val="BulletsChar"/>
    <w:rsid w:val="00ED6B96"/>
    <w:pPr>
      <w:numPr>
        <w:numId w:val="2"/>
      </w:numPr>
    </w:pPr>
  </w:style>
  <w:style w:type="character" w:customStyle="1" w:styleId="BulletsChar">
    <w:name w:val="Bullets Char"/>
    <w:link w:val="Bullets"/>
    <w:rsid w:val="00ED6B96"/>
    <w:rPr>
      <w:rFonts w:ascii="Verdana" w:eastAsia="Times New Roman" w:hAnsi="Verdana" w:cs="Times New Roman"/>
      <w:sz w:val="19"/>
      <w:szCs w:val="24"/>
      <w:lang w:eastAsia="de-DE"/>
    </w:rPr>
  </w:style>
  <w:style w:type="table" w:customStyle="1" w:styleId="Copernicus">
    <w:name w:val="Copernicus"/>
    <w:basedOn w:val="TableNormal"/>
    <w:rsid w:val="00ED6B96"/>
    <w:rPr>
      <w:rFonts w:ascii="Verdana" w:eastAsia="Times New Roman" w:hAnsi="Verdana"/>
      <w:sz w:val="19"/>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cPr>
      <w:shd w:val="clear" w:color="auto" w:fill="auto"/>
      <w:vAlign w:val="center"/>
    </w:tcPr>
    <w:tblStylePr w:type="firstRow">
      <w:pPr>
        <w:jc w:val="left"/>
      </w:pPr>
      <w:rPr>
        <w:rFonts w:ascii="Verdana" w:hAnsi="Verdana"/>
        <w:b/>
        <w:i w:val="0"/>
        <w:sz w:val="19"/>
      </w:rPr>
      <w:tblPr/>
      <w:tcPr>
        <w:shd w:val="clear" w:color="auto" w:fill="BFBFBF"/>
      </w:tcPr>
    </w:tblStylePr>
    <w:tblStylePr w:type="lastRow">
      <w:pPr>
        <w:jc w:val="left"/>
      </w:pPr>
      <w:rPr>
        <w:rFonts w:ascii="Verdana" w:hAnsi="Verdana"/>
        <w:sz w:val="19"/>
      </w:rPr>
    </w:tblStylePr>
    <w:tblStylePr w:type="firstCol">
      <w:rPr>
        <w:rFonts w:ascii="Verdana" w:hAnsi="Verdana"/>
        <w:sz w:val="19"/>
      </w:rPr>
    </w:tblStylePr>
    <w:tblStylePr w:type="lastCol">
      <w:rPr>
        <w:rFonts w:ascii="Verdana" w:hAnsi="Verdana"/>
        <w:sz w:val="19"/>
      </w:rPr>
      <w:tblPr/>
      <w:tcPr>
        <w:tcBorders>
          <w:top w:val="single" w:sz="4" w:space="0" w:color="7F7F7F"/>
          <w:left w:val="single" w:sz="4" w:space="0" w:color="7F7F7F"/>
          <w:bottom w:val="single" w:sz="4" w:space="0" w:color="7F7F7F"/>
          <w:right w:val="single" w:sz="4" w:space="0" w:color="7F7F7F"/>
          <w:insideH w:val="single" w:sz="4" w:space="0" w:color="7F7F7F"/>
          <w:insideV w:val="single" w:sz="4" w:space="0" w:color="7F7F7F"/>
        </w:tcBorders>
      </w:tcPr>
    </w:tblStylePr>
  </w:style>
  <w:style w:type="paragraph" w:styleId="Header">
    <w:name w:val="header"/>
    <w:basedOn w:val="Normal"/>
    <w:link w:val="HeaderChar"/>
    <w:rsid w:val="00ED6B96"/>
    <w:pPr>
      <w:tabs>
        <w:tab w:val="center" w:pos="4536"/>
        <w:tab w:val="right" w:pos="9072"/>
      </w:tabs>
    </w:pPr>
  </w:style>
  <w:style w:type="character" w:customStyle="1" w:styleId="Heading1Char">
    <w:name w:val="Heading 1 Char"/>
    <w:link w:val="Heading1"/>
    <w:rsid w:val="00075F28"/>
    <w:rPr>
      <w:rFonts w:ascii="Times New Roman" w:eastAsia="Times New Roman" w:hAnsi="Times New Roman" w:cs="Arial"/>
      <w:b/>
      <w:bCs/>
      <w:color w:val="000000"/>
      <w:kern w:val="32"/>
      <w:szCs w:val="32"/>
      <w:lang w:eastAsia="de-DE"/>
    </w:rPr>
  </w:style>
  <w:style w:type="character" w:customStyle="1" w:styleId="Heading3Char">
    <w:name w:val="Heading 3 Char"/>
    <w:link w:val="Heading3"/>
    <w:rsid w:val="005A4F32"/>
    <w:rPr>
      <w:rFonts w:ascii="Times New Roman" w:eastAsia="Times New Roman" w:hAnsi="Times New Roman" w:cs="Arial"/>
      <w:b/>
      <w:bCs/>
      <w:szCs w:val="26"/>
      <w:lang w:eastAsia="de-DE"/>
    </w:rPr>
  </w:style>
  <w:style w:type="character" w:customStyle="1" w:styleId="Heading4Char">
    <w:name w:val="Heading 4 Char"/>
    <w:link w:val="Heading4"/>
    <w:rsid w:val="00796A7F"/>
    <w:rPr>
      <w:rFonts w:ascii="Verdana" w:eastAsia="Times New Roman" w:hAnsi="Verdana" w:cs="Times New Roman"/>
      <w:b/>
      <w:bCs/>
      <w:sz w:val="19"/>
      <w:szCs w:val="28"/>
      <w:lang w:eastAsia="de-DE"/>
    </w:rPr>
  </w:style>
  <w:style w:type="character" w:customStyle="1" w:styleId="HeaderChar">
    <w:name w:val="Header Char"/>
    <w:link w:val="Header"/>
    <w:rsid w:val="00ED6B96"/>
    <w:rPr>
      <w:rFonts w:ascii="Verdana" w:eastAsia="Times New Roman" w:hAnsi="Verdana" w:cs="Times New Roman"/>
      <w:sz w:val="19"/>
      <w:szCs w:val="24"/>
      <w:lang w:eastAsia="de-DE"/>
    </w:rPr>
  </w:style>
  <w:style w:type="character" w:customStyle="1" w:styleId="Heading2Char">
    <w:name w:val="Heading 2 Char"/>
    <w:link w:val="Heading2"/>
    <w:rsid w:val="00E00339"/>
    <w:rPr>
      <w:rFonts w:ascii="Times New Roman" w:eastAsia="Times New Roman" w:hAnsi="Times New Roman" w:cs="Arial"/>
      <w:b/>
      <w:bCs/>
      <w:iCs/>
      <w:szCs w:val="28"/>
      <w:lang w:eastAsia="de-DE"/>
    </w:rPr>
  </w:style>
  <w:style w:type="character" w:styleId="Hyperlink">
    <w:name w:val="Hyperlink"/>
    <w:rsid w:val="00ED6B96"/>
    <w:rPr>
      <w:color w:val="0000FF"/>
      <w:u w:val="single"/>
    </w:rPr>
  </w:style>
  <w:style w:type="paragraph" w:customStyle="1" w:styleId="Kontakt">
    <w:name w:val="Kontakt"/>
    <w:basedOn w:val="Normal"/>
    <w:rsid w:val="00ED6B96"/>
    <w:pPr>
      <w:spacing w:line="160" w:lineRule="exact"/>
    </w:pPr>
    <w:rPr>
      <w:color w:val="808080"/>
      <w:sz w:val="13"/>
    </w:rPr>
  </w:style>
  <w:style w:type="paragraph" w:customStyle="1" w:styleId="Name">
    <w:name w:val="Name"/>
    <w:basedOn w:val="Normal"/>
    <w:rsid w:val="00ED6B96"/>
    <w:pPr>
      <w:spacing w:before="160" w:after="80"/>
    </w:pPr>
    <w:rPr>
      <w:rFonts w:ascii="Book Antiqua" w:hAnsi="Book Antiqua"/>
      <w:color w:val="808080"/>
      <w:sz w:val="22"/>
    </w:rPr>
  </w:style>
  <w:style w:type="paragraph" w:customStyle="1" w:styleId="CopernicusWordtemplate">
    <w:name w:val="Copernicus_Word_template"/>
    <w:basedOn w:val="Normal"/>
    <w:link w:val="CopernicusWordtemplateChar"/>
    <w:rsid w:val="00B5719D"/>
  </w:style>
  <w:style w:type="character" w:customStyle="1" w:styleId="CopernicusWordtemplateChar">
    <w:name w:val="Copernicus_Word_template Char"/>
    <w:basedOn w:val="DefaultParagraphFont"/>
    <w:link w:val="CopernicusWordtemplate"/>
    <w:rsid w:val="00B5719D"/>
    <w:rPr>
      <w:rFonts w:ascii="Times New Roman" w:eastAsia="Times New Roman" w:hAnsi="Times New Roman"/>
      <w:sz w:val="24"/>
      <w:szCs w:val="24"/>
      <w:lang w:eastAsia="de-DE"/>
    </w:rPr>
  </w:style>
  <w:style w:type="character" w:styleId="LineNumber">
    <w:name w:val="line number"/>
    <w:basedOn w:val="DefaultParagraphFont"/>
    <w:uiPriority w:val="99"/>
    <w:semiHidden/>
    <w:unhideWhenUsed/>
    <w:rsid w:val="00D40CE0"/>
  </w:style>
  <w:style w:type="paragraph" w:customStyle="1" w:styleId="MStitle">
    <w:name w:val="MS title"/>
    <w:basedOn w:val="Normal"/>
    <w:link w:val="MStitleChar"/>
    <w:qFormat/>
    <w:rsid w:val="0091791F"/>
    <w:pPr>
      <w:spacing w:before="360" w:line="440" w:lineRule="exact"/>
      <w:contextualSpacing/>
    </w:pPr>
    <w:rPr>
      <w:b/>
      <w:sz w:val="34"/>
    </w:rPr>
  </w:style>
  <w:style w:type="paragraph" w:styleId="ListParagraph">
    <w:name w:val="List Paragraph"/>
    <w:basedOn w:val="Normal"/>
    <w:uiPriority w:val="34"/>
    <w:rsid w:val="00B4015F"/>
    <w:pPr>
      <w:ind w:left="720"/>
      <w:contextualSpacing/>
    </w:pPr>
  </w:style>
  <w:style w:type="character" w:customStyle="1" w:styleId="MStitleChar">
    <w:name w:val="MS title Char"/>
    <w:basedOn w:val="DefaultParagraphFont"/>
    <w:link w:val="MStitle"/>
    <w:rsid w:val="0091791F"/>
    <w:rPr>
      <w:rFonts w:ascii="Times New Roman" w:eastAsia="Times New Roman" w:hAnsi="Times New Roman"/>
      <w:b/>
      <w:sz w:val="34"/>
      <w:szCs w:val="24"/>
      <w:lang w:eastAsia="de-DE"/>
    </w:rPr>
  </w:style>
  <w:style w:type="paragraph" w:customStyle="1" w:styleId="Affiliation">
    <w:name w:val="Affiliation"/>
    <w:basedOn w:val="Normal"/>
    <w:link w:val="AffiliationChar"/>
    <w:qFormat/>
    <w:rsid w:val="00450DB9"/>
    <w:pPr>
      <w:spacing w:before="120" w:line="240" w:lineRule="auto"/>
      <w:contextualSpacing/>
    </w:pPr>
  </w:style>
  <w:style w:type="character" w:styleId="PlaceholderText">
    <w:name w:val="Placeholder Text"/>
    <w:basedOn w:val="DefaultParagraphFont"/>
    <w:uiPriority w:val="99"/>
    <w:semiHidden/>
    <w:rsid w:val="003D5288"/>
    <w:rPr>
      <w:color w:val="808080"/>
    </w:rPr>
  </w:style>
  <w:style w:type="character" w:customStyle="1" w:styleId="AffiliationChar">
    <w:name w:val="Affiliation Char"/>
    <w:basedOn w:val="DefaultParagraphFont"/>
    <w:link w:val="Affiliation"/>
    <w:rsid w:val="00450DB9"/>
    <w:rPr>
      <w:rFonts w:ascii="Times New Roman" w:eastAsia="Times New Roman" w:hAnsi="Times New Roman"/>
      <w:szCs w:val="24"/>
      <w:lang w:eastAsia="de-DE"/>
    </w:rPr>
  </w:style>
  <w:style w:type="paragraph" w:styleId="BalloonText">
    <w:name w:val="Balloon Text"/>
    <w:basedOn w:val="Normal"/>
    <w:link w:val="BalloonTextChar"/>
    <w:uiPriority w:val="99"/>
    <w:semiHidden/>
    <w:unhideWhenUsed/>
    <w:rsid w:val="003D528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288"/>
    <w:rPr>
      <w:rFonts w:ascii="Tahoma" w:eastAsia="Times New Roman" w:hAnsi="Tahoma" w:cs="Tahoma"/>
      <w:sz w:val="16"/>
      <w:szCs w:val="16"/>
      <w:lang w:eastAsia="de-DE"/>
    </w:rPr>
  </w:style>
  <w:style w:type="paragraph" w:customStyle="1" w:styleId="Equation">
    <w:name w:val="Equation"/>
    <w:basedOn w:val="Normal"/>
    <w:link w:val="EquationChar"/>
    <w:rsid w:val="00C35812"/>
    <w:pPr>
      <w:spacing w:before="120" w:after="120"/>
    </w:pPr>
    <w:rPr>
      <w:rFonts w:ascii="Cambria Math" w:hAnsi="Cambria Math"/>
    </w:rPr>
  </w:style>
  <w:style w:type="paragraph" w:styleId="Caption">
    <w:name w:val="caption"/>
    <w:basedOn w:val="Normal"/>
    <w:next w:val="Normal"/>
    <w:uiPriority w:val="35"/>
    <w:unhideWhenUsed/>
    <w:qFormat/>
    <w:rsid w:val="003A4FB4"/>
    <w:pPr>
      <w:spacing w:after="200" w:line="240" w:lineRule="auto"/>
    </w:pPr>
    <w:rPr>
      <w:b/>
      <w:bCs/>
      <w:sz w:val="18"/>
      <w:szCs w:val="18"/>
    </w:rPr>
  </w:style>
  <w:style w:type="character" w:customStyle="1" w:styleId="EquationChar">
    <w:name w:val="Equation Char"/>
    <w:basedOn w:val="DefaultParagraphFont"/>
    <w:link w:val="Equation"/>
    <w:rsid w:val="00C35812"/>
    <w:rPr>
      <w:rFonts w:ascii="Cambria Math" w:eastAsia="Times New Roman" w:hAnsi="Cambria Math"/>
      <w:szCs w:val="24"/>
      <w:lang w:eastAsia="de-DE"/>
    </w:rPr>
  </w:style>
  <w:style w:type="paragraph" w:styleId="Footer">
    <w:name w:val="footer"/>
    <w:basedOn w:val="Normal"/>
    <w:link w:val="FooterChar"/>
    <w:uiPriority w:val="99"/>
    <w:unhideWhenUsed/>
    <w:rsid w:val="006D0C96"/>
    <w:pPr>
      <w:tabs>
        <w:tab w:val="center" w:pos="4513"/>
        <w:tab w:val="right" w:pos="9026"/>
      </w:tabs>
      <w:spacing w:line="240" w:lineRule="auto"/>
    </w:pPr>
  </w:style>
  <w:style w:type="character" w:customStyle="1" w:styleId="FooterChar">
    <w:name w:val="Footer Char"/>
    <w:basedOn w:val="DefaultParagraphFont"/>
    <w:link w:val="Footer"/>
    <w:uiPriority w:val="99"/>
    <w:rsid w:val="006D0C96"/>
    <w:rPr>
      <w:rFonts w:ascii="Times New Roman" w:eastAsia="Times New Roman" w:hAnsi="Times New Roman"/>
      <w:szCs w:val="24"/>
      <w:lang w:eastAsia="de-DE"/>
    </w:rPr>
  </w:style>
  <w:style w:type="paragraph" w:customStyle="1" w:styleId="Correspondence">
    <w:name w:val="Correspondence"/>
    <w:basedOn w:val="Normal"/>
    <w:link w:val="CorrespondenceChar"/>
    <w:qFormat/>
    <w:rsid w:val="008E213F"/>
    <w:pPr>
      <w:spacing w:before="120" w:after="360" w:line="240" w:lineRule="auto"/>
    </w:pPr>
  </w:style>
  <w:style w:type="character" w:customStyle="1" w:styleId="CorrespondenceChar">
    <w:name w:val="Correspondence Char"/>
    <w:basedOn w:val="DefaultParagraphFont"/>
    <w:link w:val="Correspondence"/>
    <w:rsid w:val="008E213F"/>
    <w:rPr>
      <w:rFonts w:ascii="Times New Roman" w:eastAsia="Times New Roman" w:hAnsi="Times New Roman"/>
      <w:szCs w:val="24"/>
      <w:lang w:eastAsia="de-DE"/>
    </w:rPr>
  </w:style>
  <w:style w:type="paragraph" w:customStyle="1" w:styleId="Authors">
    <w:name w:val="Authors"/>
    <w:basedOn w:val="Normal"/>
    <w:link w:val="AuthorsChar"/>
    <w:qFormat/>
    <w:rsid w:val="00BD0523"/>
    <w:pPr>
      <w:spacing w:before="180" w:line="240" w:lineRule="auto"/>
      <w:contextualSpacing/>
    </w:pPr>
    <w:rPr>
      <w:sz w:val="24"/>
    </w:rPr>
  </w:style>
  <w:style w:type="character" w:customStyle="1" w:styleId="AuthorsChar">
    <w:name w:val="Authors Char"/>
    <w:basedOn w:val="DefaultParagraphFont"/>
    <w:link w:val="Authors"/>
    <w:rsid w:val="00BD0523"/>
    <w:rPr>
      <w:rFonts w:ascii="Times New Roman" w:eastAsia="Times New Roman" w:hAnsi="Times New Roman"/>
      <w:sz w:val="24"/>
      <w:szCs w:val="24"/>
      <w:lang w:eastAsia="de-DE"/>
    </w:rPr>
  </w:style>
  <w:style w:type="character" w:styleId="UnresolvedMention">
    <w:name w:val="Unresolved Mention"/>
    <w:basedOn w:val="DefaultParagraphFont"/>
    <w:uiPriority w:val="99"/>
    <w:semiHidden/>
    <w:unhideWhenUsed/>
    <w:rsid w:val="000E5B54"/>
    <w:rPr>
      <w:color w:val="605E5C"/>
      <w:shd w:val="clear" w:color="auto" w:fill="E1DFDD"/>
    </w:rPr>
  </w:style>
  <w:style w:type="paragraph" w:styleId="Revision">
    <w:name w:val="Revision"/>
    <w:hidden/>
    <w:uiPriority w:val="99"/>
    <w:semiHidden/>
    <w:rsid w:val="000827DE"/>
    <w:rPr>
      <w:rFonts w:ascii="Times New Roman" w:eastAsia="Times New Roman" w:hAnsi="Times New Roman"/>
      <w:szCs w:val="24"/>
      <w:lang w:eastAsia="de-DE"/>
    </w:rPr>
  </w:style>
  <w:style w:type="character" w:styleId="CommentReference">
    <w:name w:val="annotation reference"/>
    <w:basedOn w:val="DefaultParagraphFont"/>
    <w:uiPriority w:val="99"/>
    <w:semiHidden/>
    <w:unhideWhenUsed/>
    <w:rsid w:val="000827DE"/>
    <w:rPr>
      <w:sz w:val="16"/>
      <w:szCs w:val="16"/>
    </w:rPr>
  </w:style>
  <w:style w:type="paragraph" w:styleId="CommentText">
    <w:name w:val="annotation text"/>
    <w:basedOn w:val="Normal"/>
    <w:link w:val="CommentTextChar"/>
    <w:uiPriority w:val="99"/>
    <w:unhideWhenUsed/>
    <w:rsid w:val="006B68ED"/>
    <w:pPr>
      <w:spacing w:line="240" w:lineRule="auto"/>
      <w:jc w:val="left"/>
    </w:pPr>
    <w:rPr>
      <w:szCs w:val="20"/>
      <w:lang w:eastAsia="en-GB"/>
    </w:rPr>
  </w:style>
  <w:style w:type="character" w:customStyle="1" w:styleId="CommentTextChar">
    <w:name w:val="Comment Text Char"/>
    <w:basedOn w:val="DefaultParagraphFont"/>
    <w:link w:val="CommentText"/>
    <w:uiPriority w:val="99"/>
    <w:rsid w:val="006B68ED"/>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6B68ED"/>
    <w:pPr>
      <w:jc w:val="both"/>
    </w:pPr>
    <w:rPr>
      <w:b/>
      <w:bCs/>
      <w:lang w:eastAsia="de-DE"/>
    </w:rPr>
  </w:style>
  <w:style w:type="character" w:customStyle="1" w:styleId="CommentSubjectChar">
    <w:name w:val="Comment Subject Char"/>
    <w:basedOn w:val="CommentTextChar"/>
    <w:link w:val="CommentSubject"/>
    <w:uiPriority w:val="99"/>
    <w:semiHidden/>
    <w:rsid w:val="006B68ED"/>
    <w:rPr>
      <w:rFonts w:ascii="Times New Roman" w:eastAsia="Times New Roman" w:hAnsi="Times New Roman"/>
      <w:b/>
      <w:bCs/>
      <w:lang w:eastAsia="de-DE"/>
    </w:rPr>
  </w:style>
  <w:style w:type="paragraph" w:styleId="Bibliography">
    <w:name w:val="Bibliography"/>
    <w:basedOn w:val="Normal"/>
    <w:next w:val="Normal"/>
    <w:uiPriority w:val="37"/>
    <w:unhideWhenUsed/>
    <w:rsid w:val="006B68ED"/>
    <w:pPr>
      <w:spacing w:after="240" w:line="240" w:lineRule="auto"/>
    </w:pPr>
  </w:style>
  <w:style w:type="character" w:styleId="FollowedHyperlink">
    <w:name w:val="FollowedHyperlink"/>
    <w:basedOn w:val="DefaultParagraphFont"/>
    <w:uiPriority w:val="99"/>
    <w:semiHidden/>
    <w:unhideWhenUsed/>
    <w:rsid w:val="00ED31F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CopernicusTemplates\Free-Forms\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opernicus_Word_template">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FDE8-F468-4358-9F5B-AA26B1268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C:\CopernicusTemplates\Free-Forms\Blank.dotm</Template>
  <TotalTime>9</TotalTime>
  <Pages>5</Pages>
  <Words>2374</Words>
  <Characters>13532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Blank</vt:lpstr>
    </vt:vector>
  </TitlesOfParts>
  <Company>Copernicus Gesellschaft mbH</Company>
  <LinksUpToDate>false</LinksUpToDate>
  <CharactersWithSpaces>15875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dc:title>
  <dc:creator>Martin Rasmussen</dc:creator>
  <cp:lastModifiedBy>Claire Routledge</cp:lastModifiedBy>
  <cp:revision>7</cp:revision>
  <cp:lastPrinted>2026-06-12T13:10:00Z</cp:lastPrinted>
  <dcterms:created xsi:type="dcterms:W3CDTF">2026-06-12T13:10:00Z</dcterms:created>
  <dcterms:modified xsi:type="dcterms:W3CDTF">2026-06-16T10:31:00Z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zotero-version="9.0.4"&gt;&lt;session id="HZw0Sa6m"/&gt;&lt;style id="http://www.zotero.org/styles/copernicus-publications" hasBibliography="1" bibliographyStyleHasBeenSet="1"/&gt;&lt;prefs&gt;&lt;pref name="fieldType" value="Field"/&gt;&lt;pref name="automaticJ</vt:lpwstr>
  </property>
  <property fmtid="{D5CDD505-2E9C-101B-9397-08002B2CF9AE}" pid="3" name="ZOTERO_PREF_2">
    <vt:lpwstr>ournalAbbreviations" value="true"/&gt;&lt;/prefs&gt;&lt;/data&gt;</vt:lpwstr>
  </property>
</Properties>
</file>