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FBB60" w14:textId="77777777" w:rsidR="003B3662" w:rsidRDefault="003B3662" w:rsidP="00310A7C">
      <w:pPr>
        <w:rPr>
          <w:i/>
          <w:iCs/>
          <w:sz w:val="32"/>
          <w:szCs w:val="32"/>
        </w:rPr>
      </w:pPr>
    </w:p>
    <w:p w14:paraId="353A749A" w14:textId="77777777" w:rsidR="003B3662" w:rsidRDefault="003B3662" w:rsidP="00310A7C">
      <w:pPr>
        <w:rPr>
          <w:i/>
          <w:iCs/>
          <w:sz w:val="32"/>
          <w:szCs w:val="32"/>
        </w:rPr>
      </w:pPr>
    </w:p>
    <w:p w14:paraId="4959CFED" w14:textId="77777777" w:rsidR="003B3662" w:rsidRDefault="003B3662" w:rsidP="00310A7C">
      <w:pPr>
        <w:rPr>
          <w:i/>
          <w:iCs/>
          <w:sz w:val="32"/>
          <w:szCs w:val="32"/>
        </w:rPr>
      </w:pPr>
    </w:p>
    <w:p w14:paraId="00AD6FF1" w14:textId="77777777" w:rsidR="003B3662" w:rsidRDefault="003B3662" w:rsidP="00310A7C">
      <w:pPr>
        <w:rPr>
          <w:i/>
          <w:iCs/>
          <w:sz w:val="32"/>
          <w:szCs w:val="32"/>
        </w:rPr>
      </w:pPr>
    </w:p>
    <w:p w14:paraId="1C7F2E48" w14:textId="77777777" w:rsidR="003B3662" w:rsidRDefault="003B3662" w:rsidP="00310A7C">
      <w:pPr>
        <w:rPr>
          <w:i/>
          <w:iCs/>
          <w:sz w:val="32"/>
          <w:szCs w:val="32"/>
        </w:rPr>
      </w:pPr>
    </w:p>
    <w:p w14:paraId="097DA7E4" w14:textId="77777777" w:rsidR="003B3662" w:rsidRDefault="003B3662" w:rsidP="00310A7C">
      <w:pPr>
        <w:rPr>
          <w:i/>
          <w:iCs/>
          <w:sz w:val="32"/>
          <w:szCs w:val="32"/>
        </w:rPr>
      </w:pPr>
    </w:p>
    <w:p w14:paraId="3E8543D9" w14:textId="77777777" w:rsidR="003B3662" w:rsidRDefault="003B3662" w:rsidP="00310A7C">
      <w:pPr>
        <w:rPr>
          <w:i/>
          <w:iCs/>
          <w:sz w:val="32"/>
          <w:szCs w:val="32"/>
        </w:rPr>
      </w:pPr>
    </w:p>
    <w:p w14:paraId="2945F18E" w14:textId="349E7899" w:rsidR="00310A7C" w:rsidRPr="00310A7C" w:rsidRDefault="00310A7C" w:rsidP="00310A7C">
      <w:pPr>
        <w:rPr>
          <w:i/>
          <w:iCs/>
          <w:sz w:val="32"/>
          <w:szCs w:val="32"/>
        </w:rPr>
      </w:pPr>
      <w:r w:rsidRPr="00310A7C">
        <w:rPr>
          <w:i/>
          <w:iCs/>
          <w:sz w:val="32"/>
          <w:szCs w:val="32"/>
        </w:rPr>
        <w:t xml:space="preserve">Supplement of </w:t>
      </w:r>
    </w:p>
    <w:p w14:paraId="4D79568E" w14:textId="77777777" w:rsidR="00310A7C" w:rsidRDefault="00310A7C" w:rsidP="00310A7C">
      <w:pPr>
        <w:pStyle w:val="MStitle"/>
      </w:pPr>
      <w:r w:rsidRPr="003670D4">
        <w:t>CoRSEE</w:t>
      </w:r>
      <w:r>
        <w:t xml:space="preserve">R: </w:t>
      </w:r>
      <w:r w:rsidRPr="003670D4">
        <w:t>The Calculator of Rock Surface Exposure Age and Erosion Rates</w:t>
      </w:r>
      <w:r>
        <w:t xml:space="preserve"> </w:t>
      </w:r>
      <w:r w:rsidRPr="003670D4">
        <w:t>for Rock Surface Luminescence dating</w:t>
      </w:r>
    </w:p>
    <w:p w14:paraId="678AEAB2" w14:textId="77777777" w:rsidR="00310A7C" w:rsidRDefault="00310A7C" w:rsidP="00310A7C">
      <w:pPr>
        <w:rPr>
          <w:b/>
          <w:bCs/>
        </w:rPr>
      </w:pPr>
    </w:p>
    <w:p w14:paraId="63E7D15B" w14:textId="08246B91" w:rsidR="00310A7C" w:rsidRDefault="00310A7C" w:rsidP="00310A7C">
      <w:pPr>
        <w:rPr>
          <w:b/>
          <w:bCs/>
          <w:lang w:val="nl-NL"/>
        </w:rPr>
      </w:pPr>
      <w:r w:rsidRPr="00310A7C">
        <w:rPr>
          <w:b/>
          <w:bCs/>
          <w:lang w:val="nl-NL"/>
        </w:rPr>
        <w:t>Arbaz N. Pathan et al.</w:t>
      </w:r>
    </w:p>
    <w:p w14:paraId="324E4282" w14:textId="16A98343" w:rsidR="00310A7C" w:rsidRDefault="00310A7C" w:rsidP="00310A7C">
      <w:pPr>
        <w:rPr>
          <w:lang w:val="en-IN"/>
        </w:rPr>
      </w:pPr>
      <w:r w:rsidRPr="00310A7C">
        <w:rPr>
          <w:i/>
          <w:iCs/>
          <w:lang w:val="en-IN"/>
        </w:rPr>
        <w:t xml:space="preserve">Correspondence to: </w:t>
      </w:r>
      <w:r w:rsidRPr="00310A7C">
        <w:rPr>
          <w:lang w:val="en-IN"/>
        </w:rPr>
        <w:t>Arbaz N. Pa</w:t>
      </w:r>
      <w:r>
        <w:rPr>
          <w:lang w:val="en-IN"/>
        </w:rPr>
        <w:t>than (</w:t>
      </w:r>
      <w:hyperlink r:id="rId6" w:history="1">
        <w:r w:rsidRPr="00AE7F32">
          <w:rPr>
            <w:rStyle w:val="Hyperlink"/>
            <w:lang w:val="en-IN"/>
          </w:rPr>
          <w:t>akp20@iitk.ac.in</w:t>
        </w:r>
      </w:hyperlink>
      <w:r>
        <w:rPr>
          <w:lang w:val="en-IN"/>
        </w:rPr>
        <w:t>)</w:t>
      </w:r>
    </w:p>
    <w:p w14:paraId="3B410BCE" w14:textId="59CAA06D" w:rsidR="00310A7C" w:rsidRPr="00310A7C" w:rsidRDefault="00310A7C">
      <w:pPr>
        <w:rPr>
          <w:lang w:val="en-IN"/>
        </w:rPr>
      </w:pPr>
      <w:r w:rsidRPr="00310A7C">
        <w:rPr>
          <w:lang w:val="en-IN"/>
        </w:rPr>
        <w:br w:type="page"/>
      </w:r>
    </w:p>
    <w:p w14:paraId="342AE051" w14:textId="51471145" w:rsidR="00310A7C" w:rsidRDefault="006F3E0B" w:rsidP="00AE73A1">
      <w:pPr>
        <w:pStyle w:val="Heading1"/>
        <w:rPr>
          <w:lang w:val="en-IN"/>
        </w:rPr>
      </w:pPr>
      <w:r>
        <w:rPr>
          <w:lang w:val="en-IN"/>
        </w:rPr>
        <w:lastRenderedPageBreak/>
        <w:t>Pre-requisite:</w:t>
      </w:r>
    </w:p>
    <w:p w14:paraId="6FBE634E" w14:textId="43EC54EF" w:rsidR="00AE73A1" w:rsidRDefault="00AE73A1" w:rsidP="00AE73A1">
      <w:pPr>
        <w:pStyle w:val="Heading2"/>
        <w:rPr>
          <w:lang w:val="en-IN"/>
        </w:rPr>
      </w:pPr>
      <w:r>
        <w:rPr>
          <w:lang w:val="en-IN"/>
        </w:rPr>
        <w:t>Supported Platforms:</w:t>
      </w:r>
    </w:p>
    <w:p w14:paraId="12C0E23A" w14:textId="36C2D17E" w:rsidR="00AE73A1" w:rsidRPr="00AE73A1" w:rsidRDefault="00AE73A1" w:rsidP="00AE73A1">
      <w:pPr>
        <w:pStyle w:val="ListParagraph"/>
        <w:numPr>
          <w:ilvl w:val="0"/>
          <w:numId w:val="67"/>
        </w:numPr>
        <w:rPr>
          <w:lang w:val="en-IN"/>
        </w:rPr>
      </w:pPr>
      <w:r w:rsidRPr="00AE73A1">
        <w:rPr>
          <w:lang w:val="en-IN"/>
        </w:rPr>
        <w:t>Windows: Windows 10/11 (64-bit) — recommended</w:t>
      </w:r>
    </w:p>
    <w:p w14:paraId="6051ECC4" w14:textId="0783B611" w:rsidR="00AE73A1" w:rsidRDefault="00AE73A1" w:rsidP="00AE73A1">
      <w:pPr>
        <w:pStyle w:val="ListParagraph"/>
        <w:numPr>
          <w:ilvl w:val="0"/>
          <w:numId w:val="67"/>
        </w:numPr>
        <w:rPr>
          <w:lang w:val="en-IN"/>
        </w:rPr>
      </w:pPr>
      <w:r w:rsidRPr="00AE73A1">
        <w:rPr>
          <w:lang w:val="en-IN"/>
        </w:rPr>
        <w:t>macOS: 64-bit macOS supported by your MATLAB release</w:t>
      </w:r>
    </w:p>
    <w:p w14:paraId="5A8AB709" w14:textId="2ADDD51F" w:rsidR="00AE73A1" w:rsidRPr="00AE73A1" w:rsidRDefault="00AE73A1" w:rsidP="00AE73A1">
      <w:pPr>
        <w:pStyle w:val="Heading2"/>
        <w:rPr>
          <w:lang w:val="en-IN"/>
        </w:rPr>
      </w:pPr>
      <w:r>
        <w:rPr>
          <w:lang w:val="en-IN"/>
        </w:rPr>
        <w:t>Software requirements:</w:t>
      </w:r>
    </w:p>
    <w:p w14:paraId="06CDEF00" w14:textId="2B0988BE" w:rsidR="006F3E0B" w:rsidRPr="006F3E0B" w:rsidRDefault="006F3E0B" w:rsidP="006F3E0B">
      <w:pPr>
        <w:rPr>
          <w:lang w:val="en-IN"/>
        </w:rPr>
      </w:pPr>
      <w:r>
        <w:rPr>
          <w:lang w:val="en-IN"/>
        </w:rPr>
        <w:t xml:space="preserve">The CoRSEER was developed using MATLAB App Designer 2025a. We recommend </w:t>
      </w:r>
      <w:r w:rsidR="00B46E80">
        <w:rPr>
          <w:lang w:val="en-IN"/>
        </w:rPr>
        <w:t>that the user install the provided toolbox before installing CoRSEER and install a</w:t>
      </w:r>
      <w:r w:rsidR="00B3391D">
        <w:rPr>
          <w:lang w:val="en-IN"/>
        </w:rPr>
        <w:t xml:space="preserve"> same or</w:t>
      </w:r>
      <w:r w:rsidR="00B46E80">
        <w:rPr>
          <w:lang w:val="en-IN"/>
        </w:rPr>
        <w:t xml:space="preserve"> newer version of MATLAB</w:t>
      </w:r>
      <w:r w:rsidR="001751BE">
        <w:rPr>
          <w:lang w:val="en-IN"/>
        </w:rPr>
        <w:t xml:space="preserve"> tha</w:t>
      </w:r>
      <w:r w:rsidR="00AE73A1">
        <w:rPr>
          <w:lang w:val="en-IN"/>
        </w:rPr>
        <w:t>n</w:t>
      </w:r>
      <w:r w:rsidR="001751BE">
        <w:rPr>
          <w:lang w:val="en-IN"/>
        </w:rPr>
        <w:t xml:space="preserve"> 2025a</w:t>
      </w:r>
      <w:r>
        <w:rPr>
          <w:lang w:val="en-IN"/>
        </w:rPr>
        <w:t>. If not installed</w:t>
      </w:r>
      <w:r w:rsidR="00B46E80">
        <w:rPr>
          <w:lang w:val="en-IN"/>
        </w:rPr>
        <w:t>, it might lead to unexpected errors during</w:t>
      </w:r>
      <w:r>
        <w:rPr>
          <w:lang w:val="en-IN"/>
        </w:rPr>
        <w:t xml:space="preserve"> execution.</w:t>
      </w:r>
    </w:p>
    <w:p w14:paraId="2D401E27" w14:textId="658F3DA5" w:rsidR="006F3E0B" w:rsidRDefault="006F3E0B" w:rsidP="00491CD9">
      <w:pPr>
        <w:pStyle w:val="ListParagraph"/>
        <w:numPr>
          <w:ilvl w:val="0"/>
          <w:numId w:val="66"/>
        </w:numPr>
        <w:rPr>
          <w:lang w:val="en-IN"/>
        </w:rPr>
      </w:pPr>
      <w:r w:rsidRPr="006F3E0B">
        <w:rPr>
          <w:lang w:val="en-IN"/>
        </w:rPr>
        <w:t xml:space="preserve">Statistical and Machine Learning </w:t>
      </w:r>
      <w:r w:rsidR="00B46E80">
        <w:rPr>
          <w:lang w:val="en-IN"/>
        </w:rPr>
        <w:t>T</w:t>
      </w:r>
      <w:r w:rsidRPr="006F3E0B">
        <w:rPr>
          <w:lang w:val="en-IN"/>
        </w:rPr>
        <w:t>oolbox</w:t>
      </w:r>
    </w:p>
    <w:p w14:paraId="583537CC" w14:textId="2A0A6908" w:rsidR="006F3E0B" w:rsidRDefault="006F3E0B" w:rsidP="004D2C32">
      <w:pPr>
        <w:pStyle w:val="ListParagraph"/>
        <w:numPr>
          <w:ilvl w:val="0"/>
          <w:numId w:val="66"/>
        </w:numPr>
        <w:rPr>
          <w:lang w:val="en-IN"/>
        </w:rPr>
      </w:pPr>
      <w:r w:rsidRPr="006F3E0B">
        <w:rPr>
          <w:lang w:val="en-IN"/>
        </w:rPr>
        <w:t xml:space="preserve">Curve Fitting </w:t>
      </w:r>
      <w:r w:rsidR="001751BE">
        <w:rPr>
          <w:lang w:val="en-IN"/>
        </w:rPr>
        <w:t>t</w:t>
      </w:r>
      <w:r w:rsidRPr="006F3E0B">
        <w:rPr>
          <w:lang w:val="en-IN"/>
        </w:rPr>
        <w:t>oolbox</w:t>
      </w:r>
    </w:p>
    <w:p w14:paraId="241173E6" w14:textId="6AABB46A" w:rsidR="006F3E0B" w:rsidRDefault="006F3E0B" w:rsidP="004D2C32">
      <w:pPr>
        <w:pStyle w:val="ListParagraph"/>
        <w:numPr>
          <w:ilvl w:val="0"/>
          <w:numId w:val="66"/>
        </w:numPr>
        <w:rPr>
          <w:lang w:val="en-IN"/>
        </w:rPr>
      </w:pPr>
      <w:r w:rsidRPr="006F3E0B">
        <w:rPr>
          <w:lang w:val="en-IN"/>
        </w:rPr>
        <w:t>Parallel computing toolbox</w:t>
      </w:r>
    </w:p>
    <w:p w14:paraId="1B0E9FC3" w14:textId="78AFEAFA" w:rsidR="001751BE" w:rsidRDefault="001751BE" w:rsidP="004D2C32">
      <w:pPr>
        <w:pStyle w:val="ListParagraph"/>
        <w:numPr>
          <w:ilvl w:val="0"/>
          <w:numId w:val="66"/>
        </w:numPr>
        <w:rPr>
          <w:lang w:val="en-IN"/>
        </w:rPr>
      </w:pPr>
      <w:r>
        <w:rPr>
          <w:lang w:val="en-IN"/>
        </w:rPr>
        <w:t>Optimisation toolbox</w:t>
      </w:r>
    </w:p>
    <w:p w14:paraId="5EA845AC" w14:textId="32624B95" w:rsidR="00AE73A1" w:rsidRDefault="00AE73A1" w:rsidP="00AE73A1">
      <w:pPr>
        <w:rPr>
          <w:lang w:val="en-IN"/>
        </w:rPr>
      </w:pPr>
      <w:r>
        <w:rPr>
          <w:lang w:val="en-IN"/>
        </w:rPr>
        <w:t xml:space="preserve">Data I/O: Microsoft Excel </w:t>
      </w:r>
      <w:r w:rsidR="00B46E80">
        <w:rPr>
          <w:lang w:val="en-IN"/>
        </w:rPr>
        <w:t>s</w:t>
      </w:r>
      <w:r>
        <w:rPr>
          <w:lang w:val="en-IN"/>
        </w:rPr>
        <w:t>hould be installed on the computer for editing and accessing input files.</w:t>
      </w:r>
    </w:p>
    <w:p w14:paraId="13DDA21F" w14:textId="1F036CA0" w:rsidR="00AE73A1" w:rsidRDefault="00AE73A1" w:rsidP="00AE73A1">
      <w:pPr>
        <w:pStyle w:val="Heading2"/>
        <w:rPr>
          <w:lang w:val="en-IN"/>
        </w:rPr>
      </w:pPr>
      <w:r>
        <w:rPr>
          <w:lang w:val="en-IN"/>
        </w:rPr>
        <w:t>Hardware requirements:</w:t>
      </w:r>
    </w:p>
    <w:tbl>
      <w:tblPr>
        <w:tblStyle w:val="TableGrid"/>
        <w:tblW w:w="5000" w:type="pct"/>
        <w:tblLook w:val="04A0" w:firstRow="1" w:lastRow="0" w:firstColumn="1" w:lastColumn="0" w:noHBand="0" w:noVBand="1"/>
      </w:tblPr>
      <w:tblGrid>
        <w:gridCol w:w="1152"/>
        <w:gridCol w:w="2311"/>
        <w:gridCol w:w="3740"/>
        <w:gridCol w:w="3587"/>
      </w:tblGrid>
      <w:tr w:rsidR="00AE73A1" w:rsidRPr="00131DDC" w14:paraId="169CF1A5" w14:textId="77777777" w:rsidTr="00131DDC">
        <w:tc>
          <w:tcPr>
            <w:tcW w:w="534" w:type="pct"/>
            <w:hideMark/>
          </w:tcPr>
          <w:p w14:paraId="4370161E" w14:textId="77777777" w:rsidR="00AE73A1" w:rsidRPr="00131DDC" w:rsidRDefault="00AE73A1" w:rsidP="00AE73A1">
            <w:pPr>
              <w:spacing w:line="240" w:lineRule="auto"/>
              <w:jc w:val="center"/>
              <w:rPr>
                <w:rFonts w:eastAsia="Times New Roman" w:cs="Times New Roman"/>
                <w:b/>
                <w:bCs/>
                <w:color w:val="auto"/>
                <w:szCs w:val="20"/>
                <w:lang w:val="en-IN" w:eastAsia="en-IN"/>
              </w:rPr>
            </w:pPr>
            <w:r w:rsidRPr="00131DDC">
              <w:rPr>
                <w:rFonts w:eastAsia="Times New Roman" w:cs="Times New Roman"/>
                <w:b/>
                <w:bCs/>
                <w:color w:val="auto"/>
                <w:szCs w:val="20"/>
                <w:lang w:val="en-IN" w:eastAsia="en-IN"/>
              </w:rPr>
              <w:t>Category</w:t>
            </w:r>
          </w:p>
        </w:tc>
        <w:tc>
          <w:tcPr>
            <w:tcW w:w="1071" w:type="pct"/>
            <w:hideMark/>
          </w:tcPr>
          <w:p w14:paraId="3E0D5564" w14:textId="77777777" w:rsidR="00AE73A1" w:rsidRPr="00131DDC" w:rsidRDefault="00AE73A1" w:rsidP="00AE73A1">
            <w:pPr>
              <w:spacing w:line="240" w:lineRule="auto"/>
              <w:jc w:val="right"/>
              <w:rPr>
                <w:rFonts w:eastAsia="Times New Roman" w:cs="Times New Roman"/>
                <w:b/>
                <w:bCs/>
                <w:color w:val="auto"/>
                <w:szCs w:val="20"/>
                <w:lang w:val="en-IN" w:eastAsia="en-IN"/>
              </w:rPr>
            </w:pPr>
            <w:r w:rsidRPr="00131DDC">
              <w:rPr>
                <w:rFonts w:eastAsia="Times New Roman" w:cs="Times New Roman"/>
                <w:b/>
                <w:bCs/>
                <w:color w:val="auto"/>
                <w:szCs w:val="20"/>
                <w:lang w:val="en-IN" w:eastAsia="en-IN"/>
              </w:rPr>
              <w:t>Minimum (basic use)</w:t>
            </w:r>
          </w:p>
        </w:tc>
        <w:tc>
          <w:tcPr>
            <w:tcW w:w="1733" w:type="pct"/>
            <w:hideMark/>
          </w:tcPr>
          <w:p w14:paraId="2091A4A9" w14:textId="77777777" w:rsidR="00AE73A1" w:rsidRPr="00131DDC" w:rsidRDefault="00AE73A1" w:rsidP="00AE73A1">
            <w:pPr>
              <w:spacing w:line="240" w:lineRule="auto"/>
              <w:jc w:val="right"/>
              <w:rPr>
                <w:rFonts w:eastAsia="Times New Roman" w:cs="Times New Roman"/>
                <w:b/>
                <w:bCs/>
                <w:color w:val="auto"/>
                <w:szCs w:val="20"/>
                <w:lang w:val="en-IN" w:eastAsia="en-IN"/>
              </w:rPr>
            </w:pPr>
            <w:r w:rsidRPr="00131DDC">
              <w:rPr>
                <w:rFonts w:eastAsia="Times New Roman" w:cs="Times New Roman"/>
                <w:b/>
                <w:bCs/>
                <w:color w:val="auto"/>
                <w:szCs w:val="20"/>
                <w:lang w:val="en-IN" w:eastAsia="en-IN"/>
              </w:rPr>
              <w:t>Recommended (research workflow)</w:t>
            </w:r>
          </w:p>
        </w:tc>
        <w:tc>
          <w:tcPr>
            <w:tcW w:w="1662" w:type="pct"/>
            <w:hideMark/>
          </w:tcPr>
          <w:p w14:paraId="0E66BE3D" w14:textId="45AC10BD" w:rsidR="00AE73A1" w:rsidRPr="00131DDC" w:rsidRDefault="00AE73A1" w:rsidP="00AE73A1">
            <w:pPr>
              <w:spacing w:line="240" w:lineRule="auto"/>
              <w:jc w:val="right"/>
              <w:rPr>
                <w:rFonts w:eastAsia="Times New Roman" w:cs="Times New Roman"/>
                <w:b/>
                <w:bCs/>
                <w:color w:val="auto"/>
                <w:szCs w:val="20"/>
                <w:lang w:val="en-IN" w:eastAsia="en-IN"/>
              </w:rPr>
            </w:pPr>
            <w:r w:rsidRPr="00131DDC">
              <w:rPr>
                <w:rFonts w:eastAsia="Times New Roman" w:cs="Times New Roman"/>
                <w:b/>
                <w:bCs/>
                <w:color w:val="auto"/>
                <w:szCs w:val="20"/>
                <w:lang w:val="en-IN" w:eastAsia="en-IN"/>
              </w:rPr>
              <w:t>High-Performance (large batches)</w:t>
            </w:r>
          </w:p>
        </w:tc>
      </w:tr>
      <w:tr w:rsidR="00AE73A1" w:rsidRPr="00131DDC" w14:paraId="09CD80CD" w14:textId="77777777" w:rsidTr="00131DDC">
        <w:tc>
          <w:tcPr>
            <w:tcW w:w="534" w:type="pct"/>
            <w:hideMark/>
          </w:tcPr>
          <w:p w14:paraId="1DEF055C" w14:textId="77777777" w:rsidR="00AE73A1" w:rsidRPr="00131DDC" w:rsidRDefault="00AE73A1" w:rsidP="00AE73A1">
            <w:pPr>
              <w:spacing w:line="240" w:lineRule="auto"/>
              <w:jc w:val="left"/>
              <w:rPr>
                <w:rFonts w:eastAsia="Times New Roman" w:cs="Times New Roman"/>
                <w:b/>
                <w:bCs/>
                <w:color w:val="auto"/>
                <w:szCs w:val="20"/>
                <w:lang w:val="en-IN" w:eastAsia="en-IN"/>
              </w:rPr>
            </w:pPr>
            <w:r w:rsidRPr="00131DDC">
              <w:rPr>
                <w:rFonts w:eastAsia="Times New Roman" w:cs="Times New Roman"/>
                <w:b/>
                <w:bCs/>
                <w:color w:val="auto"/>
                <w:szCs w:val="20"/>
                <w:lang w:val="en-IN" w:eastAsia="en-IN"/>
              </w:rPr>
              <w:t>CPU</w:t>
            </w:r>
          </w:p>
        </w:tc>
        <w:tc>
          <w:tcPr>
            <w:tcW w:w="1071" w:type="pct"/>
            <w:hideMark/>
          </w:tcPr>
          <w:p w14:paraId="75AD59A9" w14:textId="77777777"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2 cores, ≥2.5 GHz</w:t>
            </w:r>
          </w:p>
        </w:tc>
        <w:tc>
          <w:tcPr>
            <w:tcW w:w="1733" w:type="pct"/>
            <w:hideMark/>
          </w:tcPr>
          <w:p w14:paraId="16558DED" w14:textId="77777777"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4–8 cores, ≥3.0 GHz</w:t>
            </w:r>
          </w:p>
        </w:tc>
        <w:tc>
          <w:tcPr>
            <w:tcW w:w="1662" w:type="pct"/>
            <w:hideMark/>
          </w:tcPr>
          <w:p w14:paraId="6B32755E" w14:textId="75105BF8" w:rsidR="00AE73A1" w:rsidRPr="00131DDC" w:rsidRDefault="00C5241C"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 xml:space="preserve">&gt; </w:t>
            </w:r>
            <w:r w:rsidR="00AE73A1" w:rsidRPr="00131DDC">
              <w:rPr>
                <w:rFonts w:eastAsia="Times New Roman" w:cs="Times New Roman"/>
                <w:color w:val="auto"/>
                <w:szCs w:val="20"/>
                <w:lang w:val="en-IN" w:eastAsia="en-IN"/>
              </w:rPr>
              <w:t>16 cores</w:t>
            </w:r>
            <w:r w:rsidRPr="00131DDC">
              <w:rPr>
                <w:rFonts w:eastAsia="Times New Roman" w:cs="Times New Roman"/>
                <w:color w:val="auto"/>
                <w:szCs w:val="20"/>
                <w:lang w:val="en-IN" w:eastAsia="en-IN"/>
              </w:rPr>
              <w:t xml:space="preserve"> for parallel computing</w:t>
            </w:r>
          </w:p>
        </w:tc>
      </w:tr>
      <w:tr w:rsidR="00AE73A1" w:rsidRPr="00131DDC" w14:paraId="12082F3A" w14:textId="77777777" w:rsidTr="00131DDC">
        <w:tc>
          <w:tcPr>
            <w:tcW w:w="534" w:type="pct"/>
            <w:hideMark/>
          </w:tcPr>
          <w:p w14:paraId="2BD2F072" w14:textId="77777777" w:rsidR="00AE73A1" w:rsidRPr="00131DDC" w:rsidRDefault="00AE73A1" w:rsidP="00AE73A1">
            <w:pPr>
              <w:spacing w:line="240" w:lineRule="auto"/>
              <w:jc w:val="left"/>
              <w:rPr>
                <w:rFonts w:eastAsia="Times New Roman" w:cs="Times New Roman"/>
                <w:b/>
                <w:bCs/>
                <w:color w:val="auto"/>
                <w:szCs w:val="20"/>
                <w:lang w:val="en-IN" w:eastAsia="en-IN"/>
              </w:rPr>
            </w:pPr>
            <w:r w:rsidRPr="00131DDC">
              <w:rPr>
                <w:rFonts w:eastAsia="Times New Roman" w:cs="Times New Roman"/>
                <w:b/>
                <w:bCs/>
                <w:color w:val="auto"/>
                <w:szCs w:val="20"/>
                <w:lang w:val="en-IN" w:eastAsia="en-IN"/>
              </w:rPr>
              <w:t>RAM</w:t>
            </w:r>
          </w:p>
        </w:tc>
        <w:tc>
          <w:tcPr>
            <w:tcW w:w="1071" w:type="pct"/>
            <w:hideMark/>
          </w:tcPr>
          <w:p w14:paraId="565F1330" w14:textId="77777777"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8 GB</w:t>
            </w:r>
          </w:p>
        </w:tc>
        <w:tc>
          <w:tcPr>
            <w:tcW w:w="1733" w:type="pct"/>
            <w:hideMark/>
          </w:tcPr>
          <w:p w14:paraId="1870071C" w14:textId="77777777"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16 GB</w:t>
            </w:r>
          </w:p>
        </w:tc>
        <w:tc>
          <w:tcPr>
            <w:tcW w:w="1662" w:type="pct"/>
            <w:hideMark/>
          </w:tcPr>
          <w:p w14:paraId="1CCD7B84" w14:textId="77777777"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32 GB</w:t>
            </w:r>
          </w:p>
        </w:tc>
      </w:tr>
      <w:tr w:rsidR="00AE73A1" w:rsidRPr="00131DDC" w14:paraId="6C68BEDA" w14:textId="77777777" w:rsidTr="00131DDC">
        <w:tc>
          <w:tcPr>
            <w:tcW w:w="534" w:type="pct"/>
            <w:hideMark/>
          </w:tcPr>
          <w:p w14:paraId="5F08875B" w14:textId="77777777" w:rsidR="00AE73A1" w:rsidRPr="00131DDC" w:rsidRDefault="00AE73A1" w:rsidP="00AE73A1">
            <w:pPr>
              <w:spacing w:line="240" w:lineRule="auto"/>
              <w:jc w:val="left"/>
              <w:rPr>
                <w:rFonts w:eastAsia="Times New Roman" w:cs="Times New Roman"/>
                <w:b/>
                <w:bCs/>
                <w:color w:val="auto"/>
                <w:szCs w:val="20"/>
                <w:lang w:val="en-IN" w:eastAsia="en-IN"/>
              </w:rPr>
            </w:pPr>
            <w:r w:rsidRPr="00131DDC">
              <w:rPr>
                <w:rFonts w:eastAsia="Times New Roman" w:cs="Times New Roman"/>
                <w:b/>
                <w:bCs/>
                <w:color w:val="auto"/>
                <w:szCs w:val="20"/>
                <w:lang w:val="en-IN" w:eastAsia="en-IN"/>
              </w:rPr>
              <w:t>Storage</w:t>
            </w:r>
          </w:p>
        </w:tc>
        <w:tc>
          <w:tcPr>
            <w:tcW w:w="1071" w:type="pct"/>
            <w:hideMark/>
          </w:tcPr>
          <w:p w14:paraId="653D8C3E" w14:textId="2B62AC01"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25 GB free</w:t>
            </w:r>
          </w:p>
        </w:tc>
        <w:tc>
          <w:tcPr>
            <w:tcW w:w="1733" w:type="pct"/>
            <w:hideMark/>
          </w:tcPr>
          <w:p w14:paraId="053A0CBB" w14:textId="5FD606CA"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 xml:space="preserve">SSD, </w:t>
            </w:r>
            <w:r w:rsidR="00C5241C" w:rsidRPr="00131DDC">
              <w:rPr>
                <w:rFonts w:eastAsia="Times New Roman" w:cs="Times New Roman"/>
                <w:color w:val="auto"/>
                <w:szCs w:val="20"/>
                <w:lang w:val="en-IN" w:eastAsia="en-IN"/>
              </w:rPr>
              <w:t>100</w:t>
            </w:r>
            <w:r w:rsidRPr="00131DDC">
              <w:rPr>
                <w:rFonts w:eastAsia="Times New Roman" w:cs="Times New Roman"/>
                <w:color w:val="auto"/>
                <w:szCs w:val="20"/>
                <w:lang w:val="en-IN" w:eastAsia="en-IN"/>
              </w:rPr>
              <w:t xml:space="preserve"> GB free</w:t>
            </w:r>
          </w:p>
        </w:tc>
        <w:tc>
          <w:tcPr>
            <w:tcW w:w="1662" w:type="pct"/>
            <w:hideMark/>
          </w:tcPr>
          <w:p w14:paraId="1F070C1F" w14:textId="77777777"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NVMe SSD, ≥100 GB free</w:t>
            </w:r>
          </w:p>
        </w:tc>
      </w:tr>
      <w:tr w:rsidR="00AE73A1" w:rsidRPr="00131DDC" w14:paraId="25B5AC8D" w14:textId="77777777" w:rsidTr="00131DDC">
        <w:tc>
          <w:tcPr>
            <w:tcW w:w="534" w:type="pct"/>
            <w:hideMark/>
          </w:tcPr>
          <w:p w14:paraId="096E96E0" w14:textId="77777777" w:rsidR="00AE73A1" w:rsidRPr="00131DDC" w:rsidRDefault="00AE73A1" w:rsidP="00AE73A1">
            <w:pPr>
              <w:spacing w:line="240" w:lineRule="auto"/>
              <w:jc w:val="left"/>
              <w:rPr>
                <w:rFonts w:eastAsia="Times New Roman" w:cs="Times New Roman"/>
                <w:b/>
                <w:bCs/>
                <w:color w:val="auto"/>
                <w:szCs w:val="20"/>
                <w:lang w:val="en-IN" w:eastAsia="en-IN"/>
              </w:rPr>
            </w:pPr>
            <w:r w:rsidRPr="00131DDC">
              <w:rPr>
                <w:rFonts w:eastAsia="Times New Roman" w:cs="Times New Roman"/>
                <w:b/>
                <w:bCs/>
                <w:color w:val="auto"/>
                <w:szCs w:val="20"/>
                <w:lang w:val="en-IN" w:eastAsia="en-IN"/>
              </w:rPr>
              <w:t>Display</w:t>
            </w:r>
          </w:p>
        </w:tc>
        <w:tc>
          <w:tcPr>
            <w:tcW w:w="1071" w:type="pct"/>
            <w:hideMark/>
          </w:tcPr>
          <w:p w14:paraId="729ED594" w14:textId="77777777"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1366×768</w:t>
            </w:r>
          </w:p>
        </w:tc>
        <w:tc>
          <w:tcPr>
            <w:tcW w:w="1733" w:type="pct"/>
            <w:hideMark/>
          </w:tcPr>
          <w:p w14:paraId="52749689" w14:textId="41D3A7F8"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 xml:space="preserve">1920×1080 </w:t>
            </w:r>
          </w:p>
        </w:tc>
        <w:tc>
          <w:tcPr>
            <w:tcW w:w="1662" w:type="pct"/>
            <w:hideMark/>
          </w:tcPr>
          <w:p w14:paraId="5DBFE4B4" w14:textId="12E3A23D" w:rsidR="00AE73A1" w:rsidRPr="00131DDC" w:rsidRDefault="00AE73A1" w:rsidP="00AE73A1">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1920×1080</w:t>
            </w:r>
          </w:p>
        </w:tc>
      </w:tr>
      <w:tr w:rsidR="00C5241C" w:rsidRPr="00131DDC" w14:paraId="66CDA8FB" w14:textId="77777777" w:rsidTr="00131DDC">
        <w:tc>
          <w:tcPr>
            <w:tcW w:w="534" w:type="pct"/>
            <w:hideMark/>
          </w:tcPr>
          <w:p w14:paraId="45A96AEC" w14:textId="77777777" w:rsidR="00C5241C" w:rsidRPr="00131DDC" w:rsidRDefault="00C5241C" w:rsidP="00C5241C">
            <w:pPr>
              <w:spacing w:line="240" w:lineRule="auto"/>
              <w:jc w:val="left"/>
              <w:rPr>
                <w:rFonts w:eastAsia="Times New Roman" w:cs="Times New Roman"/>
                <w:b/>
                <w:bCs/>
                <w:color w:val="auto"/>
                <w:szCs w:val="20"/>
                <w:lang w:val="en-IN" w:eastAsia="en-IN"/>
              </w:rPr>
            </w:pPr>
            <w:r w:rsidRPr="00131DDC">
              <w:rPr>
                <w:rFonts w:eastAsia="Times New Roman" w:cs="Times New Roman"/>
                <w:b/>
                <w:bCs/>
                <w:color w:val="auto"/>
                <w:szCs w:val="20"/>
                <w:lang w:val="en-IN" w:eastAsia="en-IN"/>
              </w:rPr>
              <w:t>GPU</w:t>
            </w:r>
          </w:p>
        </w:tc>
        <w:tc>
          <w:tcPr>
            <w:tcW w:w="1071" w:type="pct"/>
            <w:hideMark/>
          </w:tcPr>
          <w:p w14:paraId="0F77C770" w14:textId="77777777" w:rsidR="00C5241C" w:rsidRPr="00131DDC" w:rsidRDefault="00C5241C" w:rsidP="00C5241C">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Not required</w:t>
            </w:r>
          </w:p>
        </w:tc>
        <w:tc>
          <w:tcPr>
            <w:tcW w:w="1733" w:type="pct"/>
          </w:tcPr>
          <w:p w14:paraId="012AD627" w14:textId="76ADA0DF" w:rsidR="00C5241C" w:rsidRPr="00131DDC" w:rsidRDefault="00C5241C" w:rsidP="00C5241C">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Not required</w:t>
            </w:r>
          </w:p>
        </w:tc>
        <w:tc>
          <w:tcPr>
            <w:tcW w:w="1662" w:type="pct"/>
          </w:tcPr>
          <w:p w14:paraId="63664E10" w14:textId="4E7F7525" w:rsidR="00C5241C" w:rsidRPr="00131DDC" w:rsidRDefault="00C5241C" w:rsidP="00C5241C">
            <w:pPr>
              <w:spacing w:line="240" w:lineRule="auto"/>
              <w:jc w:val="right"/>
              <w:rPr>
                <w:rFonts w:eastAsia="Times New Roman" w:cs="Times New Roman"/>
                <w:color w:val="auto"/>
                <w:szCs w:val="20"/>
                <w:lang w:val="en-IN" w:eastAsia="en-IN"/>
              </w:rPr>
            </w:pPr>
            <w:r w:rsidRPr="00131DDC">
              <w:rPr>
                <w:rFonts w:eastAsia="Times New Roman" w:cs="Times New Roman"/>
                <w:color w:val="auto"/>
                <w:szCs w:val="20"/>
                <w:lang w:val="en-IN" w:eastAsia="en-IN"/>
              </w:rPr>
              <w:t>Not required</w:t>
            </w:r>
          </w:p>
        </w:tc>
      </w:tr>
    </w:tbl>
    <w:p w14:paraId="60FD432C" w14:textId="77777777" w:rsidR="00AE73A1" w:rsidRDefault="00AE73A1" w:rsidP="00AE73A1">
      <w:pPr>
        <w:rPr>
          <w:lang w:val="en-IN"/>
        </w:rPr>
      </w:pPr>
    </w:p>
    <w:p w14:paraId="3D1DF486" w14:textId="77777777" w:rsidR="00055071" w:rsidRDefault="00055071" w:rsidP="00055071">
      <w:pPr>
        <w:pStyle w:val="Heading1"/>
      </w:pPr>
      <w:r>
        <w:lastRenderedPageBreak/>
        <w:t>Sampling Strategy</w:t>
      </w:r>
    </w:p>
    <w:p w14:paraId="0A603308" w14:textId="279264EB" w:rsidR="00CE42FD" w:rsidRPr="00CE42FD" w:rsidRDefault="00CE42FD" w:rsidP="00CE42FD">
      <w:r w:rsidRPr="00C775FA">
        <w:rPr>
          <w:noProof/>
        </w:rPr>
        <w:drawing>
          <wp:inline distT="0" distB="0" distL="0" distR="0" wp14:anchorId="363648E3" wp14:editId="738739EF">
            <wp:extent cx="6864902" cy="4592781"/>
            <wp:effectExtent l="0" t="0" r="0" b="0"/>
            <wp:docPr id="2120221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221352" name=""/>
                    <pic:cNvPicPr/>
                  </pic:nvPicPr>
                  <pic:blipFill>
                    <a:blip r:embed="rId7"/>
                    <a:stretch>
                      <a:fillRect/>
                    </a:stretch>
                  </pic:blipFill>
                  <pic:spPr>
                    <a:xfrm>
                      <a:off x="0" y="0"/>
                      <a:ext cx="6868612" cy="4595263"/>
                    </a:xfrm>
                    <a:prstGeom prst="rect">
                      <a:avLst/>
                    </a:prstGeom>
                  </pic:spPr>
                </pic:pic>
              </a:graphicData>
            </a:graphic>
          </wp:inline>
        </w:drawing>
      </w:r>
    </w:p>
    <w:p w14:paraId="413A9823" w14:textId="5317D72F" w:rsidR="00055071" w:rsidRPr="00055071" w:rsidRDefault="00055071" w:rsidP="00055071">
      <w:pPr>
        <w:rPr>
          <w:b/>
          <w:bCs/>
        </w:rPr>
      </w:pPr>
      <w:r w:rsidRPr="00055071">
        <w:rPr>
          <w:b/>
          <w:bCs/>
        </w:rPr>
        <w:t>Figure</w:t>
      </w:r>
      <w:r w:rsidR="00B46E80">
        <w:rPr>
          <w:b/>
          <w:bCs/>
        </w:rPr>
        <w:t xml:space="preserve"> </w:t>
      </w:r>
      <w:r w:rsidR="00CE42FD">
        <w:rPr>
          <w:b/>
          <w:bCs/>
        </w:rPr>
        <w:t>S</w:t>
      </w:r>
      <w:r w:rsidR="00B46E80">
        <w:rPr>
          <w:b/>
          <w:bCs/>
        </w:rPr>
        <w:t>1</w:t>
      </w:r>
      <w:r w:rsidRPr="00055071">
        <w:rPr>
          <w:b/>
          <w:bCs/>
        </w:rPr>
        <w:t xml:space="preserve">: a-b) Drilling of </w:t>
      </w:r>
      <w:r w:rsidR="00B46E80">
        <w:rPr>
          <w:b/>
          <w:bCs/>
        </w:rPr>
        <w:t xml:space="preserve">a </w:t>
      </w:r>
      <w:r w:rsidRPr="00055071">
        <w:rPr>
          <w:b/>
          <w:bCs/>
        </w:rPr>
        <w:t>10×10×10</w:t>
      </w:r>
      <w:r w:rsidR="00CE42FD">
        <w:rPr>
          <w:b/>
          <w:bCs/>
        </w:rPr>
        <w:t xml:space="preserve"> </w:t>
      </w:r>
      <w:r w:rsidRPr="00055071">
        <w:rPr>
          <w:b/>
          <w:bCs/>
        </w:rPr>
        <w:t>cm rock block from the boulder under water lubrication. c) Coring of the rock block perpendicular to the surface up to 4-5 cm</w:t>
      </w:r>
      <w:r w:rsidR="00CE42FD">
        <w:rPr>
          <w:b/>
          <w:bCs/>
        </w:rPr>
        <w:t xml:space="preserve"> and diameter of 10 mm</w:t>
      </w:r>
      <w:r w:rsidRPr="00055071">
        <w:rPr>
          <w:b/>
          <w:bCs/>
        </w:rPr>
        <w:t xml:space="preserve">. d) Slicing of the core using </w:t>
      </w:r>
      <w:r w:rsidR="00B46E80">
        <w:rPr>
          <w:b/>
          <w:bCs/>
        </w:rPr>
        <w:t xml:space="preserve">a </w:t>
      </w:r>
      <w:r w:rsidRPr="00055071">
        <w:rPr>
          <w:b/>
          <w:bCs/>
        </w:rPr>
        <w:t xml:space="preserve">diamond wire-saw in oil lubrication conditions by preserving the depth information. e) Placing the rock slice on </w:t>
      </w:r>
      <w:r w:rsidR="00B46E80">
        <w:rPr>
          <w:b/>
          <w:bCs/>
        </w:rPr>
        <w:t xml:space="preserve">a </w:t>
      </w:r>
      <w:r w:rsidRPr="00055071">
        <w:rPr>
          <w:b/>
          <w:bCs/>
        </w:rPr>
        <w:t xml:space="preserve">metal stainless steel cup by breaking </w:t>
      </w:r>
      <w:r w:rsidR="00B46E80">
        <w:rPr>
          <w:b/>
          <w:bCs/>
        </w:rPr>
        <w:t xml:space="preserve">it </w:t>
      </w:r>
      <w:r w:rsidRPr="00055071">
        <w:rPr>
          <w:b/>
          <w:bCs/>
        </w:rPr>
        <w:t xml:space="preserve">into smaller fragments. f) Placement of the metal cup on </w:t>
      </w:r>
      <w:r w:rsidR="00B46E80">
        <w:rPr>
          <w:b/>
          <w:bCs/>
        </w:rPr>
        <w:t xml:space="preserve">the </w:t>
      </w:r>
      <w:r w:rsidRPr="00055071">
        <w:rPr>
          <w:b/>
          <w:bCs/>
        </w:rPr>
        <w:t>carous</w:t>
      </w:r>
      <w:r w:rsidR="00B46E80">
        <w:rPr>
          <w:b/>
          <w:bCs/>
        </w:rPr>
        <w:t>e</w:t>
      </w:r>
      <w:r w:rsidRPr="00055071">
        <w:rPr>
          <w:b/>
          <w:bCs/>
        </w:rPr>
        <w:t xml:space="preserve">l for luminescence measurement. </w:t>
      </w:r>
    </w:p>
    <w:p w14:paraId="7FEB6049" w14:textId="243A002D" w:rsidR="00055071" w:rsidRDefault="00055071" w:rsidP="00055071">
      <w:r>
        <w:t>Select a sampling location that is not shaded by any object and not heavily shielded by surrounding topography, boulders, vegetation, or structures during any significant part of the day, so that the surface remains well exposed to sunlight</w:t>
      </w:r>
      <w:r w:rsidRPr="00D245DC">
        <w:t xml:space="preserve"> </w:t>
      </w:r>
      <w:r>
        <w:t>(</w:t>
      </w:r>
      <w:r w:rsidR="00DB7991">
        <w:t>Fig. S1</w:t>
      </w:r>
      <w:r w:rsidRPr="00D245DC">
        <w:t>a</w:t>
      </w:r>
      <w:r>
        <w:t xml:space="preserve">). Prefer a sampling surface that is flat and horizontal. Prefer sampling from a </w:t>
      </w:r>
      <w:r w:rsidR="00B46E80">
        <w:t>clean, well-exposed surface and avoid locations with intense weathering that produce</w:t>
      </w:r>
      <w:r>
        <w:t xml:space="preserve"> loose material. Avoid sampling where sand, granular weathering products, or other debris cover the host rock surface, </w:t>
      </w:r>
      <w:r w:rsidR="00B46E80">
        <w:t>as this cover alters</w:t>
      </w:r>
      <w:r>
        <w:t xml:space="preserve"> </w:t>
      </w:r>
      <w:r w:rsidR="00B46E80">
        <w:t>adequat</w:t>
      </w:r>
      <w:r>
        <w:t>e light exposure and can disturb the near-surface luminescence signal. Avoid sampling from surfaces with lichen cover or any natural coating layer and record the presence or absence of lichen or other coverings if complete avoidance is not possible (</w:t>
      </w:r>
      <w:r w:rsidR="00DB7991">
        <w:t>Fig. S1</w:t>
      </w:r>
      <w:r>
        <w:t>b). Follow the site-selection logic used in TCN rock exposure dating</w:t>
      </w:r>
      <w:r w:rsidR="00B46E80">
        <w:t>,</w:t>
      </w:r>
      <w:r>
        <w:t xml:space="preserve"> but implement the key contrast that RSLD requires</w:t>
      </w:r>
      <w:r w:rsidR="00B46E80">
        <w:t>:</w:t>
      </w:r>
      <w:r>
        <w:t xml:space="preserve"> collecting a rock block rather than chipping only the exposed surface. Plan sampling to be well away from edges to minimi</w:t>
      </w:r>
      <w:r w:rsidR="00B46E80">
        <w:t>s</w:t>
      </w:r>
      <w:r>
        <w:t>e lateral light penetration into the rock, which can distort the luminescence depth profile, and strictly avoid coring or cut</w:t>
      </w:r>
      <w:r w:rsidR="00B46E80">
        <w:t>ting</w:t>
      </w:r>
      <w:r>
        <w:t xml:space="preserve"> from double-exposed surfaces, such as corners, thin slabs, or blocks with two free faces, where exposure can occur from more than one direction (</w:t>
      </w:r>
      <w:r w:rsidR="00DB7991">
        <w:t>Fig. S1</w:t>
      </w:r>
      <w:r>
        <w:t>b).</w:t>
      </w:r>
    </w:p>
    <w:p w14:paraId="03D9CE1A" w14:textId="35846B8E" w:rsidR="00055071" w:rsidRDefault="00055071" w:rsidP="00055071">
      <w:r>
        <w:t>Before sampling, measure and record the strike and dip at the sampling point on the rock surface, because surface orientation controls incident sunlight and may require correction during calibration or comparison. Prefer sampling from locally flattened portions of the surface and avoid undulat</w:t>
      </w:r>
      <w:r w:rsidR="00B46E80">
        <w:t>ing microtopography to improve coring or cutting precision and reduce micro</w:t>
      </w:r>
      <w:r>
        <w:t xml:space="preserve">shading effects. Choose a cutting </w:t>
      </w:r>
      <w:r>
        <w:lastRenderedPageBreak/>
        <w:t xml:space="preserve">approach that preserves the exposed surface as completely undisturbed, </w:t>
      </w:r>
      <w:r w:rsidR="00B46E80">
        <w:t>as it serves a</w:t>
      </w:r>
      <w:r>
        <w:t>s the reference boundary for the depth profile. If a machine cutter is used, perform cutting with continuous water lubrication to minimi</w:t>
      </w:r>
      <w:r w:rsidR="00B46E80">
        <w:t>s</w:t>
      </w:r>
      <w:r>
        <w:t>e frictional heating between the blade and rock</w:t>
      </w:r>
      <w:r w:rsidR="00B46E80">
        <w:t>, thereby reducing thermally induced signal loss; maintain consistent water flow throughout cutting;</w:t>
      </w:r>
      <w:r>
        <w:t xml:space="preserve"> and avoid dry cutting at any stage. Immediately after extraction, protect the surface portion from chipping, spalling, abrasion, or any mechanical damage, because removal of even </w:t>
      </w:r>
      <w:r w:rsidR="00B46E80">
        <w:t xml:space="preserve">a </w:t>
      </w:r>
      <w:r>
        <w:t xml:space="preserve">small thickness can truncate the near-surface part of the luminescence profile. Prefer a block size of approximately 10 × 10 × 10 cm, then immediately wrap the extracted block in aluminium foil and place it into a light-protected bag or container, keeping it light-protected during transport and storage to avoid signal loss. Where feasible, create a calibration surface on a nearby portion of the same rock body by removing approximately 5 cm of exposed surface material to generate a fresh surface for known-duration exposure, ensure that the calibration and unknown surfaces match in orientation as closely as possible (including strike and dip), and prefer resampling of the calibration surface after a minimum of one year to integrate a </w:t>
      </w:r>
      <w:r w:rsidR="00B46E80">
        <w:t>complete</w:t>
      </w:r>
      <w:r>
        <w:t xml:space="preserve"> annual cycle of insolation exposure and reduce seasonal bias in calibration.</w:t>
      </w:r>
    </w:p>
    <w:p w14:paraId="55C47F67" w14:textId="77777777" w:rsidR="00055071" w:rsidRDefault="00055071" w:rsidP="00055071">
      <w:pPr>
        <w:pStyle w:val="Heading1"/>
      </w:pPr>
      <w:r>
        <w:t>Sample Preparation:</w:t>
      </w:r>
    </w:p>
    <w:p w14:paraId="6E5888F4" w14:textId="77777777" w:rsidR="00055071" w:rsidRPr="005B1899" w:rsidRDefault="00055071" w:rsidP="00055071">
      <w:pPr>
        <w:pStyle w:val="Heading2"/>
      </w:pPr>
      <w:r w:rsidRPr="005B1899">
        <w:t xml:space="preserve">Coring </w:t>
      </w:r>
      <w:r w:rsidRPr="00C03920">
        <w:t>Strategy</w:t>
      </w:r>
      <w:r w:rsidRPr="005B1899">
        <w:t>:</w:t>
      </w:r>
    </w:p>
    <w:p w14:paraId="558AE01E" w14:textId="194169AB" w:rsidR="00055071" w:rsidRDefault="00055071" w:rsidP="00055071">
      <w:r w:rsidRPr="005B1899">
        <w:t>Perform coring under subdued red-light conditions</w:t>
      </w:r>
      <w:r>
        <w:t xml:space="preserve"> and with continuous water lubrication</w:t>
      </w:r>
      <w:r w:rsidRPr="005B1899">
        <w:t xml:space="preserve"> to minimise any inadvertent optical stimulation during sample preparation</w:t>
      </w:r>
      <w:r>
        <w:t xml:space="preserve"> (</w:t>
      </w:r>
      <w:r w:rsidR="00DB7991">
        <w:t>Fig. S1</w:t>
      </w:r>
      <w:r>
        <w:t>c)</w:t>
      </w:r>
      <w:r w:rsidRPr="005B1899">
        <w:t>. Core perpendicular to the flat rock surface, and before drilling, flatten and level the surface using a bubble level so that the drilling axis remains truly normal to the surface. Use a core diameter of 1 cm and drill to a minimum depth of 40–50 cm, ensuring th</w:t>
      </w:r>
      <w:r w:rsidR="00B46E80">
        <w:t>e coring direction remains perpendicular to the</w:t>
      </w:r>
      <w:r w:rsidRPr="005B1899">
        <w:t xml:space="preserve"> surface throughout. Preferentially extract at least two cores from each rock block to provide replication, and place the coring points as close to the block centre as feasible; if central coring is not possible, position cores at least </w:t>
      </w:r>
      <w:r>
        <w:t>1-2</w:t>
      </w:r>
      <w:r w:rsidRPr="005B1899">
        <w:t xml:space="preserve"> cm away from edges, and increase this offset to at least 4–5 cm if the edge may have been laterally exposed in the past. Immediately after extraction, mark each core unambiguously for top and bottom orientation to prevent confusion during subsequent slicing, then dry the cores and store them in light-protected bags until further processing.</w:t>
      </w:r>
    </w:p>
    <w:p w14:paraId="4BC4B2E5" w14:textId="77777777" w:rsidR="00055071" w:rsidRDefault="00055071" w:rsidP="00055071">
      <w:pPr>
        <w:pStyle w:val="Heading2"/>
      </w:pPr>
      <w:r w:rsidRPr="00C03920">
        <w:t>Slicing</w:t>
      </w:r>
      <w:r>
        <w:t xml:space="preserve"> strategy:</w:t>
      </w:r>
    </w:p>
    <w:p w14:paraId="540FC66B" w14:textId="220DEB8B" w:rsidR="00055071" w:rsidRPr="00240F13" w:rsidRDefault="00055071" w:rsidP="00055071">
      <w:r w:rsidRPr="00240F13">
        <w:t>Conduct slicing under subdued red-light conditions to minimise any inadvertent optical stimulation. Slice each core perpendicular to the core axis at nominal 1 mm intervals; if the rock is brittle, increase the interval (e.g., 2–3 mm) to avoid fragmentation while keeping the interval constant within a core whenever possible</w:t>
      </w:r>
      <w:r>
        <w:t xml:space="preserve"> (</w:t>
      </w:r>
      <w:r w:rsidR="00DB7991">
        <w:t>Fig. S1</w:t>
      </w:r>
      <w:r>
        <w:t>d)</w:t>
      </w:r>
      <w:r w:rsidRPr="00240F13">
        <w:t>. Immediately after each cut, assign an unambiguous identifier to every slice (core ID + slice number counted from the exposed surface inward) and maintain the top–bottom orientation mark carried from the core, so that no interchange can occur during handling, storage, or measurement. Measure the thickness of each slice and define the depth of that slice using a centre-to-centre convention, i.e., assign the representative depth of slice i as the cumulative thickness of all overlying slices</w:t>
      </w:r>
      <w:r>
        <w:t xml:space="preserve"> and material depth loss during cut</w:t>
      </w:r>
      <w:r w:rsidR="00B46E80">
        <w:t>,</w:t>
      </w:r>
      <w:r w:rsidRPr="00240F13">
        <w:t xml:space="preserve"> plus half of the slice thickness</w:t>
      </w:r>
      <w:r>
        <w:t>. Based on the existing LDPs from literature</w:t>
      </w:r>
      <w:r w:rsidR="00B46E80">
        <w:t>,</w:t>
      </w:r>
      <w:r>
        <w:t xml:space="preserve"> we suggest slicing up</w:t>
      </w:r>
      <w:r w:rsidR="00B46E80">
        <w:t xml:space="preserve"> </w:t>
      </w:r>
      <w:r>
        <w:t xml:space="preserve">to </w:t>
      </w:r>
      <w:r w:rsidR="00B46E80">
        <w:t xml:space="preserve">a </w:t>
      </w:r>
      <w:r>
        <w:t xml:space="preserve">depth of 30cm, but </w:t>
      </w:r>
      <w:r w:rsidR="00B46E80">
        <w:t xml:space="preserve">the </w:t>
      </w:r>
      <w:r>
        <w:t>depth might change based on exposure conditions. T</w:t>
      </w:r>
      <w:r w:rsidRPr="00240F13">
        <w:t xml:space="preserve">he surface slice (slice 1) </w:t>
      </w:r>
      <w:r w:rsidR="00B46E80">
        <w:t>i</w:t>
      </w:r>
      <w:r w:rsidRPr="00240F13">
        <w:t>s a special case because surface undulation biases Vernier calliper measurements toward the maximum thickness</w:t>
      </w:r>
      <w:r w:rsidR="00B46E80">
        <w:t>;</w:t>
      </w:r>
      <w:r>
        <w:t xml:space="preserve"> thus</w:t>
      </w:r>
      <w:r w:rsidR="00B46E80">
        <w:t>,</w:t>
      </w:r>
      <w:r>
        <w:t xml:space="preserve"> we present </w:t>
      </w:r>
      <w:r w:rsidR="00B46E80">
        <w:t xml:space="preserve">a </w:t>
      </w:r>
      <w:r>
        <w:t>bulk density method for top slice thickness estimation.</w:t>
      </w:r>
    </w:p>
    <w:p w14:paraId="7C3BDECB" w14:textId="77777777" w:rsidR="00055071" w:rsidRDefault="00055071" w:rsidP="00055071">
      <w:pPr>
        <w:pStyle w:val="Heading3"/>
        <w:rPr>
          <w:b/>
          <w:bCs/>
        </w:rPr>
      </w:pPr>
      <w:r w:rsidRPr="00C03920">
        <w:rPr>
          <w:b/>
          <w:bCs/>
        </w:rPr>
        <w:lastRenderedPageBreak/>
        <w:t>Top slice measurement using bulk density:</w:t>
      </w:r>
    </w:p>
    <w:p w14:paraId="130A0265" w14:textId="020A88D4" w:rsidR="00CE42FD" w:rsidRPr="00CE42FD" w:rsidRDefault="00CE42FD" w:rsidP="00CE42FD">
      <w:pPr>
        <w:jc w:val="center"/>
      </w:pPr>
      <w:r>
        <w:rPr>
          <w:noProof/>
        </w:rPr>
        <w:drawing>
          <wp:inline distT="0" distB="0" distL="0" distR="0" wp14:anchorId="692FDFF7" wp14:editId="1C0E51BA">
            <wp:extent cx="6857675" cy="2202873"/>
            <wp:effectExtent l="0" t="0" r="635" b="6985"/>
            <wp:docPr id="3170679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947227" cy="2231640"/>
                    </a:xfrm>
                    <a:prstGeom prst="rect">
                      <a:avLst/>
                    </a:prstGeom>
                    <a:noFill/>
                  </pic:spPr>
                </pic:pic>
              </a:graphicData>
            </a:graphic>
          </wp:inline>
        </w:drawing>
      </w:r>
    </w:p>
    <w:p w14:paraId="1FDF0F7A" w14:textId="13781EA4" w:rsidR="00055071" w:rsidRPr="00EF2379" w:rsidRDefault="00055071" w:rsidP="00055071">
      <w:pPr>
        <w:rPr>
          <w:b/>
          <w:bCs/>
        </w:rPr>
      </w:pPr>
      <w:r>
        <w:rPr>
          <w:b/>
          <w:bCs/>
        </w:rPr>
        <w:t>Figure</w:t>
      </w:r>
      <w:r w:rsidR="00B46E80">
        <w:rPr>
          <w:b/>
          <w:bCs/>
        </w:rPr>
        <w:t xml:space="preserve"> </w:t>
      </w:r>
      <w:r w:rsidR="00CE42FD">
        <w:rPr>
          <w:b/>
          <w:bCs/>
        </w:rPr>
        <w:t>S</w:t>
      </w:r>
      <w:r w:rsidR="00B46E80">
        <w:rPr>
          <w:b/>
          <w:bCs/>
        </w:rPr>
        <w:t>2</w:t>
      </w:r>
      <w:r>
        <w:rPr>
          <w:b/>
          <w:bCs/>
        </w:rPr>
        <w:t xml:space="preserve">: </w:t>
      </w:r>
      <w:r w:rsidR="00CE42FD">
        <w:rPr>
          <w:b/>
          <w:bCs/>
        </w:rPr>
        <w:t>(</w:t>
      </w:r>
      <w:r>
        <w:rPr>
          <w:b/>
          <w:bCs/>
        </w:rPr>
        <w:t>a) The cross</w:t>
      </w:r>
      <w:r w:rsidR="00B46E80">
        <w:rPr>
          <w:b/>
          <w:bCs/>
        </w:rPr>
        <w:t>-</w:t>
      </w:r>
      <w:r>
        <w:rPr>
          <w:b/>
          <w:bCs/>
        </w:rPr>
        <w:t xml:space="preserve">section of </w:t>
      </w:r>
      <w:r w:rsidR="00B46E80">
        <w:rPr>
          <w:b/>
          <w:bCs/>
        </w:rPr>
        <w:t xml:space="preserve">the </w:t>
      </w:r>
      <w:r>
        <w:rPr>
          <w:b/>
          <w:bCs/>
        </w:rPr>
        <w:t>top disc due to roughness and undulation</w:t>
      </w:r>
      <w:r w:rsidR="00B46E80">
        <w:rPr>
          <w:b/>
          <w:bCs/>
        </w:rPr>
        <w:t>,</w:t>
      </w:r>
      <w:r>
        <w:rPr>
          <w:b/>
          <w:bCs/>
        </w:rPr>
        <w:t xml:space="preserve"> which can lead to </w:t>
      </w:r>
      <w:r w:rsidR="00B46E80">
        <w:rPr>
          <w:b/>
          <w:bCs/>
        </w:rPr>
        <w:t xml:space="preserve">an </w:t>
      </w:r>
      <w:r>
        <w:rPr>
          <w:b/>
          <w:bCs/>
        </w:rPr>
        <w:t xml:space="preserve">error in depth measurement using Vernier </w:t>
      </w:r>
      <w:r w:rsidR="00B46E80">
        <w:rPr>
          <w:b/>
          <w:bCs/>
        </w:rPr>
        <w:t>cal</w:t>
      </w:r>
      <w:r>
        <w:rPr>
          <w:b/>
          <w:bCs/>
        </w:rPr>
        <w:t xml:space="preserve">lipers. We suggest using </w:t>
      </w:r>
      <w:r w:rsidR="00B46E80">
        <w:rPr>
          <w:b/>
          <w:bCs/>
        </w:rPr>
        <w:t>the disc's normalised shape</w:t>
      </w:r>
      <w:r>
        <w:rPr>
          <w:b/>
          <w:bCs/>
        </w:rPr>
        <w:t xml:space="preserve">. </w:t>
      </w:r>
      <w:r w:rsidR="00CE42FD">
        <w:rPr>
          <w:b/>
          <w:bCs/>
        </w:rPr>
        <w:t>(</w:t>
      </w:r>
      <w:r>
        <w:rPr>
          <w:b/>
          <w:bCs/>
        </w:rPr>
        <w:t xml:space="preserve">b) The top slice and cylindrical core used for density measurement. </w:t>
      </w:r>
    </w:p>
    <w:p w14:paraId="4B618D5E" w14:textId="302CBAB8" w:rsidR="00055071" w:rsidRPr="00240F13" w:rsidRDefault="00055071" w:rsidP="00425EC3">
      <w:pPr>
        <w:jc w:val="center"/>
      </w:pPr>
    </w:p>
    <w:p w14:paraId="78792503" w14:textId="44A400D0" w:rsidR="00055071" w:rsidRDefault="00055071" w:rsidP="00055071">
      <w:r w:rsidRPr="003755BB">
        <w:t xml:space="preserve">There are </w:t>
      </w:r>
      <w:r w:rsidR="00B46E80">
        <w:t xml:space="preserve">a </w:t>
      </w:r>
      <w:r w:rsidRPr="003755BB">
        <w:t>few assumptions we propose to perform the</w:t>
      </w:r>
      <w:r>
        <w:t xml:space="preserve"> top slice measurement using</w:t>
      </w:r>
      <w:r w:rsidRPr="003755BB">
        <w:t xml:space="preserve"> bulk density: 1) The density of rock is constant throughout. 2) 5% of </w:t>
      </w:r>
      <w:r w:rsidR="00B46E80">
        <w:t xml:space="preserve">the </w:t>
      </w:r>
      <w:r w:rsidRPr="003755BB">
        <w:t xml:space="preserve">weight loss of the top slice in </w:t>
      </w:r>
      <w:r w:rsidR="00B46E80">
        <w:t xml:space="preserve">the </w:t>
      </w:r>
      <w:r w:rsidRPr="003755BB">
        <w:t xml:space="preserve">coring operation. 3) The non-uniform shape of </w:t>
      </w:r>
      <w:r w:rsidR="00B46E80">
        <w:t xml:space="preserve">the </w:t>
      </w:r>
      <w:r w:rsidRPr="003755BB">
        <w:t>top disc is normali</w:t>
      </w:r>
      <w:r w:rsidR="00B46E80">
        <w:t>s</w:t>
      </w:r>
      <w:r w:rsidRPr="003755BB">
        <w:t>ed to an ideal disc</w:t>
      </w:r>
      <w:r w:rsidR="00DB7991">
        <w:t xml:space="preserve"> as shown in Fig. S2a</w:t>
      </w:r>
      <w:r w:rsidRPr="003755BB">
        <w:t>. To calculate the average thickness of the surface slice, first determine the density of the core</w:t>
      </w:r>
      <w:r w:rsidR="00B46E80">
        <w:t>,</w:t>
      </w:r>
      <w:r w:rsidRPr="003755BB">
        <w:t xml:space="preserve"> </w:t>
      </w:r>
      <w:r>
        <w:t xml:space="preserve">which was cut from the main core </w:t>
      </w:r>
      <w:r w:rsidRPr="003755BB">
        <w:t>using an oven-dried standardised subsample. Cut a representative piece of the core to a standard geometry (suggested</w:t>
      </w:r>
      <w:r w:rsidR="00B46E80">
        <w:t>: approximately 2 cm height and 1 cm diameter</w:t>
      </w:r>
      <w:r w:rsidR="00DB7991">
        <w:t xml:space="preserve"> as shown in Fig S2b</w:t>
      </w:r>
      <w:r w:rsidR="00B46E80">
        <w:t>), oven-dry both the subsample and the slices for at least 24 hours at approximately</w:t>
      </w:r>
      <w:r w:rsidRPr="003755BB">
        <w:t xml:space="preserve"> 50 °C, and measure the oven-dried weight on a high-precision balance. Calculate the core density using </w:t>
      </w:r>
      <m:oMath>
        <m:sSub>
          <m:sSubPr>
            <m:ctrlPr>
              <w:rPr>
                <w:rFonts w:ascii="Cambria Math" w:hAnsi="Cambria Math"/>
              </w:rPr>
            </m:ctrlPr>
          </m:sSubPr>
          <m:e>
            <m:r>
              <w:rPr>
                <w:rFonts w:ascii="Cambria Math" w:hAnsi="Cambria Math"/>
              </w:rPr>
              <m:t>ρ</m:t>
            </m:r>
          </m:e>
          <m:sub>
            <m:r>
              <w:rPr>
                <w:rFonts w:ascii="Cambria Math" w:hAnsi="Cambria Math"/>
              </w:rPr>
              <m:t>core</m:t>
            </m:r>
          </m:sub>
        </m:sSub>
        <m:r>
          <w:rPr>
            <w:rFonts w:ascii="Cambria Math" w:hAnsi="Cambria Math"/>
          </w:rPr>
          <m:t>=</m:t>
        </m:r>
        <m:f>
          <m:fPr>
            <m:ctrlPr>
              <w:rPr>
                <w:rFonts w:ascii="Cambria Math" w:hAnsi="Cambria Math"/>
              </w:rPr>
            </m:ctrlPr>
          </m:fPr>
          <m:num>
            <m:r>
              <w:rPr>
                <w:rFonts w:ascii="Cambria Math" w:hAnsi="Cambria Math"/>
              </w:rPr>
              <m:t>4</m:t>
            </m:r>
            <m:sSub>
              <m:sSubPr>
                <m:ctrlPr>
                  <w:rPr>
                    <w:rFonts w:ascii="Cambria Math" w:hAnsi="Cambria Math"/>
                  </w:rPr>
                </m:ctrlPr>
              </m:sSubPr>
              <m:e>
                <m:r>
                  <w:rPr>
                    <w:rFonts w:ascii="Cambria Math" w:hAnsi="Cambria Math"/>
                  </w:rPr>
                  <m:t>W</m:t>
                </m:r>
              </m:e>
              <m:sub>
                <m:r>
                  <w:rPr>
                    <w:rFonts w:ascii="Cambria Math" w:hAnsi="Cambria Math"/>
                  </w:rPr>
                  <m:t>core</m:t>
                </m:r>
              </m:sub>
            </m:sSub>
          </m:num>
          <m:den>
            <m:r>
              <w:rPr>
                <w:rFonts w:ascii="Cambria Math" w:hAnsi="Cambria Math"/>
              </w:rPr>
              <m:t>π</m:t>
            </m:r>
            <m:sSubSup>
              <m:sSubSupPr>
                <m:ctrlPr>
                  <w:rPr>
                    <w:rFonts w:ascii="Cambria Math" w:hAnsi="Cambria Math"/>
                  </w:rPr>
                </m:ctrlPr>
              </m:sSubSupPr>
              <m:e>
                <m:r>
                  <w:rPr>
                    <w:rFonts w:ascii="Cambria Math" w:hAnsi="Cambria Math"/>
                  </w:rPr>
                  <m:t>d</m:t>
                </m:r>
              </m:e>
              <m:sub>
                <m:r>
                  <w:rPr>
                    <w:rFonts w:ascii="Cambria Math" w:hAnsi="Cambria Math"/>
                  </w:rPr>
                  <m:t>core</m:t>
                </m:r>
              </m:sub>
              <m:sup>
                <m:r>
                  <w:rPr>
                    <w:rFonts w:ascii="Cambria Math" w:hAnsi="Cambria Math"/>
                  </w:rPr>
                  <m:t>2</m:t>
                </m:r>
              </m:sup>
            </m:sSubSup>
            <m:sSub>
              <m:sSubPr>
                <m:ctrlPr>
                  <w:rPr>
                    <w:rFonts w:ascii="Cambria Math" w:hAnsi="Cambria Math"/>
                  </w:rPr>
                </m:ctrlPr>
              </m:sSubPr>
              <m:e>
                <m:r>
                  <w:rPr>
                    <w:rFonts w:ascii="Cambria Math" w:hAnsi="Cambria Math"/>
                  </w:rPr>
                  <m:t>h</m:t>
                </m:r>
              </m:e>
              <m:sub>
                <m:r>
                  <w:rPr>
                    <w:rFonts w:ascii="Cambria Math" w:hAnsi="Cambria Math"/>
                  </w:rPr>
                  <m:t>core</m:t>
                </m:r>
              </m:sub>
            </m:sSub>
          </m:den>
        </m:f>
      </m:oMath>
      <w:r w:rsidRPr="003755BB">
        <w:t xml:space="preserve">, where </w:t>
      </w:r>
      <m:oMath>
        <m:sSub>
          <m:sSubPr>
            <m:ctrlPr>
              <w:rPr>
                <w:rFonts w:ascii="Cambria Math" w:hAnsi="Cambria Math"/>
              </w:rPr>
            </m:ctrlPr>
          </m:sSubPr>
          <m:e>
            <m:r>
              <w:rPr>
                <w:rFonts w:ascii="Cambria Math" w:hAnsi="Cambria Math"/>
              </w:rPr>
              <m:t>W</m:t>
            </m:r>
          </m:e>
          <m:sub>
            <m:r>
              <w:rPr>
                <w:rFonts w:ascii="Cambria Math" w:hAnsi="Cambria Math"/>
              </w:rPr>
              <m:t>core</m:t>
            </m:r>
          </m:sub>
        </m:sSub>
      </m:oMath>
      <w:r w:rsidRPr="003755BB">
        <w:t xml:space="preserve">is the dry weight of the standardised core segment, </w:t>
      </w:r>
      <m:oMath>
        <m:sSub>
          <m:sSubPr>
            <m:ctrlPr>
              <w:rPr>
                <w:rFonts w:ascii="Cambria Math" w:hAnsi="Cambria Math"/>
              </w:rPr>
            </m:ctrlPr>
          </m:sSubPr>
          <m:e>
            <m:r>
              <w:rPr>
                <w:rFonts w:ascii="Cambria Math" w:hAnsi="Cambria Math"/>
              </w:rPr>
              <m:t>d</m:t>
            </m:r>
          </m:e>
          <m:sub>
            <m:r>
              <w:rPr>
                <w:rFonts w:ascii="Cambria Math" w:hAnsi="Cambria Math"/>
              </w:rPr>
              <m:t>core</m:t>
            </m:r>
          </m:sub>
        </m:sSub>
      </m:oMath>
      <w:r w:rsidRPr="003755BB">
        <w:t xml:space="preserve">is its diameter, and </w:t>
      </w:r>
      <m:oMath>
        <m:sSub>
          <m:sSubPr>
            <m:ctrlPr>
              <w:rPr>
                <w:rFonts w:ascii="Cambria Math" w:hAnsi="Cambria Math"/>
              </w:rPr>
            </m:ctrlPr>
          </m:sSubPr>
          <m:e>
            <m:r>
              <w:rPr>
                <w:rFonts w:ascii="Cambria Math" w:hAnsi="Cambria Math"/>
              </w:rPr>
              <m:t>h</m:t>
            </m:r>
          </m:e>
          <m:sub>
            <m:r>
              <w:rPr>
                <w:rFonts w:ascii="Cambria Math" w:hAnsi="Cambria Math"/>
              </w:rPr>
              <m:t>core</m:t>
            </m:r>
          </m:sub>
        </m:sSub>
      </m:oMath>
      <w:r w:rsidRPr="003755BB">
        <w:t xml:space="preserve">is its height. Next, measure the oven-dried weight of the top slice on a high-precision balance and apply a correction for material loss during coring by assuming 5% mass loss; incorporate this correction by using a factor of 0.95 in the thickness calculation. Estimate the average slice thickness using </w:t>
      </w:r>
      <m:oMath>
        <m:sSub>
          <m:sSubPr>
            <m:ctrlPr>
              <w:rPr>
                <w:rFonts w:ascii="Cambria Math" w:hAnsi="Cambria Math"/>
              </w:rPr>
            </m:ctrlPr>
          </m:sSubPr>
          <m:e>
            <m:r>
              <w:rPr>
                <w:rFonts w:ascii="Cambria Math" w:hAnsi="Cambria Math"/>
              </w:rPr>
              <m:t>h</m:t>
            </m:r>
          </m:e>
          <m:sub>
            <m:r>
              <w:rPr>
                <w:rFonts w:ascii="Cambria Math" w:hAnsi="Cambria Math"/>
              </w:rPr>
              <m:t>slice</m:t>
            </m:r>
            <m:r>
              <m:rPr>
                <m:sty m:val="p"/>
              </m:rPr>
              <w:rPr>
                <w:rFonts w:ascii="Cambria Math" w:hAnsi="Cambria Math"/>
              </w:rPr>
              <m:t>_</m:t>
            </m:r>
            <m:r>
              <w:rPr>
                <w:rFonts w:ascii="Cambria Math" w:hAnsi="Cambria Math"/>
              </w:rPr>
              <m:t>avg</m:t>
            </m:r>
          </m:sub>
        </m:sSub>
        <m:r>
          <w:rPr>
            <w:rFonts w:ascii="Cambria Math" w:hAnsi="Cambria Math"/>
          </w:rPr>
          <m:t>=</m:t>
        </m:r>
        <m:f>
          <m:fPr>
            <m:ctrlPr>
              <w:rPr>
                <w:rFonts w:ascii="Cambria Math" w:hAnsi="Cambria Math"/>
              </w:rPr>
            </m:ctrlPr>
          </m:fPr>
          <m:num>
            <m:r>
              <w:rPr>
                <w:rFonts w:ascii="Cambria Math" w:hAnsi="Cambria Math"/>
              </w:rPr>
              <m:t>4</m:t>
            </m:r>
            <m:sSub>
              <m:sSubPr>
                <m:ctrlPr>
                  <w:rPr>
                    <w:rFonts w:ascii="Cambria Math" w:hAnsi="Cambria Math"/>
                  </w:rPr>
                </m:ctrlPr>
              </m:sSubPr>
              <m:e>
                <m:r>
                  <w:rPr>
                    <w:rFonts w:ascii="Cambria Math" w:hAnsi="Cambria Math"/>
                  </w:rPr>
                  <m:t>W</m:t>
                </m:r>
              </m:e>
              <m:sub>
                <m:r>
                  <w:rPr>
                    <w:rFonts w:ascii="Cambria Math" w:hAnsi="Cambria Math"/>
                  </w:rPr>
                  <m:t>slice</m:t>
                </m:r>
              </m:sub>
            </m:sSub>
          </m:num>
          <m:den>
            <m:r>
              <w:rPr>
                <w:rFonts w:ascii="Cambria Math" w:hAnsi="Cambria Math"/>
              </w:rPr>
              <m:t>0.95</m:t>
            </m:r>
            <m:r>
              <m:rPr>
                <m:nor/>
              </m:rPr>
              <m:t> </m:t>
            </m:r>
            <m:sSub>
              <m:sSubPr>
                <m:ctrlPr>
                  <w:rPr>
                    <w:rFonts w:ascii="Cambria Math" w:hAnsi="Cambria Math"/>
                  </w:rPr>
                </m:ctrlPr>
              </m:sSubPr>
              <m:e>
                <m:r>
                  <w:rPr>
                    <w:rFonts w:ascii="Cambria Math" w:hAnsi="Cambria Math"/>
                  </w:rPr>
                  <m:t>ρ</m:t>
                </m:r>
              </m:e>
              <m:sub>
                <m:r>
                  <w:rPr>
                    <w:rFonts w:ascii="Cambria Math" w:hAnsi="Cambria Math"/>
                  </w:rPr>
                  <m:t>core</m:t>
                </m:r>
              </m:sub>
            </m:sSub>
            <m:r>
              <m:rPr>
                <m:nor/>
              </m:rPr>
              <m:t> </m:t>
            </m:r>
            <m:r>
              <w:rPr>
                <w:rFonts w:ascii="Cambria Math" w:hAnsi="Cambria Math"/>
              </w:rPr>
              <m:t>π</m:t>
            </m:r>
            <m:sSubSup>
              <m:sSubSupPr>
                <m:ctrlPr>
                  <w:rPr>
                    <w:rFonts w:ascii="Cambria Math" w:hAnsi="Cambria Math"/>
                  </w:rPr>
                </m:ctrlPr>
              </m:sSubSupPr>
              <m:e>
                <m:r>
                  <w:rPr>
                    <w:rFonts w:ascii="Cambria Math" w:hAnsi="Cambria Math"/>
                  </w:rPr>
                  <m:t>d</m:t>
                </m:r>
              </m:e>
              <m:sub>
                <m:r>
                  <w:rPr>
                    <w:rFonts w:ascii="Cambria Math" w:hAnsi="Cambria Math"/>
                  </w:rPr>
                  <m:t>core</m:t>
                </m:r>
              </m:sub>
              <m:sup>
                <m:r>
                  <w:rPr>
                    <w:rFonts w:ascii="Cambria Math" w:hAnsi="Cambria Math"/>
                  </w:rPr>
                  <m:t>2</m:t>
                </m:r>
              </m:sup>
            </m:sSubSup>
          </m:den>
        </m:f>
      </m:oMath>
      <w:r w:rsidRPr="003755BB">
        <w:t xml:space="preserve">, where </w:t>
      </w:r>
      <m:oMath>
        <m:sSub>
          <m:sSubPr>
            <m:ctrlPr>
              <w:rPr>
                <w:rFonts w:ascii="Cambria Math" w:hAnsi="Cambria Math"/>
              </w:rPr>
            </m:ctrlPr>
          </m:sSubPr>
          <m:e>
            <m:r>
              <w:rPr>
                <w:rFonts w:ascii="Cambria Math" w:hAnsi="Cambria Math"/>
              </w:rPr>
              <m:t>W</m:t>
            </m:r>
          </m:e>
          <m:sub>
            <m:r>
              <w:rPr>
                <w:rFonts w:ascii="Cambria Math" w:hAnsi="Cambria Math"/>
              </w:rPr>
              <m:t>slice</m:t>
            </m:r>
          </m:sub>
        </m:sSub>
      </m:oMath>
      <w:r w:rsidRPr="003755BB">
        <w:t xml:space="preserve">is the dry weight of the slice and </w:t>
      </w:r>
      <m:oMath>
        <m:sSub>
          <m:sSubPr>
            <m:ctrlPr>
              <w:rPr>
                <w:rFonts w:ascii="Cambria Math" w:hAnsi="Cambria Math"/>
              </w:rPr>
            </m:ctrlPr>
          </m:sSubPr>
          <m:e>
            <m:r>
              <w:rPr>
                <w:rFonts w:ascii="Cambria Math" w:hAnsi="Cambria Math"/>
              </w:rPr>
              <m:t>d</m:t>
            </m:r>
          </m:e>
          <m:sub>
            <m:r>
              <w:rPr>
                <w:rFonts w:ascii="Cambria Math" w:hAnsi="Cambria Math"/>
              </w:rPr>
              <m:t>core</m:t>
            </m:r>
          </m:sub>
        </m:sSub>
      </m:oMath>
      <w:r w:rsidRPr="003755BB">
        <w:t>is the core diameter. For improved precision, it is advisable to cut the top slice slightly thicker than the nominal interval so that the mass-based thickness estimate remains robust against small-scale surface undulations and minor edge losses.</w:t>
      </w:r>
    </w:p>
    <w:p w14:paraId="5A8DEA6F" w14:textId="77777777" w:rsidR="00055071" w:rsidRDefault="00055071" w:rsidP="00055071">
      <w:pPr>
        <w:pStyle w:val="Heading2"/>
      </w:pPr>
      <w:r>
        <w:t>Luminescence Measurement:</w:t>
      </w:r>
    </w:p>
    <w:p w14:paraId="11679864" w14:textId="1F553910" w:rsidR="00055071" w:rsidRDefault="00055071" w:rsidP="00055071">
      <w:r>
        <w:t xml:space="preserve">For luminescence measurements, rock slices are gently broken into small chips and arranged flat in stainless-steel cups to ensure excellent thermal contact and stable heating, yielding more reliable luminescence signals </w:t>
      </w:r>
      <w:r>
        <w:fldChar w:fldCharType="begin"/>
      </w:r>
      <w:r>
        <w:instrText xml:space="preserve"> ADDIN EN.CITE &lt;EndNote&gt;&lt;Cite&gt;&lt;Author&gt;Elkadi&lt;/Author&gt;&lt;Year&gt;2021&lt;/Year&gt;&lt;RecNum&gt;296&lt;/RecNum&gt;&lt;DisplayText&gt;(Elkadi et al., 2021)&lt;/DisplayText&gt;&lt;record&gt;&lt;rec-number&gt;296&lt;/rec-number&gt;&lt;foreign-keys&gt;&lt;key app="EN" db-id="0wrzspea0tafares9davtfey2srv5ssdxdfd" timestamp="1700801179"&gt;296&lt;/key&gt;&lt;/foreign-keys&gt;&lt;ref-type name="Journal Article"&gt;17&lt;/ref-type&gt;&lt;contributors&gt;&lt;authors&gt;&lt;author&gt;Elkadi, Joanne&lt;/author&gt;&lt;author&gt;King, Georgina E.&lt;/author&gt;&lt;author&gt;Lehmann, Benjamin&lt;/author&gt;&lt;author&gt;Herman, Frédéric&lt;/author&gt;&lt;/authors&gt;&lt;/contributors&gt;&lt;titles&gt;&lt;title&gt;Reducing variability in OSL rock surface dating profiles&lt;/title&gt;&lt;secondary-title&gt;Quaternary Geochronology&lt;/secondary-title&gt;&lt;/titles&gt;&lt;periodical&gt;&lt;full-title&gt;Quaternary Geochronology&lt;/full-title&gt;&lt;/periodical&gt;&lt;pages&gt;101169&lt;/pages&gt;&lt;volume&gt;64&lt;/volume&gt;&lt;dates&gt;&lt;year&gt;2021&lt;/year&gt;&lt;/dates&gt;&lt;accession-num&gt;pub.1136579783&lt;/accession-num&gt;&lt;urls&gt;&lt;related-urls&gt;&lt;url&gt;https://app.dimensions.ai/details/publication/pub.1136579783&lt;/url&gt;&lt;url&gt;https://doi.org/10.31223/x51p5h&lt;/url&gt;&lt;/related-urls&gt;&lt;/urls&gt;&lt;electronic-resource-num&gt;10.1016/j.quageo.2021.101169&lt;/electronic-resource-num&gt;&lt;access-date&gt;2023/11/24&lt;/access-date&gt;&lt;/record&gt;&lt;/Cite&gt;&lt;/EndNote&gt;</w:instrText>
      </w:r>
      <w:r>
        <w:fldChar w:fldCharType="separate"/>
      </w:r>
      <w:r>
        <w:rPr>
          <w:noProof/>
        </w:rPr>
        <w:t>(Elkadi et al., 2021)</w:t>
      </w:r>
      <w:r>
        <w:fldChar w:fldCharType="end"/>
      </w:r>
      <w:r>
        <w:t xml:space="preserve">. Luminescence is then measured using the modified rock-slice SAR protocol </w:t>
      </w:r>
      <w:r>
        <w:fldChar w:fldCharType="begin"/>
      </w:r>
      <w:r>
        <w:instrText xml:space="preserve"> ADDIN EN.CITE &lt;EndNote&gt;&lt;Cite&gt;&lt;Author&gt;Jenkins&lt;/Author&gt;&lt;Year&gt;2018&lt;/Year&gt;&lt;RecNum&gt;22&lt;/RecNum&gt;&lt;DisplayText&gt;(Jenkins et al., 2018)&lt;/DisplayText&gt;&lt;record&gt;&lt;rec-number&gt;22&lt;/rec-number&gt;&lt;foreign-keys&gt;&lt;key app="EN" db-id="0wrzspea0tafares9davtfey2srv5ssdxdfd" timestamp="1699188081"&gt;22&lt;/key&gt;&lt;/foreign-keys&gt;&lt;ref-type name="Journal Article"&gt;17&lt;/ref-type&gt;&lt;contributors&gt;&lt;authors&gt;&lt;author&gt;Jenkins, G. T. H.&lt;/author&gt;&lt;author&gt;Duller, G. A. T.&lt;/author&gt;&lt;author&gt;Roberts, H. M.&lt;/author&gt;&lt;author&gt;Chiverrell, R. C.&lt;/author&gt;&lt;author&gt;Glasser, N. F.&lt;/author&gt;&lt;/authors&gt;&lt;/contributors&gt;&lt;titles&gt;&lt;title&gt;A new approach for luminescence dating glaciofluvial deposits - High precision optical dating of cobbles&lt;/title&gt;&lt;secondary-title&gt;Quaternary Science Reviews&lt;/secondary-title&gt;&lt;/titles&gt;&lt;periodical&gt;&lt;full-title&gt;Quaternary Science Reviews&lt;/full-title&gt;&lt;/periodical&gt;&lt;pages&gt;263-273&lt;/pages&gt;&lt;volume&gt;192&lt;/volume&gt;&lt;keywords&gt;&lt;keyword&gt;Quaternary&lt;/keyword&gt;&lt;keyword&gt;Glaciation&lt;/keyword&gt;&lt;keyword&gt;Europe&lt;/keyword&gt;&lt;keyword&gt;Optical methods&lt;/keyword&gt;&lt;keyword&gt;Clasts&lt;/keyword&gt;&lt;keyword&gt;Feldspar&lt;/keyword&gt;&lt;keyword&gt;Heterogeneous bleaching&lt;/keyword&gt;&lt;/keywords&gt;&lt;dates&gt;&lt;year&gt;2018&lt;/year&gt;&lt;pub-dates&gt;&lt;date&gt;2018/07/15/&lt;/date&gt;&lt;/pub-dates&gt;&lt;/dates&gt;&lt;isbn&gt;0277-3791&lt;/isbn&gt;&lt;urls&gt;&lt;related-urls&gt;&lt;url&gt;https://www.sciencedirect.com/science/article/pii/S0277379118301008&lt;/url&gt;&lt;/related-urls&gt;&lt;/urls&gt;&lt;electronic-resource-num&gt;https://doi.org/10.1016/j.quascirev.2018.05.036&lt;/electronic-resource-num&gt;&lt;/record&gt;&lt;/Cite&gt;&lt;/EndNote&gt;</w:instrText>
      </w:r>
      <w:r>
        <w:fldChar w:fldCharType="separate"/>
      </w:r>
      <w:r>
        <w:rPr>
          <w:noProof/>
        </w:rPr>
        <w:t>(Jenkins et al., 2018)</w:t>
      </w:r>
      <w:r>
        <w:fldChar w:fldCharType="end"/>
      </w:r>
      <w:r>
        <w:t xml:space="preserve"> (Table </w:t>
      </w:r>
      <w:r w:rsidR="00DB7991">
        <w:t>S</w:t>
      </w:r>
      <w:r>
        <w:t>1), optimised for high-quality RSLD depth profiles. The key distinctions from standard feldspar SAR are a long pause time (~100 s) before measurement, longer signal integration, and a reduced heating rate. The example shown is a luminescence depth profile with depth on the x-axis and Lx/Tx on the y-axis, where the maroon curve represents a sigmoidal fit to the experimental data.</w:t>
      </w:r>
    </w:p>
    <w:p w14:paraId="4E4DF5AA" w14:textId="43E76688" w:rsidR="00055071" w:rsidRPr="0031033D" w:rsidRDefault="00055071" w:rsidP="00055071">
      <w:pPr>
        <w:rPr>
          <w:b/>
          <w:bCs/>
        </w:rPr>
      </w:pPr>
      <w:r>
        <w:rPr>
          <w:b/>
          <w:bCs/>
        </w:rPr>
        <w:t>Table</w:t>
      </w:r>
      <w:r w:rsidR="00DB7991">
        <w:rPr>
          <w:b/>
          <w:bCs/>
        </w:rPr>
        <w:t xml:space="preserve"> S1</w:t>
      </w:r>
      <w:r>
        <w:rPr>
          <w:b/>
          <w:bCs/>
        </w:rPr>
        <w:t xml:space="preserve">: The modified SAR protocol for luminescence measurements of rock slices. </w:t>
      </w:r>
    </w:p>
    <w:tbl>
      <w:tblPr>
        <w:tblStyle w:val="TableGrid"/>
        <w:tblW w:w="5000" w:type="pct"/>
        <w:tblLook w:val="04A0" w:firstRow="1" w:lastRow="0" w:firstColumn="1" w:lastColumn="0" w:noHBand="0" w:noVBand="1"/>
      </w:tblPr>
      <w:tblGrid>
        <w:gridCol w:w="844"/>
        <w:gridCol w:w="8850"/>
        <w:gridCol w:w="1096"/>
      </w:tblGrid>
      <w:tr w:rsidR="00055071" w14:paraId="612E1337" w14:textId="77777777" w:rsidTr="004D4675">
        <w:tc>
          <w:tcPr>
            <w:tcW w:w="391" w:type="pct"/>
          </w:tcPr>
          <w:p w14:paraId="1FD66396" w14:textId="77777777" w:rsidR="00055071" w:rsidRPr="00C03920" w:rsidRDefault="00055071" w:rsidP="004D4675">
            <w:pPr>
              <w:rPr>
                <w:b/>
                <w:bCs/>
              </w:rPr>
            </w:pPr>
            <w:r w:rsidRPr="00C03920">
              <w:rPr>
                <w:b/>
                <w:bCs/>
              </w:rPr>
              <w:t>Step</w:t>
            </w:r>
          </w:p>
        </w:tc>
        <w:tc>
          <w:tcPr>
            <w:tcW w:w="4101" w:type="pct"/>
          </w:tcPr>
          <w:p w14:paraId="7EB72963" w14:textId="77777777" w:rsidR="00055071" w:rsidRPr="00C03920" w:rsidRDefault="00055071" w:rsidP="004D4675">
            <w:pPr>
              <w:rPr>
                <w:b/>
                <w:bCs/>
              </w:rPr>
            </w:pPr>
            <w:r w:rsidRPr="00C03920">
              <w:rPr>
                <w:b/>
                <w:bCs/>
              </w:rPr>
              <w:t>Description</w:t>
            </w:r>
          </w:p>
        </w:tc>
        <w:tc>
          <w:tcPr>
            <w:tcW w:w="508" w:type="pct"/>
          </w:tcPr>
          <w:p w14:paraId="53BBA822" w14:textId="77777777" w:rsidR="00055071" w:rsidRPr="00C03920" w:rsidRDefault="00055071" w:rsidP="004D4675">
            <w:pPr>
              <w:rPr>
                <w:b/>
                <w:bCs/>
              </w:rPr>
            </w:pPr>
            <w:r w:rsidRPr="00C03920">
              <w:rPr>
                <w:b/>
                <w:bCs/>
              </w:rPr>
              <w:t>Signal</w:t>
            </w:r>
          </w:p>
        </w:tc>
      </w:tr>
      <w:tr w:rsidR="00055071" w14:paraId="130044F3" w14:textId="77777777" w:rsidTr="004D4675">
        <w:tc>
          <w:tcPr>
            <w:tcW w:w="391" w:type="pct"/>
          </w:tcPr>
          <w:p w14:paraId="3FA41047" w14:textId="77777777" w:rsidR="00055071" w:rsidRDefault="00055071" w:rsidP="004D4675">
            <w:r>
              <w:lastRenderedPageBreak/>
              <w:t>1</w:t>
            </w:r>
          </w:p>
        </w:tc>
        <w:tc>
          <w:tcPr>
            <w:tcW w:w="4101" w:type="pct"/>
          </w:tcPr>
          <w:p w14:paraId="141151D5" w14:textId="77777777" w:rsidR="00055071" w:rsidRDefault="00055071" w:rsidP="004D4675">
            <w:r>
              <w:t>No dose in cycle 1 – different regenerative doses in later cycles</w:t>
            </w:r>
          </w:p>
        </w:tc>
        <w:tc>
          <w:tcPr>
            <w:tcW w:w="508" w:type="pct"/>
          </w:tcPr>
          <w:p w14:paraId="777D0A47" w14:textId="77777777" w:rsidR="00055071" w:rsidRDefault="00055071" w:rsidP="004D4675"/>
        </w:tc>
      </w:tr>
      <w:tr w:rsidR="00055071" w14:paraId="0D9795EC" w14:textId="77777777" w:rsidTr="004D4675">
        <w:tc>
          <w:tcPr>
            <w:tcW w:w="391" w:type="pct"/>
          </w:tcPr>
          <w:p w14:paraId="0C61DB33" w14:textId="77777777" w:rsidR="00055071" w:rsidRDefault="00055071" w:rsidP="004D4675">
            <w:r>
              <w:t>2</w:t>
            </w:r>
          </w:p>
        </w:tc>
        <w:tc>
          <w:tcPr>
            <w:tcW w:w="4101" w:type="pct"/>
          </w:tcPr>
          <w:p w14:paraId="2122DA7E" w14:textId="77777777" w:rsidR="00055071" w:rsidRDefault="00055071" w:rsidP="004D4675">
            <w:r>
              <w:t>Preheat to 250 °C at 1 °C/s and hold for 100 s</w:t>
            </w:r>
          </w:p>
        </w:tc>
        <w:tc>
          <w:tcPr>
            <w:tcW w:w="508" w:type="pct"/>
          </w:tcPr>
          <w:p w14:paraId="5124D8A2" w14:textId="77777777" w:rsidR="00055071" w:rsidRDefault="00055071" w:rsidP="004D4675"/>
        </w:tc>
      </w:tr>
      <w:tr w:rsidR="00055071" w14:paraId="48E80D8C" w14:textId="77777777" w:rsidTr="004D4675">
        <w:tc>
          <w:tcPr>
            <w:tcW w:w="391" w:type="pct"/>
          </w:tcPr>
          <w:p w14:paraId="0B5F34C3" w14:textId="77777777" w:rsidR="00055071" w:rsidRDefault="00055071" w:rsidP="004D4675">
            <w:r>
              <w:t>3</w:t>
            </w:r>
          </w:p>
        </w:tc>
        <w:tc>
          <w:tcPr>
            <w:tcW w:w="4101" w:type="pct"/>
          </w:tcPr>
          <w:p w14:paraId="5E77CEE4" w14:textId="77777777" w:rsidR="00055071" w:rsidRDefault="00055071" w:rsidP="004D4675">
            <w:r>
              <w:t>Heat to 50 °C at 1 °C/s, pause for 100 s, and measure IRSL for 200 s</w:t>
            </w:r>
          </w:p>
        </w:tc>
        <w:tc>
          <w:tcPr>
            <w:tcW w:w="508" w:type="pct"/>
          </w:tcPr>
          <w:p w14:paraId="3548E78E" w14:textId="77777777" w:rsidR="00055071" w:rsidRPr="0058464D" w:rsidRDefault="00055071" w:rsidP="004D4675">
            <w:pPr>
              <w:rPr>
                <w:i/>
                <w:iCs/>
              </w:rPr>
            </w:pPr>
            <w:r w:rsidRPr="0058464D">
              <w:rPr>
                <w:i/>
                <w:iCs/>
              </w:rPr>
              <w:t>L</w:t>
            </w:r>
            <w:r w:rsidRPr="0058464D">
              <w:rPr>
                <w:i/>
                <w:iCs/>
                <w:vertAlign w:val="subscript"/>
              </w:rPr>
              <w:t>x50</w:t>
            </w:r>
          </w:p>
        </w:tc>
      </w:tr>
      <w:tr w:rsidR="00055071" w14:paraId="6252ED38" w14:textId="77777777" w:rsidTr="004D4675">
        <w:tc>
          <w:tcPr>
            <w:tcW w:w="391" w:type="pct"/>
          </w:tcPr>
          <w:p w14:paraId="095CA155" w14:textId="77777777" w:rsidR="00055071" w:rsidRDefault="00055071" w:rsidP="004D4675">
            <w:r>
              <w:t>4</w:t>
            </w:r>
          </w:p>
        </w:tc>
        <w:tc>
          <w:tcPr>
            <w:tcW w:w="4101" w:type="pct"/>
          </w:tcPr>
          <w:p w14:paraId="41A5FBD1" w14:textId="77777777" w:rsidR="00055071" w:rsidRDefault="00055071" w:rsidP="004D4675">
            <w:r>
              <w:t>Heat to 225 °C at 1 °C/s, pause for 100 s, and measure IRSL for 200 s</w:t>
            </w:r>
          </w:p>
        </w:tc>
        <w:tc>
          <w:tcPr>
            <w:tcW w:w="508" w:type="pct"/>
          </w:tcPr>
          <w:p w14:paraId="17BA54C6" w14:textId="77777777" w:rsidR="00055071" w:rsidRPr="0058464D" w:rsidRDefault="00055071" w:rsidP="004D4675">
            <w:pPr>
              <w:rPr>
                <w:i/>
                <w:iCs/>
              </w:rPr>
            </w:pPr>
            <w:r w:rsidRPr="0058464D">
              <w:rPr>
                <w:i/>
                <w:iCs/>
              </w:rPr>
              <w:t>L</w:t>
            </w:r>
            <w:r w:rsidRPr="0058464D">
              <w:rPr>
                <w:i/>
                <w:iCs/>
                <w:vertAlign w:val="subscript"/>
              </w:rPr>
              <w:t>x225</w:t>
            </w:r>
          </w:p>
        </w:tc>
      </w:tr>
      <w:tr w:rsidR="00055071" w14:paraId="04CD03F2" w14:textId="77777777" w:rsidTr="004D4675">
        <w:tc>
          <w:tcPr>
            <w:tcW w:w="391" w:type="pct"/>
          </w:tcPr>
          <w:p w14:paraId="22636D83" w14:textId="77777777" w:rsidR="00055071" w:rsidRDefault="00055071" w:rsidP="004D4675">
            <w:r>
              <w:t>5</w:t>
            </w:r>
          </w:p>
        </w:tc>
        <w:tc>
          <w:tcPr>
            <w:tcW w:w="4101" w:type="pct"/>
          </w:tcPr>
          <w:p w14:paraId="5B6D1135" w14:textId="77777777" w:rsidR="00055071" w:rsidRDefault="00055071" w:rsidP="004D4675">
            <w:r>
              <w:t>Test dose (34 Gy)</w:t>
            </w:r>
          </w:p>
        </w:tc>
        <w:tc>
          <w:tcPr>
            <w:tcW w:w="508" w:type="pct"/>
          </w:tcPr>
          <w:p w14:paraId="0239F733" w14:textId="77777777" w:rsidR="00055071" w:rsidRPr="0058464D" w:rsidRDefault="00055071" w:rsidP="004D4675">
            <w:pPr>
              <w:rPr>
                <w:i/>
                <w:iCs/>
              </w:rPr>
            </w:pPr>
          </w:p>
        </w:tc>
      </w:tr>
      <w:tr w:rsidR="00055071" w14:paraId="03643B99" w14:textId="77777777" w:rsidTr="004D4675">
        <w:tc>
          <w:tcPr>
            <w:tcW w:w="391" w:type="pct"/>
          </w:tcPr>
          <w:p w14:paraId="481D1908" w14:textId="77777777" w:rsidR="00055071" w:rsidRDefault="00055071" w:rsidP="004D4675">
            <w:r>
              <w:t>6</w:t>
            </w:r>
          </w:p>
        </w:tc>
        <w:tc>
          <w:tcPr>
            <w:tcW w:w="4101" w:type="pct"/>
          </w:tcPr>
          <w:p w14:paraId="1F5628A2" w14:textId="77777777" w:rsidR="00055071" w:rsidRDefault="00055071" w:rsidP="004D4675">
            <w:r>
              <w:t>Preheat to 250 °C at 1 °C/s and hold for 100 s</w:t>
            </w:r>
          </w:p>
        </w:tc>
        <w:tc>
          <w:tcPr>
            <w:tcW w:w="508" w:type="pct"/>
          </w:tcPr>
          <w:p w14:paraId="47618626" w14:textId="77777777" w:rsidR="00055071" w:rsidRPr="0058464D" w:rsidRDefault="00055071" w:rsidP="004D4675">
            <w:pPr>
              <w:rPr>
                <w:i/>
                <w:iCs/>
              </w:rPr>
            </w:pPr>
          </w:p>
        </w:tc>
      </w:tr>
      <w:tr w:rsidR="00055071" w14:paraId="63CEA126" w14:textId="77777777" w:rsidTr="004D4675">
        <w:tc>
          <w:tcPr>
            <w:tcW w:w="391" w:type="pct"/>
          </w:tcPr>
          <w:p w14:paraId="374EFD40" w14:textId="77777777" w:rsidR="00055071" w:rsidRDefault="00055071" w:rsidP="004D4675">
            <w:r>
              <w:t>7</w:t>
            </w:r>
          </w:p>
        </w:tc>
        <w:tc>
          <w:tcPr>
            <w:tcW w:w="4101" w:type="pct"/>
          </w:tcPr>
          <w:p w14:paraId="6C566194" w14:textId="77777777" w:rsidR="00055071" w:rsidRDefault="00055071" w:rsidP="004D4675">
            <w:r>
              <w:t>Heat to 50 °C at 1 °C/s, pause for 100 s, and measure IRSL for 200 s</w:t>
            </w:r>
          </w:p>
        </w:tc>
        <w:tc>
          <w:tcPr>
            <w:tcW w:w="508" w:type="pct"/>
          </w:tcPr>
          <w:p w14:paraId="48EA6918" w14:textId="77777777" w:rsidR="00055071" w:rsidRPr="0058464D" w:rsidRDefault="00055071" w:rsidP="004D4675">
            <w:pPr>
              <w:rPr>
                <w:i/>
                <w:iCs/>
              </w:rPr>
            </w:pPr>
            <w:r w:rsidRPr="0058464D">
              <w:rPr>
                <w:i/>
                <w:iCs/>
              </w:rPr>
              <w:t>T</w:t>
            </w:r>
            <w:r w:rsidRPr="0058464D">
              <w:rPr>
                <w:i/>
                <w:iCs/>
                <w:vertAlign w:val="subscript"/>
              </w:rPr>
              <w:t>x50</w:t>
            </w:r>
          </w:p>
        </w:tc>
      </w:tr>
      <w:tr w:rsidR="00055071" w14:paraId="2CC442AD" w14:textId="77777777" w:rsidTr="004D4675">
        <w:tc>
          <w:tcPr>
            <w:tcW w:w="391" w:type="pct"/>
          </w:tcPr>
          <w:p w14:paraId="09090A12" w14:textId="77777777" w:rsidR="00055071" w:rsidRDefault="00055071" w:rsidP="004D4675">
            <w:r>
              <w:t>8</w:t>
            </w:r>
          </w:p>
        </w:tc>
        <w:tc>
          <w:tcPr>
            <w:tcW w:w="4101" w:type="pct"/>
          </w:tcPr>
          <w:p w14:paraId="3AD41128" w14:textId="77777777" w:rsidR="00055071" w:rsidRDefault="00055071" w:rsidP="004D4675">
            <w:r>
              <w:t>Heat to 225 °C at 1 °C/s, pause for 100 s, and measure IRSL for 200 s</w:t>
            </w:r>
          </w:p>
        </w:tc>
        <w:tc>
          <w:tcPr>
            <w:tcW w:w="508" w:type="pct"/>
          </w:tcPr>
          <w:p w14:paraId="74A30358" w14:textId="77777777" w:rsidR="00055071" w:rsidRPr="0058464D" w:rsidRDefault="00055071" w:rsidP="004D4675">
            <w:pPr>
              <w:rPr>
                <w:i/>
                <w:iCs/>
              </w:rPr>
            </w:pPr>
            <w:r w:rsidRPr="0058464D">
              <w:rPr>
                <w:i/>
                <w:iCs/>
              </w:rPr>
              <w:t>T</w:t>
            </w:r>
            <w:r w:rsidRPr="0058464D">
              <w:rPr>
                <w:i/>
                <w:iCs/>
                <w:vertAlign w:val="subscript"/>
              </w:rPr>
              <w:t>x225</w:t>
            </w:r>
          </w:p>
        </w:tc>
      </w:tr>
      <w:tr w:rsidR="00055071" w14:paraId="364F020F" w14:textId="77777777" w:rsidTr="004D4675">
        <w:trPr>
          <w:trHeight w:val="44"/>
        </w:trPr>
        <w:tc>
          <w:tcPr>
            <w:tcW w:w="391" w:type="pct"/>
          </w:tcPr>
          <w:p w14:paraId="003EBC7F" w14:textId="77777777" w:rsidR="00055071" w:rsidRDefault="00055071" w:rsidP="004D4675">
            <w:r>
              <w:t>9</w:t>
            </w:r>
          </w:p>
        </w:tc>
        <w:tc>
          <w:tcPr>
            <w:tcW w:w="4101" w:type="pct"/>
          </w:tcPr>
          <w:p w14:paraId="01D1F8DB" w14:textId="77777777" w:rsidR="00055071" w:rsidRDefault="00055071" w:rsidP="004D4675">
            <w:r>
              <w:t>Heat to 280 °C at 1 °C/s, pause for 100 s, and measure IRSL for 200 s</w:t>
            </w:r>
          </w:p>
        </w:tc>
        <w:tc>
          <w:tcPr>
            <w:tcW w:w="508" w:type="pct"/>
          </w:tcPr>
          <w:p w14:paraId="6F449D2F" w14:textId="77777777" w:rsidR="00055071" w:rsidRDefault="00055071" w:rsidP="004D4675"/>
        </w:tc>
      </w:tr>
      <w:tr w:rsidR="00055071" w14:paraId="0E7767F5" w14:textId="77777777" w:rsidTr="004D4675">
        <w:tc>
          <w:tcPr>
            <w:tcW w:w="391" w:type="pct"/>
          </w:tcPr>
          <w:p w14:paraId="100EC5F4" w14:textId="77777777" w:rsidR="00055071" w:rsidRDefault="00055071" w:rsidP="004D4675">
            <w:r>
              <w:t>10</w:t>
            </w:r>
          </w:p>
        </w:tc>
        <w:tc>
          <w:tcPr>
            <w:tcW w:w="4101" w:type="pct"/>
          </w:tcPr>
          <w:p w14:paraId="21CCE694" w14:textId="77777777" w:rsidR="00055071" w:rsidRDefault="00055071" w:rsidP="004D4675">
            <w:r>
              <w:t>Repeat cycles 1–9 for different regenerative doses in step 1</w:t>
            </w:r>
          </w:p>
        </w:tc>
        <w:tc>
          <w:tcPr>
            <w:tcW w:w="508" w:type="pct"/>
          </w:tcPr>
          <w:p w14:paraId="4CB67370" w14:textId="77777777" w:rsidR="00055071" w:rsidRDefault="00055071" w:rsidP="004D4675"/>
        </w:tc>
      </w:tr>
    </w:tbl>
    <w:p w14:paraId="15DBD46F" w14:textId="77777777" w:rsidR="00055071" w:rsidRDefault="00055071" w:rsidP="00055071"/>
    <w:p w14:paraId="2D71632B" w14:textId="51AD5D4B" w:rsidR="00055071" w:rsidRDefault="00D87801" w:rsidP="00055071">
      <w:pPr>
        <w:rPr>
          <w:b/>
          <w:bCs/>
        </w:rPr>
      </w:pPr>
      <w:r w:rsidRPr="0031033D">
        <w:rPr>
          <w:noProof/>
        </w:rPr>
        <w:drawing>
          <wp:anchor distT="0" distB="0" distL="114300" distR="114300" simplePos="0" relativeHeight="251658240" behindDoc="0" locked="0" layoutInCell="1" allowOverlap="1" wp14:anchorId="02E0EEC6" wp14:editId="1E24A879">
            <wp:simplePos x="0" y="0"/>
            <wp:positionH relativeFrom="column">
              <wp:posOffset>0</wp:posOffset>
            </wp:positionH>
            <wp:positionV relativeFrom="paragraph">
              <wp:posOffset>1905</wp:posOffset>
            </wp:positionV>
            <wp:extent cx="2346960" cy="2341548"/>
            <wp:effectExtent l="0" t="0" r="0" b="1905"/>
            <wp:wrapTopAndBottom/>
            <wp:docPr id="5" name="Picture 4" descr="A screenshot of a computer&#10;&#10;AI-generated content may be incorrect.">
              <a:extLst xmlns:a="http://schemas.openxmlformats.org/drawingml/2006/main">
                <a:ext uri="{FF2B5EF4-FFF2-40B4-BE49-F238E27FC236}">
                  <a16:creationId xmlns:a16="http://schemas.microsoft.com/office/drawing/2014/main" id="{672B77AA-032F-0A14-5EC4-8F2CF16337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screenshot of a computer&#10;&#10;AI-generated content may be incorrect.">
                      <a:extLst>
                        <a:ext uri="{FF2B5EF4-FFF2-40B4-BE49-F238E27FC236}">
                          <a16:creationId xmlns:a16="http://schemas.microsoft.com/office/drawing/2014/main" id="{672B77AA-032F-0A14-5EC4-8F2CF16337A0}"/>
                        </a:ext>
                      </a:extLst>
                    </pic:cNvPr>
                    <pic:cNvPicPr>
                      <a:picLocks noChangeAspect="1"/>
                    </pic:cNvPicPr>
                  </pic:nvPicPr>
                  <pic:blipFill>
                    <a:blip r:embed="rId9" cstate="print">
                      <a:extLst>
                        <a:ext uri="{28A0092B-C50C-407E-A947-70E740481C1C}">
                          <a14:useLocalDpi xmlns:a14="http://schemas.microsoft.com/office/drawing/2010/main" val="0"/>
                        </a:ext>
                      </a:extLst>
                    </a:blip>
                    <a:srcRect l="74931" t="29760" r="9428" b="52614"/>
                    <a:stretch>
                      <a:fillRect/>
                    </a:stretch>
                  </pic:blipFill>
                  <pic:spPr>
                    <a:xfrm>
                      <a:off x="0" y="0"/>
                      <a:ext cx="2346960" cy="2341548"/>
                    </a:xfrm>
                    <a:prstGeom prst="rect">
                      <a:avLst/>
                    </a:prstGeom>
                  </pic:spPr>
                </pic:pic>
              </a:graphicData>
            </a:graphic>
          </wp:anchor>
        </w:drawing>
      </w:r>
      <w:r w:rsidR="00055071">
        <w:rPr>
          <w:b/>
          <w:bCs/>
        </w:rPr>
        <w:t xml:space="preserve">Figure </w:t>
      </w:r>
      <w:r w:rsidR="00CE42FD">
        <w:rPr>
          <w:b/>
          <w:bCs/>
        </w:rPr>
        <w:t>S3</w:t>
      </w:r>
      <w:r w:rsidR="00055071">
        <w:rPr>
          <w:b/>
          <w:bCs/>
        </w:rPr>
        <w:t xml:space="preserve">: The experimental LDP (hollow circle) of 1 </w:t>
      </w:r>
      <w:r w:rsidR="00B46E80">
        <w:rPr>
          <w:b/>
          <w:bCs/>
        </w:rPr>
        <w:t>a</w:t>
      </w:r>
      <w:r w:rsidR="00055071">
        <w:rPr>
          <w:b/>
          <w:bCs/>
        </w:rPr>
        <w:t xml:space="preserve"> </w:t>
      </w:r>
      <w:r w:rsidR="00B46E80">
        <w:rPr>
          <w:b/>
          <w:bCs/>
        </w:rPr>
        <w:t>1-year-</w:t>
      </w:r>
      <w:r w:rsidR="00055071">
        <w:rPr>
          <w:b/>
          <w:bCs/>
        </w:rPr>
        <w:t xml:space="preserve">old sample established using modified SAR. The datapoints show </w:t>
      </w:r>
      <w:r w:rsidR="00B3391D">
        <w:rPr>
          <w:b/>
          <w:bCs/>
        </w:rPr>
        <w:t>insignificant</w:t>
      </w:r>
      <w:r w:rsidR="00055071">
        <w:rPr>
          <w:b/>
          <w:bCs/>
        </w:rPr>
        <w:t xml:space="preserve"> scatter and smoothly follow the sigmoidal curve. </w:t>
      </w:r>
    </w:p>
    <w:p w14:paraId="71F62EFA" w14:textId="41FB95A4" w:rsidR="00055071" w:rsidRDefault="00055071" w:rsidP="00055071"/>
    <w:p w14:paraId="03C64E1B" w14:textId="77777777" w:rsidR="00055071" w:rsidRDefault="00055071" w:rsidP="00055071">
      <w:pPr>
        <w:pStyle w:val="Heading1"/>
      </w:pPr>
      <w:r>
        <w:t>Modelling aspect and CoRSEER.</w:t>
      </w:r>
    </w:p>
    <w:p w14:paraId="241F05EB" w14:textId="32186568" w:rsidR="00B31DFE" w:rsidRDefault="000D7E87" w:rsidP="000D7E87">
      <w:pPr>
        <w:rPr>
          <w:lang w:val="en-IN"/>
        </w:rPr>
      </w:pPr>
      <w:r w:rsidRPr="00FD1C3D">
        <w:t>In rock surface luminescence dating, forward-inverse mode</w:t>
      </w:r>
      <w:r w:rsidR="00B46E80">
        <w:t>l</w:t>
      </w:r>
      <w:r w:rsidRPr="00FD1C3D">
        <w:t xml:space="preserve">ling is used to estimate </w:t>
      </w:r>
      <w:r w:rsidR="006F3E7E">
        <w:t xml:space="preserve">calibration parameters, </w:t>
      </w:r>
      <w:r w:rsidRPr="00FD1C3D">
        <w:t xml:space="preserve">past exposure duration and erosion rate by simulating how luminescence signals evolve within the rock over time and comparing them to measured depth profiles. The forward model simulates signal accumulation and bleaching using known or </w:t>
      </w:r>
      <w:r w:rsidR="006F3E7E">
        <w:t>experimentally derived</w:t>
      </w:r>
      <w:r w:rsidRPr="00FD1C3D">
        <w:t xml:space="preserve"> parameters. The inverse model adjusts these parameters iteratively to minimi</w:t>
      </w:r>
      <w:r>
        <w:t>s</w:t>
      </w:r>
      <w:r w:rsidRPr="00FD1C3D">
        <w:t>e the misfit</w:t>
      </w:r>
      <w:r w:rsidR="006F3E7E">
        <w:t xml:space="preserve"> and </w:t>
      </w:r>
      <w:r w:rsidR="00B46E80">
        <w:t xml:space="preserve">is </w:t>
      </w:r>
      <w:r w:rsidRPr="00FD1C3D">
        <w:t xml:space="preserve">quantified via </w:t>
      </w:r>
      <w:r w:rsidR="00B46E80">
        <w:t xml:space="preserve">the </w:t>
      </w:r>
      <w:r w:rsidRPr="00FD1C3D">
        <w:t>chi-square</w:t>
      </w:r>
      <w:r w:rsidR="006F3E7E">
        <w:t xml:space="preserve"> method </w:t>
      </w:r>
      <w:r w:rsidRPr="00FD1C3D">
        <w:t>between observed and mode</w:t>
      </w:r>
      <w:r w:rsidR="00B46E80">
        <w:t>l</w:t>
      </w:r>
      <w:r w:rsidRPr="00FD1C3D">
        <w:t xml:space="preserve">led luminescence-depth profiles. </w:t>
      </w:r>
      <w:r w:rsidR="006F3E7E">
        <w:rPr>
          <w:lang w:val="en-IN"/>
        </w:rPr>
        <w:t xml:space="preserve">The sigmoidal curve fitting (SCF) is executed in all three parts of CoRSEER before initiation of </w:t>
      </w:r>
      <w:r w:rsidR="00B46E80">
        <w:rPr>
          <w:lang w:val="en-IN"/>
        </w:rPr>
        <w:t xml:space="preserve">the </w:t>
      </w:r>
      <w:r w:rsidR="006F3E7E">
        <w:rPr>
          <w:lang w:val="en-IN"/>
        </w:rPr>
        <w:t>inversion procedure</w:t>
      </w:r>
      <w:r w:rsidR="00B46E80">
        <w:rPr>
          <w:lang w:val="en-IN"/>
        </w:rPr>
        <w:t>,</w:t>
      </w:r>
      <w:r w:rsidR="006F3E7E">
        <w:rPr>
          <w:lang w:val="en-IN"/>
        </w:rPr>
        <w:t xml:space="preserve"> and the experimentally derived LDP </w:t>
      </w:r>
      <w:r w:rsidR="00B46E80">
        <w:rPr>
          <w:lang w:val="en-IN"/>
        </w:rPr>
        <w:t xml:space="preserve">is </w:t>
      </w:r>
      <w:r w:rsidR="006F3E7E">
        <w:rPr>
          <w:lang w:val="en-IN"/>
        </w:rPr>
        <w:t xml:space="preserve">normalised by </w:t>
      </w:r>
      <w:r w:rsidR="006F3E7E" w:rsidRPr="00DA50CC">
        <w:rPr>
          <w:i/>
          <w:iCs/>
          <w:lang w:val="en-IN"/>
        </w:rPr>
        <w:t>a</w:t>
      </w:r>
      <w:r w:rsidR="006F3E7E">
        <w:rPr>
          <w:lang w:val="en-IN"/>
        </w:rPr>
        <w:t xml:space="preserve"> factor. The sigmoidal curve</w:t>
      </w:r>
      <w:r w:rsidR="00B46E80">
        <w:rPr>
          <w:lang w:val="en-IN"/>
        </w:rPr>
        <w:t>-fitting strategy is thoroughly discussed in Section 3.1 of</w:t>
      </w:r>
      <w:r w:rsidR="006F3E7E">
        <w:rPr>
          <w:lang w:val="en-IN"/>
        </w:rPr>
        <w:t xml:space="preserve"> </w:t>
      </w:r>
      <w:r w:rsidR="00B46E80">
        <w:rPr>
          <w:lang w:val="en-IN"/>
        </w:rPr>
        <w:t xml:space="preserve">the </w:t>
      </w:r>
      <w:r w:rsidR="006F3E7E">
        <w:rPr>
          <w:lang w:val="en-IN"/>
        </w:rPr>
        <w:t>manuscript.</w:t>
      </w:r>
    </w:p>
    <w:p w14:paraId="284BF937" w14:textId="77777777" w:rsidR="00B31DFE" w:rsidRDefault="00B31DFE">
      <w:pPr>
        <w:spacing w:line="259" w:lineRule="auto"/>
        <w:jc w:val="left"/>
        <w:rPr>
          <w:lang w:val="en-IN"/>
        </w:rPr>
      </w:pPr>
      <w:r>
        <w:rPr>
          <w:lang w:val="en-IN"/>
        </w:rPr>
        <w:br w:type="page"/>
      </w:r>
    </w:p>
    <w:p w14:paraId="793A64D9" w14:textId="02787E87" w:rsidR="000D7E87" w:rsidRDefault="000D7E87" w:rsidP="00A84F4D">
      <w:pPr>
        <w:pStyle w:val="Heading1"/>
        <w:rPr>
          <w:lang w:val="en-IN"/>
        </w:rPr>
      </w:pPr>
      <w:r>
        <w:rPr>
          <w:lang w:val="en-IN"/>
        </w:rPr>
        <w:lastRenderedPageBreak/>
        <w:t>CoRSEER-I</w:t>
      </w:r>
      <w:r w:rsidR="007E3F85">
        <w:rPr>
          <w:lang w:val="en-IN"/>
        </w:rPr>
        <w:t xml:space="preserve">: </w:t>
      </w:r>
      <w:r>
        <w:rPr>
          <w:lang w:val="en-IN"/>
        </w:rPr>
        <w:t>Calibration</w:t>
      </w:r>
    </w:p>
    <w:p w14:paraId="0B882BEF" w14:textId="355CAC31" w:rsidR="00344532" w:rsidRDefault="00344532" w:rsidP="00344532">
      <w:r w:rsidRPr="00FE148F">
        <w:t>The first operation of CoRSEER is to evaluate kinetic parameters</w:t>
      </w:r>
      <w:r w:rsidR="00B46E80">
        <w:t>.</w:t>
      </w:r>
      <w:r w:rsidRPr="00FE148F">
        <w:t xml:space="preserve"> </w:t>
      </w:r>
      <m:oMath>
        <m:bar>
          <m:barPr>
            <m:pos m:val="top"/>
            <m:ctrlPr>
              <w:rPr>
                <w:rFonts w:ascii="Cambria Math" w:hAnsi="Cambria Math" w:cs="Times New Roman"/>
                <w:i/>
                <w:sz w:val="24"/>
                <w:szCs w:val="24"/>
              </w:rPr>
            </m:ctrlPr>
          </m:barPr>
          <m:e>
            <m:r>
              <w:rPr>
                <w:rFonts w:ascii="Cambria Math" w:hAnsi="Cambria Math" w:cs="Times New Roman"/>
                <w:sz w:val="24"/>
                <w:szCs w:val="24"/>
                <w:lang w:val="el-GR"/>
              </w:rPr>
              <m:t>σφ</m:t>
            </m:r>
          </m:e>
        </m:bar>
        <m:r>
          <w:rPr>
            <w:rFonts w:ascii="Cambria Math" w:hAnsi="Cambria Math" w:cs="Times New Roman"/>
            <w:sz w:val="24"/>
            <w:szCs w:val="24"/>
            <w:lang w:val="el-GR"/>
          </w:rPr>
          <m:t>˳</m:t>
        </m:r>
      </m:oMath>
      <w:r w:rsidRPr="00FE148F">
        <w:rPr>
          <w:sz w:val="24"/>
          <w:szCs w:val="24"/>
        </w:rPr>
        <w:t xml:space="preserve"> and </w:t>
      </w:r>
      <m:oMath>
        <m:r>
          <w:rPr>
            <w:rFonts w:ascii="Cambria Math" w:hAnsi="Cambria Math" w:cs="Times New Roman"/>
            <w:sz w:val="24"/>
            <w:szCs w:val="24"/>
            <w:lang w:val="en-IN"/>
          </w:rPr>
          <m:t>µ</m:t>
        </m:r>
      </m:oMath>
      <w:r w:rsidRPr="00FE148F">
        <w:rPr>
          <w:lang w:val="en-IN"/>
        </w:rPr>
        <w:t xml:space="preserve"> </w:t>
      </w:r>
      <w:r w:rsidRPr="00FE148F">
        <w:t xml:space="preserve">using a known age sample. This operation follows the single calibration method. At first, we establish the sigmoidal fitting parameters corresponding to the calibration LDP. The </w:t>
      </w:r>
      <w:r w:rsidR="00B46E80" w:rsidRPr="00B46E80">
        <w:rPr>
          <w:i/>
          <w:iCs/>
        </w:rPr>
        <w:t>b</w:t>
      </w:r>
      <w:r w:rsidR="00B46E80">
        <w:t xml:space="preserve"> value then normalises the whole calibration LDP,</w:t>
      </w:r>
      <w:r w:rsidRPr="00FE148F">
        <w:t xml:space="preserve"> and </w:t>
      </w:r>
      <w:r w:rsidR="00B46E80">
        <w:t xml:space="preserve">the </w:t>
      </w:r>
      <w:r w:rsidRPr="00FE148F">
        <w:t>plateau point is detected. Further</w:t>
      </w:r>
      <w:r w:rsidR="00B46E80">
        <w:t>,</w:t>
      </w:r>
      <w:r w:rsidRPr="00FE148F">
        <w:t xml:space="preserve"> we perform the inversion (Pathan et al., 2024) to evaluate kinetic parameters. </w:t>
      </w:r>
      <w:r w:rsidR="00DB7991">
        <w:t>The GUI of CoRSEER-I is shown in Fig. S4.</w:t>
      </w:r>
    </w:p>
    <w:p w14:paraId="6DE308E4" w14:textId="70815B1B" w:rsidR="00E50D0E" w:rsidRDefault="00E50D0E" w:rsidP="00344532">
      <w:r w:rsidRPr="00E50D0E">
        <w:rPr>
          <w:noProof/>
        </w:rPr>
        <w:drawing>
          <wp:inline distT="0" distB="0" distL="0" distR="0" wp14:anchorId="2D9105E2" wp14:editId="7F47223E">
            <wp:extent cx="6858000" cy="4638040"/>
            <wp:effectExtent l="0" t="0" r="0" b="0"/>
            <wp:docPr id="329055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055331" name=""/>
                    <pic:cNvPicPr/>
                  </pic:nvPicPr>
                  <pic:blipFill>
                    <a:blip r:embed="rId10">
                      <a:extLst>
                        <a:ext uri="{BEBA8EAE-BF5A-486C-A8C5-ECC9F3942E4B}">
                          <a14:imgProps xmlns:a14="http://schemas.microsoft.com/office/drawing/2010/main">
                            <a14:imgLayer r:embed="rId11">
                              <a14:imgEffect>
                                <a14:sharpenSoften amount="25000"/>
                              </a14:imgEffect>
                            </a14:imgLayer>
                          </a14:imgProps>
                        </a:ext>
                      </a:extLst>
                    </a:blip>
                    <a:stretch>
                      <a:fillRect/>
                    </a:stretch>
                  </pic:blipFill>
                  <pic:spPr>
                    <a:xfrm>
                      <a:off x="0" y="0"/>
                      <a:ext cx="6858000" cy="4638040"/>
                    </a:xfrm>
                    <a:prstGeom prst="rect">
                      <a:avLst/>
                    </a:prstGeom>
                  </pic:spPr>
                </pic:pic>
              </a:graphicData>
            </a:graphic>
          </wp:inline>
        </w:drawing>
      </w:r>
    </w:p>
    <w:p w14:paraId="13DCB197" w14:textId="7204D0C6" w:rsidR="00D87801" w:rsidRPr="00D87801" w:rsidRDefault="00D87801" w:rsidP="00344532">
      <w:pPr>
        <w:rPr>
          <w:b/>
          <w:bCs/>
        </w:rPr>
      </w:pPr>
      <w:r w:rsidRPr="00D87801">
        <w:rPr>
          <w:b/>
          <w:bCs/>
        </w:rPr>
        <w:t>Figure</w:t>
      </w:r>
      <w:r>
        <w:rPr>
          <w:b/>
          <w:bCs/>
        </w:rPr>
        <w:t xml:space="preserve"> S4: The GUI</w:t>
      </w:r>
      <w:r w:rsidR="003B0D58">
        <w:rPr>
          <w:b/>
          <w:bCs/>
        </w:rPr>
        <w:t xml:space="preserve"> of CoRSEER-I used for calibration of kinetic parameters. The GUI includes the multiple input bars in its left section, the progress bar and output parameters in right, and the diagnostic plots in bottom.</w:t>
      </w:r>
    </w:p>
    <w:p w14:paraId="020A1A16" w14:textId="77777777" w:rsidR="00344532" w:rsidRDefault="00344532" w:rsidP="00A84F4D">
      <w:pPr>
        <w:pStyle w:val="Heading2"/>
      </w:pPr>
      <w:r w:rsidRPr="001241C9">
        <w:t>Input Parameters</w:t>
      </w:r>
      <w:r>
        <w:t>:</w:t>
      </w:r>
    </w:p>
    <w:p w14:paraId="5897828D" w14:textId="1F0CE07A" w:rsidR="00344532" w:rsidRDefault="00344532" w:rsidP="00344532">
      <w:r w:rsidRPr="006045B5">
        <w:t>In CoRSEER Part I, the key input parameters for forward mode</w:t>
      </w:r>
      <w:r w:rsidR="00B46E80">
        <w:t>l</w:t>
      </w:r>
      <w:r w:rsidRPr="006045B5">
        <w:t xml:space="preserve">ling are the </w:t>
      </w:r>
      <w:r w:rsidRPr="00344532">
        <w:t>bleaching rate</w:t>
      </w:r>
      <w:r w:rsidR="00B46E80">
        <w:t>(</w:t>
      </w:r>
      <m:oMath>
        <m:bar>
          <m:barPr>
            <m:pos m:val="top"/>
            <m:ctrlPr>
              <w:rPr>
                <w:rFonts w:ascii="Cambria Math" w:hAnsi="Cambria Math" w:cs="Times New Roman"/>
                <w:i/>
                <w:sz w:val="24"/>
                <w:szCs w:val="24"/>
              </w:rPr>
            </m:ctrlPr>
          </m:barPr>
          <m:e>
            <m:r>
              <w:rPr>
                <w:rFonts w:ascii="Cambria Math" w:hAnsi="Cambria Math" w:cs="Times New Roman"/>
                <w:sz w:val="24"/>
                <w:szCs w:val="24"/>
                <w:lang w:val="el-GR"/>
              </w:rPr>
              <m:t>σφ</m:t>
            </m:r>
          </m:e>
        </m:bar>
        <m:r>
          <w:rPr>
            <w:rFonts w:ascii="Cambria Math" w:hAnsi="Cambria Math" w:cs="Times New Roman"/>
            <w:sz w:val="24"/>
            <w:szCs w:val="24"/>
            <w:lang w:val="el-GR"/>
          </w:rPr>
          <m:t>˳</m:t>
        </m:r>
        <m:r>
          <w:rPr>
            <w:rFonts w:ascii="Cambria Math" w:hAnsi="Cambria Math"/>
            <w:sz w:val="24"/>
            <w:szCs w:val="24"/>
            <w:lang w:val="el-GR"/>
          </w:rPr>
          <m:t>)</m:t>
        </m:r>
      </m:oMath>
      <w:r w:rsidRPr="00344532">
        <w:rPr>
          <w:sz w:val="24"/>
          <w:szCs w:val="24"/>
        </w:rPr>
        <w:t xml:space="preserve"> </w:t>
      </w:r>
      <w:r w:rsidRPr="00344532">
        <w:t xml:space="preserve">and the attenuation coefficient </w:t>
      </w:r>
      <w:r w:rsidR="00B46E80">
        <w:t>(</w:t>
      </w:r>
      <w:r w:rsidRPr="00344532">
        <w:t>μ</w:t>
      </w:r>
      <w:r w:rsidR="00B46E80">
        <w:t>)</w:t>
      </w:r>
      <w:r w:rsidRPr="00344532">
        <w:t>.</w:t>
      </w:r>
      <w:r w:rsidRPr="006045B5">
        <w:t xml:space="preserve"> Based on observational constraints from previous studies and empirical datasets, </w:t>
      </w:r>
      <m:oMath>
        <m:bar>
          <m:barPr>
            <m:pos m:val="top"/>
            <m:ctrlPr>
              <w:rPr>
                <w:rFonts w:ascii="Cambria Math" w:hAnsi="Cambria Math" w:cs="Times New Roman"/>
                <w:i/>
                <w:sz w:val="24"/>
                <w:szCs w:val="24"/>
              </w:rPr>
            </m:ctrlPr>
          </m:barPr>
          <m:e>
            <m:r>
              <w:rPr>
                <w:rFonts w:ascii="Cambria Math" w:hAnsi="Cambria Math" w:cs="Times New Roman"/>
                <w:sz w:val="24"/>
                <w:szCs w:val="24"/>
                <w:lang w:val="el-GR"/>
              </w:rPr>
              <m:t>σφ</m:t>
            </m:r>
          </m:e>
        </m:bar>
        <m:r>
          <w:rPr>
            <w:rFonts w:ascii="Cambria Math" w:hAnsi="Cambria Math" w:cs="Times New Roman"/>
            <w:sz w:val="24"/>
            <w:szCs w:val="24"/>
            <w:lang w:val="el-GR"/>
          </w:rPr>
          <m:t>˳</m:t>
        </m:r>
      </m:oMath>
      <w:r w:rsidRPr="006045B5">
        <w:t xml:space="preserve"> is defined over a range of 10</w:t>
      </w:r>
      <w:r>
        <w:rPr>
          <w:vertAlign w:val="superscript"/>
        </w:rPr>
        <w:t>-10</w:t>
      </w:r>
      <w:r>
        <w:t xml:space="preserve"> </w:t>
      </w:r>
      <w:r w:rsidRPr="006045B5">
        <w:t>to 10</w:t>
      </w:r>
      <w:r w:rsidRPr="006045B5">
        <w:rPr>
          <w:vertAlign w:val="superscript"/>
        </w:rPr>
        <w:t>0</w:t>
      </w:r>
      <w:r w:rsidRPr="006045B5">
        <w:t> s</w:t>
      </w:r>
      <w:r w:rsidRPr="006045B5">
        <w:rPr>
          <w:vertAlign w:val="superscript"/>
        </w:rPr>
        <w:t>−1</w:t>
      </w:r>
      <w:r w:rsidRPr="006045B5">
        <w:t xml:space="preserve"> for calibration. The attenuation coefficient </w:t>
      </w:r>
      <w:r w:rsidRPr="00B46E80">
        <w:rPr>
          <w:i/>
          <w:iCs/>
        </w:rPr>
        <w:t>μ</w:t>
      </w:r>
      <w:r w:rsidRPr="006045B5">
        <w:t xml:space="preserve">, which governs light penetration into the rock surface, is set as a </w:t>
      </w:r>
      <w:r w:rsidRPr="00344532">
        <w:t>customisable input from 0 to 4</w:t>
      </w:r>
      <w:r w:rsidRPr="006045B5">
        <w:t>, with an upper limit of 4 justified by empirical saturation observed in Smedley</w:t>
      </w:r>
      <w:r>
        <w:t>'</w:t>
      </w:r>
      <w:r w:rsidRPr="006045B5">
        <w:t>s</w:t>
      </w:r>
      <w:r>
        <w:t xml:space="preserve"> IR50_</w:t>
      </w:r>
      <w:r w:rsidRPr="00344532">
        <w:t>ROAD</w:t>
      </w:r>
      <w:r>
        <w:t>0</w:t>
      </w:r>
      <w:r w:rsidRPr="00344532">
        <w:t>1</w:t>
      </w:r>
      <w:r w:rsidRPr="006045B5">
        <w:t xml:space="preserve"> sample</w:t>
      </w:r>
      <w:r>
        <w:t xml:space="preserve"> (Table </w:t>
      </w:r>
      <w:r w:rsidR="00C46B04">
        <w:t>3</w:t>
      </w:r>
      <w:r>
        <w:t>)</w:t>
      </w:r>
      <w:r w:rsidRPr="006045B5">
        <w:t>. These parameter bounds are user-editable within the CoRSEER interface, allowing flexibility while retaining physical realism grounded in field-tested data.</w:t>
      </w:r>
    </w:p>
    <w:p w14:paraId="47783CC8" w14:textId="77777777" w:rsidR="00344532" w:rsidRPr="001241C9" w:rsidRDefault="00344532" w:rsidP="00A84F4D">
      <w:pPr>
        <w:pStyle w:val="Heading3"/>
      </w:pPr>
      <w:r>
        <w:lastRenderedPageBreak/>
        <w:t xml:space="preserve">Input </w:t>
      </w:r>
      <w:r w:rsidRPr="001241C9">
        <w:t xml:space="preserve">Excel File </w:t>
      </w:r>
    </w:p>
    <w:p w14:paraId="2321E4FB" w14:textId="00F9A078" w:rsidR="00344532" w:rsidRDefault="00344532" w:rsidP="00344532">
      <w:r w:rsidRPr="00462C06">
        <w:t xml:space="preserve">The CoRSEER Part I module requires an Excel file structured with specific luminescence and depth-related parameters for accurate execution and model calibration. </w:t>
      </w:r>
      <w:r>
        <w:t xml:space="preserve">The prescribed format of </w:t>
      </w:r>
      <w:r w:rsidR="00B46E80">
        <w:t>the E</w:t>
      </w:r>
      <w:r>
        <w:t xml:space="preserve">xcel file is given below: </w:t>
      </w:r>
    </w:p>
    <w:p w14:paraId="431D71AE" w14:textId="4087DD9B" w:rsidR="00344532" w:rsidRDefault="00344532" w:rsidP="00344532">
      <w:r>
        <w:t xml:space="preserve">Column 1: </w:t>
      </w:r>
      <w:r w:rsidRPr="00462C06">
        <w:t>contain</w:t>
      </w:r>
      <w:r w:rsidR="00B46E80">
        <w:t>s</w:t>
      </w:r>
      <w:r w:rsidRPr="00462C06">
        <w:t xml:space="preserve"> unique, non-zero depth values (in mm); duplicate or identical depths will trigger interpolation errors during model execution. If duplicate depths are unavoidable, we recommend offsetting one by a minimal value (e.g., 10</w:t>
      </w:r>
      <w:r w:rsidRPr="00462C06">
        <w:rPr>
          <w:vertAlign w:val="superscript"/>
        </w:rPr>
        <w:t>−5</w:t>
      </w:r>
      <w:r w:rsidRPr="00462C06">
        <w:t xml:space="preserve"> mm), which will not affect the mode</w:t>
      </w:r>
      <w:r w:rsidR="00B46E80">
        <w:t>l</w:t>
      </w:r>
      <w:r w:rsidRPr="00462C06">
        <w:t xml:space="preserve">ling outcome but ensure algorithmic stability. </w:t>
      </w:r>
    </w:p>
    <w:p w14:paraId="08901CB8" w14:textId="076899B1" w:rsidR="00344532" w:rsidRDefault="00344532" w:rsidP="00344532">
      <w:r>
        <w:t xml:space="preserve">Column 2: </w:t>
      </w:r>
      <w:r w:rsidRPr="00462C06">
        <w:t>contain</w:t>
      </w:r>
      <w:r w:rsidR="00B46E80">
        <w:t>s</w:t>
      </w:r>
      <w:r w:rsidRPr="00462C06">
        <w:t xml:space="preserve"> Lx/Tx values, all strictly non-zero</w:t>
      </w:r>
      <w:r>
        <w:t xml:space="preserve"> and non-negative</w:t>
      </w:r>
      <w:r w:rsidRPr="00462C06">
        <w:t xml:space="preserve">. To prevent failures in the Monte Carlo-based sigmoidal fitting, any true zero </w:t>
      </w:r>
      <w:r w:rsidR="00B46E80">
        <w:t>or</w:t>
      </w:r>
      <w:r>
        <w:t xml:space="preserve"> negative value </w:t>
      </w:r>
      <w:r w:rsidRPr="00462C06">
        <w:t>should be replaced with a small placeholder (e.g., 10</w:t>
      </w:r>
      <w:r w:rsidRPr="00462C06">
        <w:rPr>
          <w:vertAlign w:val="superscript"/>
        </w:rPr>
        <w:t>−6</w:t>
      </w:r>
      <w:r w:rsidRPr="00462C06">
        <w:t xml:space="preserve">). </w:t>
      </w:r>
    </w:p>
    <w:p w14:paraId="01099D99" w14:textId="77777777" w:rsidR="00344532" w:rsidRDefault="00344532" w:rsidP="00344532">
      <w:r>
        <w:t>Column 3: Contains</w:t>
      </w:r>
      <w:r w:rsidRPr="00462C06">
        <w:t xml:space="preserve"> Lx/Tx error, which is also required to be non-zero for the same reason. </w:t>
      </w:r>
    </w:p>
    <w:p w14:paraId="3A230B54" w14:textId="77777777" w:rsidR="00344532" w:rsidRDefault="00344532" w:rsidP="00344532">
      <w:r>
        <w:t xml:space="preserve">Column 4: This </w:t>
      </w:r>
      <w:r w:rsidRPr="00462C06">
        <w:t>specifies the order of kinetics (</w:t>
      </w:r>
      <w:r w:rsidRPr="00FE148F">
        <w:rPr>
          <w:i/>
          <w:iCs/>
        </w:rPr>
        <w:t>r</w:t>
      </w:r>
      <w:r w:rsidRPr="00462C06">
        <w:t xml:space="preserve">) for the sample, typically determined from protocol-specific measurements. </w:t>
      </w:r>
    </w:p>
    <w:p w14:paraId="16E1D4BB" w14:textId="5ACD82CA" w:rsidR="009023B0" w:rsidRDefault="00344532" w:rsidP="00344532">
      <w:r>
        <w:t>Column 5: T</w:t>
      </w:r>
      <w:r w:rsidRPr="00462C06">
        <w:t xml:space="preserve">he dose rate (Gy/a), </w:t>
      </w:r>
      <w:r w:rsidR="009023B0">
        <w:t xml:space="preserve">derived from </w:t>
      </w:r>
      <w:r w:rsidR="009023B0" w:rsidRPr="00462C06">
        <w:t>ICP-MS or high-resolution gamma spectrometry</w:t>
      </w:r>
      <w:r w:rsidR="009023B0">
        <w:t xml:space="preserve"> and final dose rate should be established using protocol mentioned in Sohbati et al. 2018 </w:t>
      </w:r>
      <w:r w:rsidR="009023B0">
        <w:fldChar w:fldCharType="begin">
          <w:fldData xml:space="preserve">PEVuZE5vdGU+PENpdGU+PEF1dGhvcj5Tb2hiYXRpPC9BdXRob3I+PFllYXI+MjAxODwvWWVhcj48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</w:fldData>
        </w:fldChar>
      </w:r>
      <w:r w:rsidR="009023B0">
        <w:instrText xml:space="preserve"> ADDIN EN.CITE </w:instrText>
      </w:r>
      <w:r w:rsidR="009023B0">
        <w:fldChar w:fldCharType="begin">
          <w:fldData xml:space="preserve">PEVuZE5vdGU+PENpdGU+PEF1dGhvcj5Tb2hiYXRpPC9BdXRob3I+PFllYXI+MjAxODwvWWVhcj48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</w:fldData>
        </w:fldChar>
      </w:r>
      <w:r w:rsidR="009023B0">
        <w:instrText xml:space="preserve"> ADDIN EN.CITE.DATA </w:instrText>
      </w:r>
      <w:r w:rsidR="009023B0">
        <w:fldChar w:fldCharType="end"/>
      </w:r>
      <w:r w:rsidR="009023B0">
        <w:fldChar w:fldCharType="separate"/>
      </w:r>
      <w:r w:rsidR="009023B0">
        <w:rPr>
          <w:noProof/>
        </w:rPr>
        <w:t>(Sohbati et al., 2018)</w:t>
      </w:r>
      <w:r w:rsidR="009023B0">
        <w:fldChar w:fldCharType="end"/>
      </w:r>
      <w:r w:rsidR="009023B0">
        <w:t>.</w:t>
      </w:r>
    </w:p>
    <w:p w14:paraId="66D081C9" w14:textId="778321FC" w:rsidR="009023B0" w:rsidRDefault="009023B0" w:rsidP="00344532">
      <w:r>
        <w:t>Column 6: T</w:t>
      </w:r>
      <w:r w:rsidR="00344532" w:rsidRPr="00462C06">
        <w:t>he characteristic dose (Gy)</w:t>
      </w:r>
      <w:r w:rsidR="00B46E80">
        <w:t>,</w:t>
      </w:r>
      <w:r w:rsidR="00344532">
        <w:t xml:space="preserve"> </w:t>
      </w:r>
      <w:r w:rsidR="00344532" w:rsidRPr="00462C06">
        <w:t xml:space="preserve">both of which can be derived from laboratory techniques such </w:t>
      </w:r>
      <w:r w:rsidRPr="00462C06">
        <w:t>as</w:t>
      </w:r>
      <w:r w:rsidR="00344532">
        <w:t xml:space="preserve"> Dose </w:t>
      </w:r>
      <w:r w:rsidR="00B46E80">
        <w:t>R</w:t>
      </w:r>
      <w:r w:rsidR="00344532">
        <w:t>esponse Curve (DRC)</w:t>
      </w:r>
      <w:r w:rsidR="00B46E80">
        <w:t>,</w:t>
      </w:r>
      <w:r w:rsidR="00344532">
        <w:t xml:space="preserve"> Murray and Wintle 2006</w:t>
      </w:r>
      <w:r w:rsidR="00344532" w:rsidRPr="00462C06">
        <w:t xml:space="preserve">. </w:t>
      </w:r>
    </w:p>
    <w:p w14:paraId="7CB1D536" w14:textId="77777777" w:rsidR="009023B0" w:rsidRDefault="009023B0" w:rsidP="00344532">
      <w:r>
        <w:t>Column 7: K</w:t>
      </w:r>
      <w:r w:rsidR="00344532" w:rsidRPr="00462C06">
        <w:t xml:space="preserve">nown calibration age (in years), which directly influences execution time, as the forward simulation duration scales proportionally with age. </w:t>
      </w:r>
    </w:p>
    <w:p w14:paraId="6AC0A22A" w14:textId="1DBD27F0" w:rsidR="00344532" w:rsidRDefault="00344532" w:rsidP="00344532">
      <w:r w:rsidRPr="00462C06">
        <w:t>Adhering to this structure ensures smooth integration with CoRSEER</w:t>
      </w:r>
      <w:r>
        <w:t>'</w:t>
      </w:r>
      <w:r w:rsidRPr="00462C06">
        <w:t>s computation engine and prevents common runtime errors</w:t>
      </w:r>
      <w:r>
        <w:t>.</w:t>
      </w:r>
    </w:p>
    <w:p w14:paraId="7B1A1978" w14:textId="77777777" w:rsidR="00344532" w:rsidRDefault="00344532" w:rsidP="00A84F4D">
      <w:pPr>
        <w:pStyle w:val="Heading3"/>
      </w:pPr>
      <w:r w:rsidRPr="001241C9">
        <w:t>Matlab GUI options</w:t>
      </w:r>
    </w:p>
    <w:p w14:paraId="640E138F" w14:textId="1B1A5076" w:rsidR="0093633A" w:rsidRDefault="00344532" w:rsidP="00344532">
      <w:pPr>
        <w:rPr>
          <w:rFonts w:cs="Aptos Serif"/>
          <w:lang w:val="en-IN" w:eastAsia="en-IN"/>
        </w:rPr>
      </w:pPr>
      <w:r w:rsidRPr="00FE148F">
        <w:rPr>
          <w:rFonts w:cs="Aptos Serif"/>
          <w:lang w:val="en-IN" w:eastAsia="en-IN"/>
        </w:rPr>
        <w:t xml:space="preserve">The CoRSEER Part I GUI provides a user-friendly interface with key input options to streamline </w:t>
      </w:r>
      <w:r w:rsidR="00B46E80">
        <w:rPr>
          <w:rFonts w:cs="Aptos Serif"/>
          <w:lang w:val="en-IN" w:eastAsia="en-IN"/>
        </w:rPr>
        <w:t>calibration</w:t>
      </w:r>
      <w:r w:rsidRPr="00FE148F">
        <w:rPr>
          <w:rFonts w:cs="Aptos Serif"/>
          <w:lang w:val="en-IN" w:eastAsia="en-IN"/>
        </w:rPr>
        <w:t xml:space="preserve">. </w:t>
      </w:r>
    </w:p>
    <w:p w14:paraId="5410DE06" w14:textId="4A5C597E" w:rsidR="0093633A" w:rsidRDefault="0093633A" w:rsidP="00344532">
      <w:pPr>
        <w:rPr>
          <w:rFonts w:cs="Aptos Serif"/>
          <w:lang w:val="en-IN" w:eastAsia="en-IN"/>
        </w:rPr>
      </w:pPr>
      <w:r>
        <w:rPr>
          <w:rFonts w:cs="Aptos Serif"/>
          <w:lang w:val="en-IN" w:eastAsia="en-IN"/>
        </w:rPr>
        <w:t>Input Box 1: T</w:t>
      </w:r>
      <w:r w:rsidR="00344532" w:rsidRPr="00FE148F">
        <w:rPr>
          <w:rFonts w:cs="Aptos Serif"/>
          <w:lang w:val="en-IN" w:eastAsia="en-IN"/>
        </w:rPr>
        <w:t xml:space="preserve">he folder selection option </w:t>
      </w:r>
      <w:r w:rsidR="00B46E80">
        <w:rPr>
          <w:rFonts w:cs="Aptos Serif"/>
          <w:lang w:val="en-IN" w:eastAsia="en-IN"/>
        </w:rPr>
        <w:t>lets users change the working directory from MATLAB's default to the folder containing the</w:t>
      </w:r>
      <w:r w:rsidR="00344532" w:rsidRPr="00FE148F">
        <w:rPr>
          <w:rFonts w:cs="Aptos Serif"/>
          <w:lang w:val="en-IN" w:eastAsia="en-IN"/>
        </w:rPr>
        <w:t xml:space="preserve"> experimental data. The calibration file must be named OSL_Calib.xlsx, </w:t>
      </w:r>
      <w:r w:rsidR="00F00466">
        <w:rPr>
          <w:rFonts w:cs="Aptos Serif"/>
          <w:lang w:val="en-IN" w:eastAsia="en-IN"/>
        </w:rPr>
        <w:t xml:space="preserve">and sample name will in sheet name of the excel file. For example here we have named the samples as </w:t>
      </w:r>
      <w:r w:rsidR="00B46E80">
        <w:rPr>
          <w:rFonts w:cs="Aptos Serif"/>
          <w:lang w:val="en-IN" w:eastAsia="en-IN"/>
        </w:rPr>
        <w:t>XX_SAMPLENAME, where XX = IR50, pIRIR150, or pIRIR225, identifying</w:t>
      </w:r>
      <w:r w:rsidR="00344532" w:rsidRPr="00FE148F">
        <w:rPr>
          <w:rFonts w:cs="Aptos Serif"/>
          <w:lang w:val="en-IN" w:eastAsia="en-IN"/>
        </w:rPr>
        <w:t xml:space="preserve"> the signal type. </w:t>
      </w:r>
    </w:p>
    <w:p w14:paraId="10CC000B" w14:textId="77777777" w:rsidR="0093633A" w:rsidRDefault="0093633A" w:rsidP="00344532">
      <w:pPr>
        <w:rPr>
          <w:rFonts w:cs="Aptos Serif"/>
          <w:lang w:val="en-IN" w:eastAsia="en-IN"/>
        </w:rPr>
      </w:pPr>
      <w:r>
        <w:rPr>
          <w:rFonts w:cs="Aptos Serif"/>
          <w:lang w:val="en-IN" w:eastAsia="en-IN"/>
        </w:rPr>
        <w:t xml:space="preserve">Input Box 2: </w:t>
      </w:r>
      <w:r w:rsidR="00344532" w:rsidRPr="00FE148F">
        <w:rPr>
          <w:rFonts w:cs="Aptos Serif"/>
          <w:lang w:val="en-IN" w:eastAsia="en-IN"/>
        </w:rPr>
        <w:t xml:space="preserve">The second input is m, which determines the grid density for calibration by dividing the ranges of </w:t>
      </w:r>
      <m:oMath>
        <m:bar>
          <m:barPr>
            <m:pos m:val="top"/>
            <m:ctrlPr>
              <w:rPr>
                <w:rFonts w:ascii="Cambria Math" w:hAnsi="Cambria Math" w:cs="Times New Roman"/>
                <w:i/>
                <w:sz w:val="24"/>
                <w:szCs w:val="24"/>
              </w:rPr>
            </m:ctrlPr>
          </m:barPr>
          <m:e>
            <m:r>
              <w:rPr>
                <w:rFonts w:ascii="Cambria Math" w:hAnsi="Cambria Math" w:cs="Times New Roman"/>
                <w:sz w:val="24"/>
                <w:szCs w:val="24"/>
                <w:lang w:val="el-GR"/>
              </w:rPr>
              <m:t>σφ</m:t>
            </m:r>
          </m:e>
        </m:bar>
        <m:r>
          <w:rPr>
            <w:rFonts w:ascii="Cambria Math" w:hAnsi="Cambria Math" w:cs="Times New Roman"/>
            <w:sz w:val="24"/>
            <w:szCs w:val="24"/>
            <w:lang w:val="el-GR"/>
          </w:rPr>
          <m:t>˳</m:t>
        </m:r>
      </m:oMath>
      <w:r w:rsidR="00344532" w:rsidRPr="00FE148F">
        <w:rPr>
          <w:lang w:eastAsia="en-IN"/>
        </w:rPr>
        <w:t xml:space="preserve"> and </w:t>
      </w:r>
      <m:oMath>
        <m:r>
          <w:rPr>
            <w:rFonts w:ascii="Cambria Math" w:hAnsi="Cambria Math" w:cs="Times New Roman"/>
            <w:sz w:val="24"/>
            <w:szCs w:val="24"/>
            <w:lang w:val="en-IN"/>
          </w:rPr>
          <m:t>µ</m:t>
        </m:r>
      </m:oMath>
      <w:r w:rsidR="00344532" w:rsidRPr="00FE148F">
        <w:rPr>
          <w:rFonts w:cs="Aptos Serif"/>
          <w:lang w:val="en-IN" w:eastAsia="en-IN"/>
        </w:rPr>
        <w:t xml:space="preserve"> into m × m pairs for surface fitting. A typical value of m = 1000 balances accuracy and computational efficiency. </w:t>
      </w:r>
    </w:p>
    <w:p w14:paraId="25D0C970" w14:textId="77777777" w:rsidR="0093633A" w:rsidRDefault="0093633A" w:rsidP="00344532">
      <w:pPr>
        <w:rPr>
          <w:rFonts w:cs="Aptos Serif"/>
          <w:lang w:val="en-IN" w:eastAsia="en-IN"/>
        </w:rPr>
      </w:pPr>
      <w:r>
        <w:rPr>
          <w:rFonts w:cs="Aptos Serif"/>
          <w:lang w:val="en-IN" w:eastAsia="en-IN"/>
        </w:rPr>
        <w:t xml:space="preserve">Input Box 3: </w:t>
      </w:r>
      <w:r w:rsidR="00344532" w:rsidRPr="00FE148F">
        <w:rPr>
          <w:rFonts w:cs="Aptos Serif"/>
          <w:lang w:val="en-IN" w:eastAsia="en-IN"/>
        </w:rPr>
        <w:t xml:space="preserve">Third, the Sample Name field enables dynamic matching to the corresponding sheet within OSL_calib.xlsx, making the system modular and scalable for multiple datasets. </w:t>
      </w:r>
    </w:p>
    <w:p w14:paraId="3350063B" w14:textId="6558E13A" w:rsidR="00344532" w:rsidRPr="00FE148F" w:rsidRDefault="0093633A" w:rsidP="00344532">
      <w:r>
        <w:rPr>
          <w:rFonts w:cs="Aptos Serif"/>
          <w:lang w:val="en-IN" w:eastAsia="en-IN"/>
        </w:rPr>
        <w:t xml:space="preserve">Input Box 4: </w:t>
      </w:r>
      <w:r w:rsidR="00344532" w:rsidRPr="00FE148F">
        <w:rPr>
          <w:rFonts w:cs="Aptos Serif"/>
          <w:lang w:val="en-IN" w:eastAsia="en-IN"/>
        </w:rPr>
        <w:t>Lastly, the erosion rate input adds flexibility by allowing the user to define mean surface erosion during calibration. While freshly exposed or artificially prepared calibration samples typically assume zero erosion, older samples or those from highly eroding landscapes may require non-zero values</w:t>
      </w:r>
      <w:r w:rsidR="00B46E80">
        <w:rPr>
          <w:rFonts w:cs="Aptos Serif"/>
          <w:lang w:val="en-IN" w:eastAsia="en-IN"/>
        </w:rPr>
        <w:t>,</w:t>
      </w:r>
      <w:r>
        <w:rPr>
          <w:rFonts w:cs="Aptos Serif"/>
          <w:lang w:val="en-IN" w:eastAsia="en-IN"/>
        </w:rPr>
        <w:t xml:space="preserve"> which is </w:t>
      </w:r>
      <w:r w:rsidR="00344532" w:rsidRPr="00FE148F">
        <w:rPr>
          <w:rFonts w:cs="Aptos Serif"/>
          <w:lang w:val="en-IN" w:eastAsia="en-IN"/>
        </w:rPr>
        <w:t>an essential factor often overlooked in earlier models</w:t>
      </w:r>
      <w:r w:rsidR="00B46E80">
        <w:rPr>
          <w:rFonts w:cs="Aptos Serif"/>
          <w:lang w:val="en-IN" w:eastAsia="en-IN"/>
        </w:rPr>
        <w:t>,</w:t>
      </w:r>
      <w:r>
        <w:rPr>
          <w:rFonts w:cs="Aptos Serif"/>
          <w:lang w:val="en-IN" w:eastAsia="en-IN"/>
        </w:rPr>
        <w:t xml:space="preserve"> and this is thoroughly discussed in Section 5 of </w:t>
      </w:r>
      <w:r w:rsidR="00B46E80">
        <w:rPr>
          <w:rFonts w:cs="Aptos Serif"/>
          <w:lang w:val="en-IN" w:eastAsia="en-IN"/>
        </w:rPr>
        <w:t xml:space="preserve">the </w:t>
      </w:r>
      <w:r>
        <w:rPr>
          <w:rFonts w:cs="Aptos Serif"/>
          <w:lang w:val="en-IN" w:eastAsia="en-IN"/>
        </w:rPr>
        <w:t>Manuscript</w:t>
      </w:r>
      <w:r w:rsidR="00344532" w:rsidRPr="00FE148F">
        <w:rPr>
          <w:rFonts w:cs="Aptos Serif"/>
          <w:lang w:val="en-IN" w:eastAsia="en-IN"/>
        </w:rPr>
        <w:t>. By incorporating this parameter, CoRSEER</w:t>
      </w:r>
      <w:r>
        <w:rPr>
          <w:rFonts w:cs="Aptos Serif"/>
          <w:lang w:val="en-IN" w:eastAsia="en-IN"/>
        </w:rPr>
        <w:t>-I</w:t>
      </w:r>
      <w:r w:rsidR="00344532" w:rsidRPr="00FE148F">
        <w:rPr>
          <w:rFonts w:cs="Aptos Serif"/>
          <w:lang w:val="en-IN" w:eastAsia="en-IN"/>
        </w:rPr>
        <w:t xml:space="preserve"> improves </w:t>
      </w:r>
      <w:r w:rsidR="00B46E80">
        <w:rPr>
          <w:rFonts w:cs="Aptos Serif"/>
          <w:lang w:val="en-IN" w:eastAsia="en-IN"/>
        </w:rPr>
        <w:t>physical realism and enhances parameter inversion preci</w:t>
      </w:r>
      <w:r w:rsidR="00344532" w:rsidRPr="00FE148F">
        <w:rPr>
          <w:rFonts w:cs="Aptos Serif"/>
          <w:lang w:val="en-IN" w:eastAsia="en-IN"/>
        </w:rPr>
        <w:t>sion.</w:t>
      </w:r>
    </w:p>
    <w:p w14:paraId="200BE62B" w14:textId="4FD0A6C5" w:rsidR="00344532" w:rsidRPr="001241C9" w:rsidRDefault="00CA1FB6" w:rsidP="00A84F4D">
      <w:pPr>
        <w:pStyle w:val="Heading2"/>
      </w:pPr>
      <w:r>
        <w:lastRenderedPageBreak/>
        <w:t>Mechanism</w:t>
      </w:r>
    </w:p>
    <w:p w14:paraId="0389C635" w14:textId="6C4937DF" w:rsidR="00344532" w:rsidRDefault="00344532" w:rsidP="00344532">
      <w:pPr>
        <w:rPr>
          <w:lang w:val="en-IN"/>
        </w:rPr>
      </w:pPr>
      <w:bookmarkStart w:id="0" w:name="_Hlk209051347"/>
      <w:r w:rsidRPr="00FE148F">
        <w:rPr>
          <w:lang w:val="en-IN"/>
        </w:rPr>
        <w:t xml:space="preserve">CoRSEER Part I begins </w:t>
      </w:r>
      <w:r w:rsidR="00B46E80">
        <w:rPr>
          <w:lang w:val="en-IN"/>
        </w:rPr>
        <w:t>by fitting the experimental luminescence-depth profile using a sigmoidal function to extract the parameter a, which represents</w:t>
      </w:r>
      <w:r w:rsidRPr="00FE148F">
        <w:rPr>
          <w:lang w:val="en-IN"/>
        </w:rPr>
        <w:t xml:space="preserve"> the LDP plateau magnitude. This value is used to normali</w:t>
      </w:r>
      <w:r>
        <w:rPr>
          <w:lang w:val="en-IN"/>
        </w:rPr>
        <w:t>s</w:t>
      </w:r>
      <w:r w:rsidRPr="00FE148F">
        <w:rPr>
          <w:lang w:val="en-IN"/>
        </w:rPr>
        <w:t>e the Lx/Tx data across the profile</w:t>
      </w:r>
      <w:r w:rsidR="00E57D42">
        <w:rPr>
          <w:lang w:val="en-IN"/>
        </w:rPr>
        <w:t xml:space="preserve">. We also establish the </w:t>
      </w:r>
      <m:oMath>
        <m:r>
          <w:rPr>
            <w:rFonts w:ascii="Cambria Math" w:hAnsi="Cambria Math"/>
            <w:lang w:val="en-IN"/>
          </w:rPr>
          <m:t>σ</m:t>
        </m:r>
      </m:oMath>
      <w:r w:rsidR="00E57D42">
        <w:rPr>
          <w:lang w:val="en-IN"/>
        </w:rPr>
        <w:t xml:space="preserve"> of </w:t>
      </w:r>
      <w:r w:rsidR="00B46E80">
        <w:rPr>
          <w:lang w:val="en-IN"/>
        </w:rPr>
        <w:t xml:space="preserve">the </w:t>
      </w:r>
      <w:r w:rsidR="00E57D42">
        <w:rPr>
          <w:lang w:val="en-IN"/>
        </w:rPr>
        <w:t>absolute of residual values by subtracting the SCF curve and experimental dataset</w:t>
      </w:r>
      <w:r w:rsidRPr="00FE148F">
        <w:rPr>
          <w:lang w:val="en-IN"/>
        </w:rPr>
        <w:t xml:space="preserve">. </w:t>
      </w:r>
      <w:r w:rsidR="00E57D42">
        <w:rPr>
          <w:lang w:val="en-IN"/>
        </w:rPr>
        <w:t xml:space="preserve">The </w:t>
      </w:r>
      <w:r w:rsidR="00C46B04">
        <w:rPr>
          <w:rFonts w:cs="Times New Roman"/>
          <w:lang w:val="en-IN"/>
        </w:rPr>
        <w:t>δ</w:t>
      </w:r>
      <w:r w:rsidR="00E57D42">
        <w:rPr>
          <w:rFonts w:cs="Times New Roman"/>
          <w:lang w:val="en-IN"/>
        </w:rPr>
        <w:t xml:space="preserve"> </w:t>
      </w:r>
      <w:r w:rsidR="00B46E80">
        <w:rPr>
          <w:rFonts w:cs="Times New Roman"/>
          <w:lang w:val="en-IN"/>
        </w:rPr>
        <w:t xml:space="preserve">is </w:t>
      </w:r>
      <w:r w:rsidRPr="00FE148F">
        <w:rPr>
          <w:lang w:val="en-IN"/>
        </w:rPr>
        <w:t>later used as a noise threshold in inversion routines.</w:t>
      </w:r>
    </w:p>
    <w:p w14:paraId="32CBB3BF" w14:textId="77777777" w:rsidR="00E57D42" w:rsidRDefault="00E57D42" w:rsidP="00A84F4D">
      <w:pPr>
        <w:pStyle w:val="Heading3"/>
        <w:rPr>
          <w:lang w:val="en-IN"/>
        </w:rPr>
      </w:pPr>
      <w:r>
        <w:rPr>
          <w:lang w:val="en-IN"/>
        </w:rPr>
        <w:t>Forward modelling: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92"/>
        <w:gridCol w:w="808"/>
      </w:tblGrid>
      <w:tr w:rsidR="00890E7F" w14:paraId="5F59D742" w14:textId="77777777" w:rsidTr="00890E7F">
        <w:tc>
          <w:tcPr>
            <w:tcW w:w="4626" w:type="pct"/>
          </w:tcPr>
          <w:bookmarkStart w:id="1" w:name="_Hlk209043200"/>
          <w:p w14:paraId="28BA1AB4" w14:textId="77777777" w:rsidR="00890E7F" w:rsidRPr="00E57D42" w:rsidRDefault="00000000" w:rsidP="00890E7F">
            <w:pPr>
              <w:rPr>
                <w:rFonts w:eastAsiaTheme="majorEastAsia" w:cstheme="majorBidi"/>
              </w:rPr>
            </w:pPr>
            <m:oMathPara>
              <m:oMath>
                <m:f>
                  <m:fPr>
                    <m:ctrlPr>
                      <w:rPr>
                        <w:rFonts w:ascii="Cambria Math" w:hAnsi="Cambria Math" w:cs="Times New Roman"/>
                        <w:i/>
                      </w:rPr>
                    </m:ctrlPr>
                  </m:fPr>
                  <m:num>
                    <m:r>
                      <w:rPr>
                        <w:rFonts w:ascii="Cambria Math" w:hAnsi="Cambria Math" w:cs="Times New Roman"/>
                      </w:rPr>
                      <m:t>d</m:t>
                    </m:r>
                    <m:bar>
                      <m:barPr>
                        <m:pos m:val="top"/>
                        <m:ctrlPr>
                          <w:rPr>
                            <w:rFonts w:ascii="Cambria Math" w:hAnsi="Cambria Math" w:cs="Times New Roman"/>
                            <w:i/>
                          </w:rPr>
                        </m:ctrlPr>
                      </m:barPr>
                      <m:e>
                        <m:r>
                          <w:rPr>
                            <w:rFonts w:ascii="Cambria Math" w:hAnsi="Cambria Math" w:cs="Times New Roman"/>
                          </w:rPr>
                          <m:t>n</m:t>
                        </m:r>
                      </m:e>
                    </m:bar>
                  </m:num>
                  <m:den>
                    <m:r>
                      <w:rPr>
                        <w:rFonts w:ascii="Cambria Math" w:hAnsi="Cambria Math" w:cs="Times New Roman"/>
                      </w:rPr>
                      <m:t>dt</m:t>
                    </m:r>
                  </m:den>
                </m:f>
                <m:r>
                  <w:rPr>
                    <w:rFonts w:ascii="Cambria Math" w:hAnsi="Cambria Math" w:cs="Times New Roman"/>
                    <w:lang w:val="en-IN"/>
                  </w:rPr>
                  <m:t>=</m:t>
                </m:r>
                <m:sSub>
                  <m:sSubPr>
                    <m:ctrlPr>
                      <w:rPr>
                        <w:rFonts w:ascii="Cambria Math" w:hAnsi="Cambria Math" w:cs="Times New Roman"/>
                        <w:i/>
                      </w:rPr>
                    </m:ctrlPr>
                  </m:sSubPr>
                  <m:e>
                    <m:d>
                      <m:dPr>
                        <m:begChr m:val="{"/>
                        <m:endChr m:val="}"/>
                        <m:ctrlPr>
                          <w:rPr>
                            <w:rFonts w:ascii="Cambria Math" w:hAnsi="Cambria Math" w:cs="Times New Roman"/>
                            <w:i/>
                          </w:rPr>
                        </m:ctrlPr>
                      </m:dPr>
                      <m:e>
                        <m:f>
                          <m:fPr>
                            <m:ctrlPr>
                              <w:rPr>
                                <w:rFonts w:ascii="Cambria Math" w:hAnsi="Cambria Math" w:cs="Times New Roman"/>
                                <w:i/>
                              </w:rPr>
                            </m:ctrlPr>
                          </m:fPr>
                          <m:num>
                            <m:acc>
                              <m:accPr>
                                <m:chr m:val="̇"/>
                                <m:ctrlPr>
                                  <w:rPr>
                                    <w:rFonts w:ascii="Cambria Math" w:hAnsi="Cambria Math" w:cs="Times New Roman"/>
                                    <w:i/>
                                  </w:rPr>
                                </m:ctrlPr>
                              </m:accPr>
                              <m:e>
                                <m:r>
                                  <w:rPr>
                                    <w:rFonts w:ascii="Cambria Math" w:hAnsi="Cambria Math" w:cs="Times New Roman"/>
                                  </w:rPr>
                                  <m:t>D</m:t>
                                </m:r>
                              </m:e>
                            </m:acc>
                          </m:num>
                          <m:den>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o</m:t>
                                </m:r>
                              </m:sub>
                            </m:sSub>
                          </m:den>
                        </m:f>
                        <m:d>
                          <m:dPr>
                            <m:ctrlPr>
                              <w:rPr>
                                <w:rFonts w:ascii="Cambria Math" w:hAnsi="Cambria Math" w:cs="Times New Roman"/>
                                <w:i/>
                              </w:rPr>
                            </m:ctrlPr>
                          </m:dPr>
                          <m:e>
                            <m:r>
                              <w:rPr>
                                <w:rFonts w:ascii="Cambria Math" w:hAnsi="Cambria Math" w:cs="Times New Roman"/>
                                <w:lang w:val="en-IN"/>
                              </w:rPr>
                              <m:t>1-</m:t>
                            </m:r>
                            <m:bar>
                              <m:barPr>
                                <m:pos m:val="top"/>
                                <m:ctrlPr>
                                  <w:rPr>
                                    <w:rFonts w:ascii="Cambria Math" w:hAnsi="Cambria Math" w:cs="Times New Roman"/>
                                    <w:i/>
                                  </w:rPr>
                                </m:ctrlPr>
                              </m:barPr>
                              <m:e>
                                <m:r>
                                  <w:rPr>
                                    <w:rFonts w:ascii="Cambria Math" w:hAnsi="Cambria Math" w:cs="Times New Roman"/>
                                  </w:rPr>
                                  <m:t>n</m:t>
                                </m:r>
                              </m:e>
                            </m:bar>
                          </m:e>
                        </m:d>
                      </m:e>
                    </m:d>
                  </m:e>
                  <m:sub>
                    <m:r>
                      <w:rPr>
                        <w:rFonts w:ascii="Cambria Math" w:hAnsi="Cambria Math" w:cs="Times New Roman"/>
                      </w:rPr>
                      <m:t>growt</m:t>
                    </m:r>
                    <m:r>
                      <w:rPr>
                        <w:rFonts w:ascii="Cambria Math" w:hAnsi="Cambria Math" w:cs="Times New Roman"/>
                        <w:lang w:val="en-IN"/>
                      </w:rPr>
                      <m:t>h</m:t>
                    </m:r>
                  </m:sub>
                </m:sSub>
                <m:r>
                  <w:rPr>
                    <w:rFonts w:ascii="Cambria Math" w:hAnsi="Cambria Math" w:cs="Times New Roman"/>
                    <w:lang w:val="en-IN"/>
                  </w:rPr>
                  <m:t xml:space="preserve">- </m:t>
                </m:r>
                <m:sSub>
                  <m:sSubPr>
                    <m:ctrlPr>
                      <w:rPr>
                        <w:rFonts w:ascii="Cambria Math" w:hAnsi="Cambria Math" w:cs="Times New Roman"/>
                        <w:i/>
                      </w:rPr>
                    </m:ctrlPr>
                  </m:sSubPr>
                  <m:e>
                    <m:d>
                      <m:dPr>
                        <m:begChr m:val="{"/>
                        <m:endChr m:val="}"/>
                        <m:ctrlPr>
                          <w:rPr>
                            <w:rFonts w:ascii="Cambria Math" w:hAnsi="Cambria Math" w:cs="Times New Roman"/>
                            <w:i/>
                          </w:rPr>
                        </m:ctrlPr>
                      </m:dPr>
                      <m:e>
                        <m:r>
                          <w:rPr>
                            <w:rFonts w:ascii="Cambria Math" w:hAnsi="Cambria Math" w:cs="Times New Roman"/>
                            <w:lang w:val="en-IN"/>
                          </w:rPr>
                          <m:t xml:space="preserve"> </m:t>
                        </m:r>
                        <m:sSup>
                          <m:sSupPr>
                            <m:ctrlPr>
                              <w:rPr>
                                <w:rFonts w:ascii="Cambria Math" w:hAnsi="Cambria Math" w:cs="Times New Roman"/>
                                <w:i/>
                              </w:rPr>
                            </m:ctrlPr>
                          </m:sSupPr>
                          <m:e>
                            <m:bar>
                              <m:barPr>
                                <m:pos m:val="top"/>
                                <m:ctrlPr>
                                  <w:rPr>
                                    <w:rFonts w:ascii="Cambria Math" w:hAnsi="Cambria Math" w:cs="Times New Roman"/>
                                    <w:i/>
                                  </w:rPr>
                                </m:ctrlPr>
                              </m:barPr>
                              <m:e>
                                <m:r>
                                  <w:rPr>
                                    <w:rFonts w:ascii="Cambria Math" w:hAnsi="Cambria Math" w:cs="Times New Roman"/>
                                  </w:rPr>
                                  <m:t>n</m:t>
                                </m:r>
                              </m:e>
                            </m:bar>
                          </m:e>
                          <m:sup>
                            <m:r>
                              <w:rPr>
                                <w:rFonts w:ascii="Cambria Math" w:hAnsi="Cambria Math" w:cs="Times New Roman"/>
                              </w:rPr>
                              <m:t>r</m:t>
                            </m:r>
                          </m:sup>
                        </m:sSup>
                        <m:r>
                          <w:rPr>
                            <w:rFonts w:ascii="Cambria Math" w:hAnsi="Cambria Math" w:cs="Times New Roman"/>
                            <w:lang w:val="en-IN"/>
                          </w:rPr>
                          <m:t xml:space="preserve"> </m:t>
                        </m:r>
                        <m:bar>
                          <m:barPr>
                            <m:pos m:val="top"/>
                            <m:ctrlPr>
                              <w:rPr>
                                <w:rFonts w:ascii="Cambria Math" w:hAnsi="Cambria Math" w:cs="Times New Roman"/>
                                <w:i/>
                              </w:rPr>
                            </m:ctrlPr>
                          </m:barPr>
                          <m:e>
                            <m:r>
                              <w:rPr>
                                <w:rFonts w:ascii="Cambria Math" w:hAnsi="Cambria Math" w:cs="Times New Roman"/>
                                <w:lang w:val="el-GR"/>
                              </w:rPr>
                              <m:t>σφ</m:t>
                            </m:r>
                          </m:e>
                        </m:bar>
                        <m:r>
                          <w:rPr>
                            <w:rFonts w:ascii="Cambria Math" w:hAnsi="Cambria Math" w:cs="Times New Roman"/>
                            <w:lang w:val="el-GR"/>
                          </w:rPr>
                          <m:t>˳</m:t>
                        </m:r>
                        <m:sSup>
                          <m:sSupPr>
                            <m:ctrlPr>
                              <w:rPr>
                                <w:rFonts w:ascii="Cambria Math" w:hAnsi="Cambria Math" w:cs="Times New Roman"/>
                                <w:i/>
                              </w:rPr>
                            </m:ctrlPr>
                          </m:sSupPr>
                          <m:e>
                            <m:r>
                              <w:rPr>
                                <w:rFonts w:ascii="Cambria Math" w:hAnsi="Cambria Math" w:cs="Times New Roman"/>
                              </w:rPr>
                              <m:t>e</m:t>
                            </m:r>
                          </m:e>
                          <m:sup>
                            <m:r>
                              <w:rPr>
                                <w:rFonts w:ascii="Cambria Math" w:hAnsi="Cambria Math" w:cs="Times New Roman"/>
                                <w:lang w:val="en-IN"/>
                              </w:rPr>
                              <m:t>-µ</m:t>
                            </m:r>
                            <m:r>
                              <w:rPr>
                                <w:rFonts w:ascii="Cambria Math" w:hAnsi="Cambria Math" w:cs="Times New Roman"/>
                              </w:rPr>
                              <m:t>x</m:t>
                            </m:r>
                          </m:sup>
                        </m:sSup>
                      </m:e>
                    </m:d>
                  </m:e>
                  <m:sub>
                    <m:r>
                      <w:rPr>
                        <w:rFonts w:ascii="Cambria Math" w:hAnsi="Cambria Math" w:cs="Times New Roman"/>
                      </w:rPr>
                      <m:t>decay</m:t>
                    </m:r>
                  </m:sub>
                </m:sSub>
                <m:r>
                  <w:rPr>
                    <w:rFonts w:ascii="Cambria Math" w:hAnsi="Cambria Math" w:cs="Times New Roman"/>
                  </w:rPr>
                  <m:t xml:space="preserve">+ </m:t>
                </m:r>
                <m:sSub>
                  <m:sSubPr>
                    <m:ctrlPr>
                      <w:rPr>
                        <w:rFonts w:ascii="Cambria Math" w:hAnsi="Cambria Math" w:cs="Times New Roman"/>
                        <w:i/>
                      </w:rPr>
                    </m:ctrlPr>
                  </m:sSubPr>
                  <m:e>
                    <m:d>
                      <m:dPr>
                        <m:begChr m:val="{"/>
                        <m:endChr m:val="}"/>
                        <m:ctrlPr>
                          <w:rPr>
                            <w:rFonts w:ascii="Cambria Math" w:hAnsi="Cambria Math" w:cs="Times New Roman"/>
                            <w:i/>
                          </w:rPr>
                        </m:ctrlPr>
                      </m:dPr>
                      <m:e>
                        <m:acc>
                          <m:accPr>
                            <m:chr m:val="̇"/>
                            <m:ctrlPr>
                              <w:rPr>
                                <w:rFonts w:ascii="Cambria Math" w:hAnsi="Cambria Math" w:cs="Times New Roman"/>
                                <w:i/>
                              </w:rPr>
                            </m:ctrlPr>
                          </m:accPr>
                          <m:e>
                            <m:r>
                              <w:rPr>
                                <w:rFonts w:ascii="Cambria Math" w:hAnsi="Cambria Math" w:cs="Times New Roman"/>
                              </w:rPr>
                              <m:t>ε</m:t>
                            </m:r>
                          </m:e>
                        </m:acc>
                        <m:f>
                          <m:fPr>
                            <m:ctrlPr>
                              <w:rPr>
                                <w:rFonts w:ascii="Cambria Math" w:hAnsi="Cambria Math" w:cs="Times New Roman"/>
                                <w:i/>
                              </w:rPr>
                            </m:ctrlPr>
                          </m:fPr>
                          <m:num>
                            <m:r>
                              <w:rPr>
                                <w:rFonts w:ascii="Cambria Math" w:hAnsi="Cambria Math" w:cs="Times New Roman"/>
                              </w:rPr>
                              <m:t>d</m:t>
                            </m:r>
                            <m:bar>
                              <m:barPr>
                                <m:pos m:val="top"/>
                                <m:ctrlPr>
                                  <w:rPr>
                                    <w:rFonts w:ascii="Cambria Math" w:hAnsi="Cambria Math" w:cs="Times New Roman"/>
                                    <w:i/>
                                  </w:rPr>
                                </m:ctrlPr>
                              </m:barPr>
                              <m:e>
                                <m:r>
                                  <w:rPr>
                                    <w:rFonts w:ascii="Cambria Math" w:hAnsi="Cambria Math" w:cs="Times New Roman"/>
                                  </w:rPr>
                                  <m:t>n</m:t>
                                </m:r>
                              </m:e>
                            </m:bar>
                          </m:num>
                          <m:den>
                            <m:r>
                              <w:rPr>
                                <w:rFonts w:ascii="Cambria Math" w:hAnsi="Cambria Math" w:cs="Times New Roman"/>
                              </w:rPr>
                              <m:t>dx</m:t>
                            </m:r>
                          </m:den>
                        </m:f>
                      </m:e>
                    </m:d>
                  </m:e>
                  <m:sub>
                    <m:r>
                      <w:rPr>
                        <w:rFonts w:ascii="Cambria Math" w:hAnsi="Cambria Math" w:cs="Times New Roman"/>
                      </w:rPr>
                      <m:t>erosion</m:t>
                    </m:r>
                  </m:sub>
                </m:sSub>
              </m:oMath>
            </m:oMathPara>
            <w:bookmarkEnd w:id="1"/>
          </w:p>
          <w:p w14:paraId="66B0C8E6" w14:textId="77777777" w:rsidR="00890E7F" w:rsidRDefault="00890E7F" w:rsidP="00E57D42">
            <w:pPr>
              <w:rPr>
                <w:lang w:val="en-IN"/>
              </w:rPr>
            </w:pPr>
          </w:p>
        </w:tc>
        <w:tc>
          <w:tcPr>
            <w:tcW w:w="374" w:type="pct"/>
          </w:tcPr>
          <w:p w14:paraId="271803E3" w14:textId="4BE0D84B" w:rsidR="00890E7F" w:rsidRDefault="00890E7F" w:rsidP="00E57D42">
            <w:pPr>
              <w:rPr>
                <w:lang w:val="en-IN"/>
              </w:rPr>
            </w:pPr>
            <w:r>
              <w:rPr>
                <w:lang w:val="en-IN"/>
              </w:rPr>
              <w:t>(1)</w:t>
            </w:r>
          </w:p>
        </w:tc>
      </w:tr>
    </w:tbl>
    <w:p w14:paraId="76DEF97E" w14:textId="77777777" w:rsidR="00E57D42" w:rsidRPr="00E57D42" w:rsidRDefault="00E57D42" w:rsidP="00E57D42">
      <w:pPr>
        <w:rPr>
          <w:lang w:val="en-IN"/>
        </w:rPr>
      </w:pPr>
    </w:p>
    <w:p w14:paraId="4BBB7C2E" w14:textId="1721E603" w:rsidR="00E57D42" w:rsidRDefault="00E57D42" w:rsidP="00E57D42">
      <w:r>
        <w:rPr>
          <w:rFonts w:eastAsiaTheme="majorEastAsia" w:cstheme="majorBidi"/>
          <w:lang w:val="en-IN"/>
        </w:rPr>
        <w:t xml:space="preserve">The above ODE is solved using </w:t>
      </w:r>
      <w:r w:rsidR="00B46E80">
        <w:rPr>
          <w:rFonts w:eastAsiaTheme="majorEastAsia" w:cstheme="majorBidi"/>
          <w:lang w:val="en-IN"/>
        </w:rPr>
        <w:t xml:space="preserve">the </w:t>
      </w:r>
      <w:r>
        <w:rPr>
          <w:rFonts w:eastAsiaTheme="majorEastAsia" w:cstheme="majorBidi"/>
          <w:lang w:val="en-IN"/>
        </w:rPr>
        <w:t xml:space="preserve">explicit Euler Forward time scheme (a first-order explicit numerical method. The time is discretised into small steps </w:t>
      </w:r>
      <m:oMath>
        <m:r>
          <w:rPr>
            <w:rFonts w:ascii="Cambria Math" w:eastAsiaTheme="majorEastAsia" w:hAnsi="Cambria Math" w:cstheme="majorBidi"/>
            <w:lang w:val="en-IN"/>
          </w:rPr>
          <m:t>∆t = 0.01 yr,</m:t>
        </m:r>
      </m:oMath>
      <w:r>
        <w:rPr>
          <w:rFonts w:eastAsiaTheme="majorEastAsia" w:cstheme="majorBidi"/>
          <w:lang w:val="en-IN"/>
        </w:rPr>
        <w:t xml:space="preserve"> and depth </w:t>
      </w:r>
      <w:r w:rsidR="00B46E80">
        <w:rPr>
          <w:rFonts w:eastAsiaTheme="majorEastAsia" w:cstheme="majorBidi"/>
          <w:lang w:val="en-IN"/>
        </w:rPr>
        <w:t>is</w:t>
      </w:r>
      <w:r>
        <w:rPr>
          <w:rFonts w:eastAsiaTheme="majorEastAsia" w:cstheme="majorBidi"/>
          <w:lang w:val="en-IN"/>
        </w:rPr>
        <w:t xml:space="preserve"> discretised into </w:t>
      </w:r>
      <w:r w:rsidR="00B46E80">
        <w:rPr>
          <w:rFonts w:eastAsiaTheme="majorEastAsia" w:cstheme="majorBidi"/>
          <w:lang w:val="en-IN"/>
        </w:rPr>
        <w:t xml:space="preserve">a </w:t>
      </w:r>
      <w:r>
        <w:rPr>
          <w:rFonts w:eastAsiaTheme="majorEastAsia" w:cstheme="majorBidi"/>
          <w:lang w:val="en-IN"/>
        </w:rPr>
        <w:t xml:space="preserve">fixed grid (e.g., </w:t>
      </w:r>
      <w:r>
        <w:t xml:space="preserve">75 depth points from the surface down to a depth slightly beyond the deepest measurement). The initial condition at </w:t>
      </w:r>
      <w:r w:rsidRPr="00DA50CC">
        <w:rPr>
          <w:i/>
          <w:iCs/>
        </w:rPr>
        <w:t>t</w:t>
      </w:r>
      <w:r>
        <w:t xml:space="preserve"> = 0 assumes the rock was fully saturated with luminescence at all depth</w:t>
      </w:r>
      <w:r w:rsidR="00B46E80">
        <w:t>s</w:t>
      </w:r>
      <w:r>
        <w:t xml:space="preserve"> (</w:t>
      </w:r>
      <m:oMath>
        <m:bar>
          <m:barPr>
            <m:pos m:val="top"/>
            <m:ctrlPr>
              <w:rPr>
                <w:rFonts w:ascii="Cambria Math" w:hAnsi="Cambria Math" w:cs="Times New Roman"/>
                <w:i/>
              </w:rPr>
            </m:ctrlPr>
          </m:barPr>
          <m:e>
            <m:r>
              <w:rPr>
                <w:rFonts w:ascii="Cambria Math" w:hAnsi="Cambria Math" w:cs="Times New Roman"/>
              </w:rPr>
              <m:t>n</m:t>
            </m:r>
          </m:e>
        </m:bar>
      </m:oMath>
      <w:r>
        <w:t xml:space="preserve"> = 1) which is derived from the assumption that no prior light exposure before the current exposure period. At each time step, the normalised luminescence signal (NLS) at each depth is updated as: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3"/>
        <w:gridCol w:w="877"/>
      </w:tblGrid>
      <w:tr w:rsidR="00890E7F" w14:paraId="23F6ED9C" w14:textId="77777777" w:rsidTr="00890E7F">
        <w:tc>
          <w:tcPr>
            <w:tcW w:w="4594" w:type="pct"/>
          </w:tcPr>
          <w:p w14:paraId="58CD923F" w14:textId="77777777" w:rsidR="00890E7F" w:rsidRPr="00DA50CC" w:rsidRDefault="00000000" w:rsidP="00890E7F">
            <w:pPr>
              <w:rPr>
                <w:rFonts w:eastAsiaTheme="majorEastAsia" w:cstheme="majorBidi"/>
                <w:i/>
                <w:lang w:val="en-IN"/>
              </w:rPr>
            </w:pPr>
            <m:oMathPara>
              <m:oMath>
                <m:sSub>
                  <m:sSubPr>
                    <m:ctrlPr>
                      <w:rPr>
                        <w:rFonts w:ascii="Cambria Math" w:eastAsiaTheme="majorEastAsia" w:hAnsi="Cambria Math" w:cstheme="majorBidi"/>
                        <w:i/>
                        <w:lang w:val="en-IN"/>
                      </w:rPr>
                    </m:ctrlPr>
                  </m:sSubPr>
                  <m:e>
                    <m:bar>
                      <m:barPr>
                        <m:pos m:val="top"/>
                        <m:ctrlPr>
                          <w:rPr>
                            <w:rFonts w:ascii="Cambria Math" w:hAnsi="Cambria Math" w:cs="Times New Roman"/>
                            <w:i/>
                          </w:rPr>
                        </m:ctrlPr>
                      </m:barPr>
                      <m:e>
                        <m:r>
                          <w:rPr>
                            <w:rFonts w:ascii="Cambria Math" w:hAnsi="Cambria Math" w:cs="Times New Roman"/>
                          </w:rPr>
                          <m:t>n</m:t>
                        </m:r>
                      </m:e>
                    </m:bar>
                  </m:e>
                  <m:sub>
                    <m:r>
                      <w:rPr>
                        <w:rFonts w:ascii="Cambria Math" w:eastAsiaTheme="majorEastAsia" w:hAnsi="Cambria Math" w:cstheme="majorBidi"/>
                        <w:lang w:val="en-IN"/>
                      </w:rPr>
                      <m:t>new</m:t>
                    </m:r>
                  </m:sub>
                </m:sSub>
                <m:r>
                  <w:rPr>
                    <w:rFonts w:ascii="Cambria Math" w:eastAsiaTheme="majorEastAsia" w:hAnsi="Cambria Math" w:cstheme="majorBidi"/>
                    <w:lang w:val="en-IN"/>
                  </w:rPr>
                  <m:t xml:space="preserve"> = </m:t>
                </m:r>
                <m:sSub>
                  <m:sSubPr>
                    <m:ctrlPr>
                      <w:rPr>
                        <w:rFonts w:ascii="Cambria Math" w:eastAsiaTheme="majorEastAsia" w:hAnsi="Cambria Math" w:cstheme="majorBidi"/>
                        <w:i/>
                        <w:lang w:val="en-IN"/>
                      </w:rPr>
                    </m:ctrlPr>
                  </m:sSubPr>
                  <m:e>
                    <m:bar>
                      <m:barPr>
                        <m:pos m:val="top"/>
                        <m:ctrlPr>
                          <w:rPr>
                            <w:rFonts w:ascii="Cambria Math" w:hAnsi="Cambria Math" w:cs="Times New Roman"/>
                            <w:i/>
                          </w:rPr>
                        </m:ctrlPr>
                      </m:barPr>
                      <m:e>
                        <m:r>
                          <w:rPr>
                            <w:rFonts w:ascii="Cambria Math" w:hAnsi="Cambria Math" w:cs="Times New Roman"/>
                          </w:rPr>
                          <m:t>n</m:t>
                        </m:r>
                      </m:e>
                    </m:bar>
                  </m:e>
                  <m:sub>
                    <m:r>
                      <w:rPr>
                        <w:rFonts w:ascii="Cambria Math" w:eastAsiaTheme="majorEastAsia" w:hAnsi="Cambria Math" w:cstheme="majorBidi"/>
                        <w:lang w:val="en-IN"/>
                      </w:rPr>
                      <m:t>old</m:t>
                    </m:r>
                  </m:sub>
                </m:sSub>
                <m:r>
                  <w:rPr>
                    <w:rFonts w:ascii="Cambria Math" w:eastAsiaTheme="majorEastAsia" w:hAnsi="Cambria Math" w:cstheme="majorBidi"/>
                    <w:lang w:val="en-IN"/>
                  </w:rPr>
                  <m:t xml:space="preserve"> +</m:t>
                </m:r>
                <m:d>
                  <m:dPr>
                    <m:begChr m:val="["/>
                    <m:endChr m:val="]"/>
                    <m:ctrlPr>
                      <w:rPr>
                        <w:rFonts w:ascii="Cambria Math" w:eastAsiaTheme="majorEastAsia" w:hAnsi="Cambria Math" w:cstheme="majorBidi"/>
                        <w:i/>
                        <w:lang w:val="en-IN"/>
                      </w:rPr>
                    </m:ctrlPr>
                  </m:dPr>
                  <m:e>
                    <m:f>
                      <m:fPr>
                        <m:ctrlPr>
                          <w:rPr>
                            <w:rFonts w:ascii="Cambria Math" w:hAnsi="Cambria Math" w:cs="Times New Roman"/>
                            <w:i/>
                          </w:rPr>
                        </m:ctrlPr>
                      </m:fPr>
                      <m:num>
                        <m:acc>
                          <m:accPr>
                            <m:chr m:val="̇"/>
                            <m:ctrlPr>
                              <w:rPr>
                                <w:rFonts w:ascii="Cambria Math" w:hAnsi="Cambria Math" w:cs="Times New Roman"/>
                                <w:i/>
                              </w:rPr>
                            </m:ctrlPr>
                          </m:accPr>
                          <m:e>
                            <m:r>
                              <w:rPr>
                                <w:rFonts w:ascii="Cambria Math" w:hAnsi="Cambria Math" w:cs="Times New Roman"/>
                              </w:rPr>
                              <m:t>D</m:t>
                            </m:r>
                          </m:e>
                        </m:acc>
                      </m:num>
                      <m:den>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o</m:t>
                            </m:r>
                          </m:sub>
                        </m:sSub>
                      </m:den>
                    </m:f>
                    <m:d>
                      <m:dPr>
                        <m:ctrlPr>
                          <w:rPr>
                            <w:rFonts w:ascii="Cambria Math" w:hAnsi="Cambria Math" w:cs="Times New Roman"/>
                            <w:i/>
                          </w:rPr>
                        </m:ctrlPr>
                      </m:dPr>
                      <m:e>
                        <m:r>
                          <w:rPr>
                            <w:rFonts w:ascii="Cambria Math" w:hAnsi="Cambria Math" w:cs="Times New Roman"/>
                            <w:lang w:val="en-IN"/>
                          </w:rPr>
                          <m:t>1-</m:t>
                        </m:r>
                        <m:bar>
                          <m:barPr>
                            <m:pos m:val="top"/>
                            <m:ctrlPr>
                              <w:rPr>
                                <w:rFonts w:ascii="Cambria Math" w:hAnsi="Cambria Math" w:cs="Times New Roman"/>
                                <w:i/>
                              </w:rPr>
                            </m:ctrlPr>
                          </m:barPr>
                          <m:e>
                            <m:r>
                              <w:rPr>
                                <w:rFonts w:ascii="Cambria Math" w:hAnsi="Cambria Math" w:cs="Times New Roman"/>
                              </w:rPr>
                              <m:t>n</m:t>
                            </m:r>
                          </m:e>
                        </m:bar>
                      </m:e>
                    </m:d>
                    <m:r>
                      <w:rPr>
                        <w:rFonts w:ascii="Cambria Math" w:eastAsiaTheme="majorEastAsia" w:hAnsi="Cambria Math" w:cstheme="majorBidi"/>
                        <w:lang w:val="en-IN"/>
                      </w:rPr>
                      <m:t xml:space="preserve"> </m:t>
                    </m:r>
                    <m:r>
                      <w:rPr>
                        <w:rFonts w:ascii="Cambria Math" w:hAnsi="Cambria Math" w:cs="Times New Roman"/>
                        <w:lang w:val="en-IN"/>
                      </w:rPr>
                      <m:t>-</m:t>
                    </m:r>
                    <m:sSup>
                      <m:sSupPr>
                        <m:ctrlPr>
                          <w:rPr>
                            <w:rFonts w:ascii="Cambria Math" w:hAnsi="Cambria Math" w:cs="Times New Roman"/>
                            <w:i/>
                          </w:rPr>
                        </m:ctrlPr>
                      </m:sSupPr>
                      <m:e>
                        <m:bar>
                          <m:barPr>
                            <m:pos m:val="top"/>
                            <m:ctrlPr>
                              <w:rPr>
                                <w:rFonts w:ascii="Cambria Math" w:hAnsi="Cambria Math" w:cs="Times New Roman"/>
                                <w:i/>
                              </w:rPr>
                            </m:ctrlPr>
                          </m:barPr>
                          <m:e>
                            <m:r>
                              <w:rPr>
                                <w:rFonts w:ascii="Cambria Math" w:hAnsi="Cambria Math" w:cs="Times New Roman"/>
                              </w:rPr>
                              <m:t>n</m:t>
                            </m:r>
                          </m:e>
                        </m:bar>
                      </m:e>
                      <m:sup>
                        <m:r>
                          <w:rPr>
                            <w:rFonts w:ascii="Cambria Math" w:hAnsi="Cambria Math" w:cs="Times New Roman"/>
                          </w:rPr>
                          <m:t>r</m:t>
                        </m:r>
                      </m:sup>
                    </m:sSup>
                    <m:r>
                      <w:rPr>
                        <w:rFonts w:ascii="Cambria Math" w:hAnsi="Cambria Math" w:cs="Times New Roman"/>
                        <w:lang w:val="en-IN"/>
                      </w:rPr>
                      <m:t xml:space="preserve"> </m:t>
                    </m:r>
                    <m:bar>
                      <m:barPr>
                        <m:pos m:val="top"/>
                        <m:ctrlPr>
                          <w:rPr>
                            <w:rFonts w:ascii="Cambria Math" w:hAnsi="Cambria Math" w:cs="Times New Roman"/>
                            <w:i/>
                          </w:rPr>
                        </m:ctrlPr>
                      </m:barPr>
                      <m:e>
                        <m:r>
                          <w:rPr>
                            <w:rFonts w:ascii="Cambria Math" w:hAnsi="Cambria Math" w:cs="Times New Roman"/>
                            <w:lang w:val="el-GR"/>
                          </w:rPr>
                          <m:t>σφ</m:t>
                        </m:r>
                      </m:e>
                    </m:bar>
                    <m:r>
                      <w:rPr>
                        <w:rFonts w:ascii="Cambria Math" w:hAnsi="Cambria Math" w:cs="Times New Roman"/>
                        <w:lang w:val="el-GR"/>
                      </w:rPr>
                      <m:t>˳</m:t>
                    </m:r>
                    <m:sSup>
                      <m:sSupPr>
                        <m:ctrlPr>
                          <w:rPr>
                            <w:rFonts w:ascii="Cambria Math" w:hAnsi="Cambria Math" w:cs="Times New Roman"/>
                            <w:i/>
                          </w:rPr>
                        </m:ctrlPr>
                      </m:sSupPr>
                      <m:e>
                        <m:r>
                          <w:rPr>
                            <w:rFonts w:ascii="Cambria Math" w:hAnsi="Cambria Math" w:cs="Times New Roman"/>
                          </w:rPr>
                          <m:t>e</m:t>
                        </m:r>
                      </m:e>
                      <m:sup>
                        <m:r>
                          <w:rPr>
                            <w:rFonts w:ascii="Cambria Math" w:hAnsi="Cambria Math" w:cs="Times New Roman"/>
                            <w:lang w:val="en-IN"/>
                          </w:rPr>
                          <m:t>-µ</m:t>
                        </m:r>
                        <m:r>
                          <w:rPr>
                            <w:rFonts w:ascii="Cambria Math" w:hAnsi="Cambria Math" w:cs="Times New Roman"/>
                          </w:rPr>
                          <m:t>x</m:t>
                        </m:r>
                      </m:sup>
                    </m:sSup>
                    <m:r>
                      <w:rPr>
                        <w:rFonts w:ascii="Cambria Math" w:hAnsi="Cambria Math" w:cs="Times New Roman"/>
                        <w:lang w:val="en-IN"/>
                      </w:rPr>
                      <m:t xml:space="preserve"> </m:t>
                    </m:r>
                    <m:r>
                      <w:rPr>
                        <w:rFonts w:ascii="Cambria Math" w:hAnsi="Cambria Math" w:cs="Times New Roman"/>
                      </w:rPr>
                      <m:t>+</m:t>
                    </m:r>
                    <m:acc>
                      <m:accPr>
                        <m:chr m:val="̇"/>
                        <m:ctrlPr>
                          <w:rPr>
                            <w:rFonts w:ascii="Cambria Math" w:hAnsi="Cambria Math" w:cs="Times New Roman"/>
                            <w:i/>
                          </w:rPr>
                        </m:ctrlPr>
                      </m:accPr>
                      <m:e>
                        <m:r>
                          <w:rPr>
                            <w:rFonts w:ascii="Cambria Math" w:hAnsi="Cambria Math" w:cs="Times New Roman"/>
                          </w:rPr>
                          <m:t>ε</m:t>
                        </m:r>
                      </m:e>
                    </m:acc>
                    <m:f>
                      <m:fPr>
                        <m:ctrlPr>
                          <w:rPr>
                            <w:rFonts w:ascii="Cambria Math" w:hAnsi="Cambria Math" w:cs="Times New Roman"/>
                            <w:i/>
                          </w:rPr>
                        </m:ctrlPr>
                      </m:fPr>
                      <m:num>
                        <m:r>
                          <w:rPr>
                            <w:rFonts w:ascii="Cambria Math" w:hAnsi="Cambria Math" w:cs="Times New Roman"/>
                          </w:rPr>
                          <m:t>d</m:t>
                        </m:r>
                        <m:bar>
                          <m:barPr>
                            <m:pos m:val="top"/>
                            <m:ctrlPr>
                              <w:rPr>
                                <w:rFonts w:ascii="Cambria Math" w:hAnsi="Cambria Math" w:cs="Times New Roman"/>
                                <w:i/>
                              </w:rPr>
                            </m:ctrlPr>
                          </m:barPr>
                          <m:e>
                            <m:r>
                              <w:rPr>
                                <w:rFonts w:ascii="Cambria Math" w:hAnsi="Cambria Math" w:cs="Times New Roman"/>
                              </w:rPr>
                              <m:t>n</m:t>
                            </m:r>
                          </m:e>
                        </m:bar>
                      </m:num>
                      <m:den>
                        <m:r>
                          <w:rPr>
                            <w:rFonts w:ascii="Cambria Math" w:hAnsi="Cambria Math" w:cs="Times New Roman"/>
                          </w:rPr>
                          <m:t>dx</m:t>
                        </m:r>
                      </m:den>
                    </m:f>
                    <m:r>
                      <w:rPr>
                        <w:rFonts w:ascii="Cambria Math" w:hAnsi="Cambria Math" w:cs="Times New Roman"/>
                      </w:rPr>
                      <m:t xml:space="preserve"> </m:t>
                    </m:r>
                  </m:e>
                </m:d>
                <m:r>
                  <w:rPr>
                    <w:rFonts w:ascii="Cambria Math" w:eastAsiaTheme="majorEastAsia" w:hAnsi="Cambria Math" w:cstheme="majorBidi"/>
                    <w:lang w:val="en-IN"/>
                  </w:rPr>
                  <m:t xml:space="preserve"> × ∆t</m:t>
                </m:r>
              </m:oMath>
            </m:oMathPara>
          </w:p>
          <w:p w14:paraId="2F3DCBB8" w14:textId="77777777" w:rsidR="00890E7F" w:rsidRDefault="00890E7F" w:rsidP="00A625CB">
            <w:pPr>
              <w:rPr>
                <w:lang w:val="en-IN"/>
              </w:rPr>
            </w:pPr>
          </w:p>
        </w:tc>
        <w:tc>
          <w:tcPr>
            <w:tcW w:w="406" w:type="pct"/>
          </w:tcPr>
          <w:p w14:paraId="70BD29BB" w14:textId="1B77B9E1" w:rsidR="00890E7F" w:rsidRDefault="00890E7F" w:rsidP="00A625CB">
            <w:pPr>
              <w:rPr>
                <w:lang w:val="en-IN"/>
              </w:rPr>
            </w:pPr>
            <w:r>
              <w:rPr>
                <w:lang w:val="en-IN"/>
              </w:rPr>
              <w:t>(2)</w:t>
            </w:r>
          </w:p>
        </w:tc>
      </w:tr>
    </w:tbl>
    <w:p w14:paraId="0400D6D1" w14:textId="77777777" w:rsidR="00890E7F" w:rsidRDefault="00890E7F" w:rsidP="00E57D42"/>
    <w:p w14:paraId="4422B651" w14:textId="7AB06810" w:rsidR="00E57D42" w:rsidRDefault="00E57D42" w:rsidP="00E57D42">
      <w:pPr>
        <w:rPr>
          <w:rFonts w:eastAsiaTheme="majorEastAsia" w:cstheme="majorBidi"/>
        </w:rPr>
      </w:pPr>
      <w:r>
        <w:rPr>
          <w:rFonts w:eastAsiaTheme="majorEastAsia" w:cstheme="majorBidi"/>
          <w:iCs/>
          <w:lang w:val="en-IN"/>
        </w:rPr>
        <w:t xml:space="preserve">The advection term is only included if the </w:t>
      </w:r>
      <m:oMath>
        <m:acc>
          <m:accPr>
            <m:chr m:val="̇"/>
            <m:ctrlPr>
              <w:rPr>
                <w:rFonts w:ascii="Cambria Math" w:hAnsi="Cambria Math" w:cs="Times New Roman"/>
                <w:i/>
              </w:rPr>
            </m:ctrlPr>
          </m:accPr>
          <m:e>
            <m:r>
              <w:rPr>
                <w:rFonts w:ascii="Cambria Math" w:hAnsi="Cambria Math" w:cs="Times New Roman"/>
              </w:rPr>
              <m:t>ε</m:t>
            </m:r>
          </m:e>
        </m:acc>
      </m:oMath>
      <w:r>
        <w:rPr>
          <w:rFonts w:eastAsiaTheme="majorEastAsia" w:cstheme="majorBidi"/>
        </w:rPr>
        <w:t xml:space="preserve"> &gt; 0 mm</w:t>
      </w:r>
      <w:r w:rsidR="005B36D3">
        <w:rPr>
          <w:rFonts w:eastAsiaTheme="majorEastAsia" w:cstheme="majorBidi"/>
        </w:rPr>
        <w:t>/a</w:t>
      </w:r>
      <w:r>
        <w:rPr>
          <w:rFonts w:eastAsiaTheme="majorEastAsia" w:cstheme="majorBidi"/>
        </w:rPr>
        <w:t>. After each step, any numerical overshoot is corrected by constraining</w:t>
      </w:r>
      <w:r w:rsidR="00B46E80">
        <w:rPr>
          <w:rFonts w:eastAsiaTheme="majorEastAsia" w:cstheme="majorBidi"/>
        </w:rPr>
        <w:t xml:space="preserve"> the solution.</w:t>
      </w:r>
      <w:r>
        <w:rPr>
          <w:rFonts w:eastAsiaTheme="majorEastAsia" w:cstheme="majorBidi"/>
        </w:rPr>
        <w:t xml:space="preserve"> </w:t>
      </w:r>
      <m:oMath>
        <m:bar>
          <m:barPr>
            <m:pos m:val="top"/>
            <m:ctrlPr>
              <w:rPr>
                <w:rFonts w:ascii="Cambria Math" w:hAnsi="Cambria Math" w:cs="Times New Roman"/>
                <w:i/>
              </w:rPr>
            </m:ctrlPr>
          </m:barPr>
          <m:e>
            <m:r>
              <w:rPr>
                <w:rFonts w:ascii="Cambria Math" w:hAnsi="Cambria Math" w:cs="Times New Roman"/>
              </w:rPr>
              <m:t>n</m:t>
            </m:r>
          </m:e>
        </m:bar>
      </m:oMath>
      <w:r>
        <w:rPr>
          <w:rFonts w:eastAsiaTheme="majorEastAsia" w:cstheme="majorBidi"/>
        </w:rPr>
        <w:t xml:space="preserve"> within [0,1] (the values outside this range are set to 0). This ensures that simulated NLS remains physically valid. The iteration is performed up to the </w:t>
      </w:r>
      <w:r w:rsidR="00C46B04">
        <w:rPr>
          <w:rFonts w:eastAsiaTheme="majorEastAsia" w:cstheme="majorBidi"/>
          <w:i/>
          <w:iCs/>
        </w:rPr>
        <w:t>t</w:t>
      </w:r>
      <w:r>
        <w:rPr>
          <w:rFonts w:eastAsiaTheme="majorEastAsia" w:cstheme="majorBidi"/>
        </w:rPr>
        <w:t xml:space="preserve"> of the calibration sample for each pair (</w:t>
      </w:r>
      <w:r>
        <w:rPr>
          <w:rFonts w:eastAsiaTheme="majorEastAsia" w:cstheme="majorBidi"/>
          <w:i/>
          <w:iCs/>
        </w:rPr>
        <w:t xml:space="preserve">m </w:t>
      </w:r>
      <w:r>
        <w:rPr>
          <w:rFonts w:eastAsiaTheme="majorEastAsia" w:cs="Times New Roman"/>
          <w:i/>
          <w:iCs/>
        </w:rPr>
        <w:t>×</w:t>
      </w:r>
      <w:r>
        <w:rPr>
          <w:rFonts w:eastAsiaTheme="majorEastAsia" w:cstheme="majorBidi"/>
          <w:i/>
          <w:iCs/>
        </w:rPr>
        <w:t xml:space="preserve"> m</w:t>
      </w:r>
      <w:r>
        <w:rPr>
          <w:rFonts w:eastAsiaTheme="majorEastAsia" w:cstheme="majorBidi"/>
        </w:rPr>
        <w:t>) of incorporated</w:t>
      </w:r>
      <w:r w:rsidR="00B46E80">
        <w:rPr>
          <w:rFonts w:eastAsiaTheme="majorEastAsia" w:cstheme="majorBidi"/>
        </w:rPr>
        <w:t>.</w:t>
      </w:r>
      <w:r>
        <w:rPr>
          <w:rFonts w:eastAsiaTheme="majorEastAsia" w:cstheme="majorBidi"/>
        </w:rPr>
        <w:t xml:space="preserve"> </w:t>
      </w:r>
      <m:oMath>
        <m:bar>
          <m:barPr>
            <m:pos m:val="top"/>
            <m:ctrlPr>
              <w:rPr>
                <w:rFonts w:ascii="Cambria Math" w:eastAsiaTheme="majorEastAsia" w:hAnsi="Cambria Math" w:cstheme="majorBidi"/>
                <w:i/>
              </w:rPr>
            </m:ctrlPr>
          </m:barPr>
          <m:e>
            <m:r>
              <w:rPr>
                <w:rFonts w:ascii="Cambria Math" w:eastAsiaTheme="majorEastAsia" w:hAnsi="Cambria Math" w:cstheme="majorBidi"/>
              </w:rPr>
              <m:t>σ</m:t>
            </m:r>
            <m:sSub>
              <m:sSubPr>
                <m:ctrlPr>
                  <w:rPr>
                    <w:rFonts w:ascii="Cambria Math" w:eastAsiaTheme="majorEastAsia" w:hAnsi="Cambria Math" w:cstheme="majorBidi"/>
                    <w:i/>
                  </w:rPr>
                </m:ctrlPr>
              </m:sSubPr>
              <m:e>
                <m:r>
                  <w:rPr>
                    <w:rFonts w:ascii="Cambria Math" w:eastAsiaTheme="majorEastAsia" w:hAnsi="Cambria Math" w:cstheme="majorBidi"/>
                  </w:rPr>
                  <m:t>φ</m:t>
                </m:r>
              </m:e>
              <m:sub>
                <m:r>
                  <w:rPr>
                    <w:rFonts w:ascii="Cambria Math" w:eastAsiaTheme="majorEastAsia" w:hAnsi="Cambria Math" w:cstheme="majorBidi"/>
                  </w:rPr>
                  <m:t>0</m:t>
                </m:r>
              </m:sub>
            </m:sSub>
          </m:e>
        </m:bar>
      </m:oMath>
      <w:r>
        <w:rPr>
          <w:rFonts w:eastAsiaTheme="majorEastAsia" w:cstheme="majorBidi"/>
        </w:rPr>
        <w:t xml:space="preserve"> and </w:t>
      </w:r>
      <w:r w:rsidRPr="00F323E8">
        <w:rPr>
          <w:i/>
          <w:iCs/>
          <w:lang w:val="en-IN"/>
        </w:rPr>
        <w:t>μ</w:t>
      </w:r>
      <w:r>
        <w:rPr>
          <w:i/>
          <w:iCs/>
          <w:lang w:val="en-IN"/>
        </w:rPr>
        <w:t xml:space="preserve">. </w:t>
      </w:r>
    </w:p>
    <w:p w14:paraId="02B921DD" w14:textId="77777777" w:rsidR="00E57D42" w:rsidRDefault="00E57D42" w:rsidP="00A84F4D">
      <w:pPr>
        <w:pStyle w:val="Heading3"/>
      </w:pPr>
      <w:r>
        <w:t>Inverse Modelling</w:t>
      </w:r>
    </w:p>
    <w:p w14:paraId="1354C5FF" w14:textId="578F6563" w:rsidR="00E57D42" w:rsidRDefault="00E57D42" w:rsidP="00E57D42">
      <w:pPr>
        <w:rPr>
          <w:lang w:val="en-IN"/>
        </w:rPr>
      </w:pPr>
      <w:r>
        <w:t xml:space="preserve">To calibrate the unknown parameters, the synthetic profile is compared to the experimental profile. For each pair of parameters </w:t>
      </w:r>
      <m:oMath>
        <m:bar>
          <m:barPr>
            <m:pos m:val="top"/>
            <m:ctrlPr>
              <w:rPr>
                <w:rFonts w:ascii="Cambria Math" w:eastAsiaTheme="majorEastAsia" w:hAnsi="Cambria Math" w:cstheme="majorBidi"/>
                <w:i/>
              </w:rPr>
            </m:ctrlPr>
          </m:barPr>
          <m:e>
            <m:r>
              <w:rPr>
                <w:rFonts w:ascii="Cambria Math" w:eastAsiaTheme="majorEastAsia" w:hAnsi="Cambria Math" w:cstheme="majorBidi"/>
              </w:rPr>
              <m:t>σ</m:t>
            </m:r>
            <m:sSub>
              <m:sSubPr>
                <m:ctrlPr>
                  <w:rPr>
                    <w:rFonts w:ascii="Cambria Math" w:eastAsiaTheme="majorEastAsia" w:hAnsi="Cambria Math" w:cstheme="majorBidi"/>
                    <w:i/>
                  </w:rPr>
                </m:ctrlPr>
              </m:sSubPr>
              <m:e>
                <m:r>
                  <w:rPr>
                    <w:rFonts w:ascii="Cambria Math" w:eastAsiaTheme="majorEastAsia" w:hAnsi="Cambria Math" w:cstheme="majorBidi"/>
                  </w:rPr>
                  <m:t>φ</m:t>
                </m:r>
              </m:e>
              <m:sub>
                <m:r>
                  <w:rPr>
                    <w:rFonts w:ascii="Cambria Math" w:eastAsiaTheme="majorEastAsia" w:hAnsi="Cambria Math" w:cstheme="majorBidi"/>
                  </w:rPr>
                  <m:t>0</m:t>
                </m:r>
              </m:sub>
            </m:sSub>
          </m:e>
        </m:bar>
      </m:oMath>
      <w:r>
        <w:t xml:space="preserve"> and </w:t>
      </w:r>
      <w:r w:rsidRPr="00F323E8">
        <w:rPr>
          <w:i/>
          <w:iCs/>
          <w:lang w:val="en-IN"/>
        </w:rPr>
        <w:t>μ</w:t>
      </w:r>
      <w:r>
        <w:rPr>
          <w:i/>
          <w:iCs/>
          <w:lang w:val="en-IN"/>
        </w:rPr>
        <w:t xml:space="preserve"> </w:t>
      </w:r>
      <w:r>
        <w:rPr>
          <w:lang w:val="en-IN"/>
        </w:rPr>
        <w:t xml:space="preserve"> on </w:t>
      </w:r>
      <w:r w:rsidR="00B46E80">
        <w:rPr>
          <w:lang w:val="en-IN"/>
        </w:rPr>
        <w:t xml:space="preserve">a </w:t>
      </w:r>
      <w:r>
        <w:rPr>
          <w:lang w:val="en-IN"/>
        </w:rPr>
        <w:t xml:space="preserve">defined grid (spanning the user-specified range in </w:t>
      </w:r>
      <m:oMath>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bar>
              <m:barPr>
                <m:pos m:val="top"/>
                <m:ctrlPr>
                  <w:rPr>
                    <w:rFonts w:ascii="Cambria Math" w:eastAsiaTheme="majorEastAsia" w:hAnsi="Cambria Math" w:cstheme="majorBidi"/>
                    <w:i/>
                  </w:rPr>
                </m:ctrlPr>
              </m:barPr>
              <m:e>
                <m:r>
                  <w:rPr>
                    <w:rFonts w:ascii="Cambria Math" w:eastAsiaTheme="majorEastAsia" w:hAnsi="Cambria Math" w:cstheme="majorBidi"/>
                  </w:rPr>
                  <m:t>σ</m:t>
                </m:r>
                <m:sSub>
                  <m:sSubPr>
                    <m:ctrlPr>
                      <w:rPr>
                        <w:rFonts w:ascii="Cambria Math" w:eastAsiaTheme="majorEastAsia" w:hAnsi="Cambria Math" w:cstheme="majorBidi"/>
                        <w:i/>
                      </w:rPr>
                    </m:ctrlPr>
                  </m:sSubPr>
                  <m:e>
                    <m:r>
                      <w:rPr>
                        <w:rFonts w:ascii="Cambria Math" w:eastAsiaTheme="majorEastAsia" w:hAnsi="Cambria Math" w:cstheme="majorBidi"/>
                      </w:rPr>
                      <m:t>φ</m:t>
                    </m:r>
                  </m:e>
                  <m:sub>
                    <m:r>
                      <w:rPr>
                        <w:rFonts w:ascii="Cambria Math" w:eastAsiaTheme="majorEastAsia" w:hAnsi="Cambria Math" w:cstheme="majorBidi"/>
                      </w:rPr>
                      <m:t>0</m:t>
                    </m:r>
                  </m:sub>
                </m:sSub>
              </m:e>
            </m:bar>
          </m:e>
        </m:func>
        <m:r>
          <w:rPr>
            <w:rFonts w:ascii="Cambria Math" w:hAnsi="Cambria Math"/>
          </w:rPr>
          <m:t>)</m:t>
        </m:r>
      </m:oMath>
      <w:r>
        <w:t xml:space="preserve"> and linear </w:t>
      </w:r>
      <w:r w:rsidRPr="00F323E8">
        <w:rPr>
          <w:i/>
          <w:iCs/>
          <w:lang w:val="en-IN"/>
        </w:rPr>
        <w:t>μ</w:t>
      </w:r>
      <w:r>
        <w:rPr>
          <w:i/>
          <w:iCs/>
          <w:lang w:val="en-IN"/>
        </w:rPr>
        <w:t xml:space="preserve"> </w:t>
      </w:r>
      <w:r>
        <w:rPr>
          <w:lang w:val="en-IN"/>
        </w:rPr>
        <w:t>with resolution of</w:t>
      </w:r>
      <w:r>
        <w:rPr>
          <w:i/>
          <w:iCs/>
          <w:lang w:val="en-IN"/>
        </w:rPr>
        <w:t xml:space="preserve"> m </w:t>
      </w:r>
      <w:r>
        <w:rPr>
          <w:lang w:val="en-IN"/>
        </w:rPr>
        <w:t xml:space="preserve"> in each dimension, a synthetic NLS profile is generated as described above. The model then computes a misfit between </w:t>
      </w:r>
      <w:r w:rsidR="00B46E80">
        <w:rPr>
          <w:lang w:val="en-IN"/>
        </w:rPr>
        <w:t xml:space="preserve">the </w:t>
      </w:r>
      <w:r>
        <w:rPr>
          <w:lang w:val="en-IN"/>
        </w:rPr>
        <w:t>synthetic</w:t>
      </w:r>
      <w:r w:rsidR="00C46B04">
        <w:rPr>
          <w:lang w:val="en-IN"/>
        </w:rPr>
        <w:t xml:space="preserve"> (</w:t>
      </w:r>
      <m:oMath>
        <m:acc>
          <m:accPr>
            <m:chr m:val="̅"/>
            <m:ctrlPr>
              <w:rPr>
                <w:rFonts w:ascii="Cambria Math" w:hAnsi="Cambria Math"/>
                <w:i/>
                <w:iCs/>
              </w:rPr>
            </m:ctrlPr>
          </m:accPr>
          <m:e>
            <m:r>
              <w:rPr>
                <w:rFonts w:ascii="Cambria Math" w:hAnsi="Cambria Math"/>
              </w:rPr>
              <m:t>n</m:t>
            </m:r>
          </m:e>
        </m:acc>
      </m:oMath>
      <w:r w:rsidR="00C46B04">
        <w:rPr>
          <w:i/>
          <w:iCs/>
          <w:vertAlign w:val="subscript"/>
        </w:rPr>
        <w:t>sim</w:t>
      </w:r>
      <w:r w:rsidR="00C46B04">
        <w:rPr>
          <w:lang w:val="en-IN"/>
        </w:rPr>
        <w:t xml:space="preserve"> ) </w:t>
      </w:r>
      <w:r w:rsidR="00C46B04">
        <w:t>and</w:t>
      </w:r>
      <w:r>
        <w:rPr>
          <w:lang w:val="en-IN"/>
        </w:rPr>
        <w:t xml:space="preserve"> experimental </w:t>
      </w:r>
      <m:oMath>
        <m:r>
          <w:rPr>
            <w:rFonts w:ascii="Cambria Math" w:hAnsi="Cambria Math"/>
            <w:lang w:val="en-IN"/>
          </w:rPr>
          <m:t>(</m:t>
        </m:r>
        <m:acc>
          <m:accPr>
            <m:chr m:val="̅"/>
            <m:ctrlPr>
              <w:rPr>
                <w:rFonts w:ascii="Cambria Math" w:hAnsi="Cambria Math"/>
                <w:i/>
                <w:iCs/>
              </w:rPr>
            </m:ctrlPr>
          </m:accPr>
          <m:e>
            <m:r>
              <w:rPr>
                <w:rFonts w:ascii="Cambria Math" w:hAnsi="Cambria Math"/>
              </w:rPr>
              <m:t>n</m:t>
            </m:r>
          </m:e>
        </m:acc>
      </m:oMath>
      <w:r w:rsidR="00C46B04">
        <w:rPr>
          <w:i/>
          <w:iCs/>
          <w:vertAlign w:val="subscript"/>
        </w:rPr>
        <w:t>obs</w:t>
      </w:r>
      <w:r w:rsidR="00C46B04">
        <w:t xml:space="preserve">) </w:t>
      </w:r>
      <w:r>
        <w:rPr>
          <w:lang w:val="en-IN"/>
        </w:rPr>
        <w:t xml:space="preserve">LDP. Furthermore, every computed misfit is then converted into </w:t>
      </w:r>
      <w:r w:rsidR="00B46E80">
        <w:rPr>
          <w:lang w:val="en-IN"/>
        </w:rPr>
        <w:t xml:space="preserve">a </w:t>
      </w:r>
      <w:r>
        <w:rPr>
          <w:lang w:val="en-IN"/>
        </w:rPr>
        <w:t xml:space="preserve">likelihood score assuming </w:t>
      </w:r>
      <w:r w:rsidR="00B46E80">
        <w:rPr>
          <w:lang w:val="en-IN"/>
        </w:rPr>
        <w:t xml:space="preserve">a </w:t>
      </w:r>
      <w:r>
        <w:rPr>
          <w:lang w:val="en-IN"/>
        </w:rPr>
        <w:t xml:space="preserve">Gaussian error model as: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890E7F" w14:paraId="68050B4E" w14:textId="77777777" w:rsidTr="00A625CB">
        <w:tc>
          <w:tcPr>
            <w:tcW w:w="5395" w:type="dxa"/>
          </w:tcPr>
          <w:p w14:paraId="29243A7B" w14:textId="579E7445" w:rsidR="00890E7F" w:rsidRDefault="00000000" w:rsidP="00A625CB">
            <w:pPr>
              <w:rPr>
                <w:lang w:val="en-IN"/>
              </w:rPr>
            </w:pPr>
            <m:oMathPara>
              <m:oMath>
                <m:sSup>
                  <m:sSupPr>
                    <m:ctrlPr>
                      <w:rPr>
                        <w:rFonts w:ascii="Cambria Math" w:eastAsiaTheme="majorEastAsia" w:hAnsi="Cambria Math"/>
                      </w:rPr>
                    </m:ctrlPr>
                  </m:sSupPr>
                  <m:e>
                    <m:r>
                      <w:rPr>
                        <w:rFonts w:ascii="Cambria Math" w:eastAsiaTheme="majorEastAsia" w:hAnsi="Cambria Math"/>
                      </w:rPr>
                      <m:t>χ</m:t>
                    </m:r>
                  </m:e>
                  <m:sup>
                    <m:r>
                      <m:rPr>
                        <m:sty m:val="p"/>
                      </m:rPr>
                      <w:rPr>
                        <w:rFonts w:ascii="Cambria Math" w:eastAsiaTheme="majorEastAsia" w:hAnsi="Cambria Math"/>
                        <w:lang w:val="en-IN"/>
                      </w:rPr>
                      <m:t>2</m:t>
                    </m:r>
                  </m:sup>
                </m:sSup>
                <m:r>
                  <m:rPr>
                    <m:sty m:val="p"/>
                  </m:rPr>
                  <w:rPr>
                    <w:rFonts w:ascii="Cambria Math" w:eastAsiaTheme="majorEastAsia" w:hAnsi="Cambria Math"/>
                    <w:lang w:val="en-IN"/>
                  </w:rPr>
                  <m:t>=</m:t>
                </m:r>
                <m:nary>
                  <m:naryPr>
                    <m:chr m:val="∑"/>
                    <m:ctrlPr>
                      <w:rPr>
                        <w:rFonts w:ascii="Cambria Math" w:eastAsiaTheme="majorEastAsia" w:hAnsi="Cambria Math"/>
                      </w:rPr>
                    </m:ctrlPr>
                  </m:naryPr>
                  <m:sub>
                    <m:r>
                      <w:rPr>
                        <w:rFonts w:ascii="Cambria Math" w:eastAsiaTheme="majorEastAsia" w:hAnsi="Cambria Math"/>
                      </w:rPr>
                      <m:t>i</m:t>
                    </m:r>
                    <m:r>
                      <m:rPr>
                        <m:sty m:val="p"/>
                      </m:rPr>
                      <w:rPr>
                        <w:rFonts w:ascii="Cambria Math" w:eastAsiaTheme="majorEastAsia" w:hAnsi="Cambria Math"/>
                        <w:lang w:val="en-IN"/>
                      </w:rPr>
                      <m:t>=1</m:t>
                    </m:r>
                  </m:sub>
                  <m:sup>
                    <m:r>
                      <w:rPr>
                        <w:rFonts w:ascii="Cambria Math" w:eastAsiaTheme="majorEastAsia" w:hAnsi="Cambria Math"/>
                      </w:rPr>
                      <m:t>l</m:t>
                    </m:r>
                  </m:sup>
                  <m:e>
                    <m:f>
                      <m:fPr>
                        <m:ctrlPr>
                          <w:rPr>
                            <w:rFonts w:ascii="Cambria Math" w:eastAsiaTheme="majorEastAsia" w:hAnsi="Cambria Math"/>
                          </w:rPr>
                        </m:ctrlPr>
                      </m:fPr>
                      <m:num>
                        <m:sSup>
                          <m:sSupPr>
                            <m:ctrlPr>
                              <w:rPr>
                                <w:rFonts w:ascii="Cambria Math" w:eastAsiaTheme="majorEastAsia" w:hAnsi="Cambria Math"/>
                              </w:rPr>
                            </m:ctrlPr>
                          </m:sSupPr>
                          <m:e>
                            <m:d>
                              <m:dPr>
                                <m:ctrlPr>
                                  <w:rPr>
                                    <w:rFonts w:ascii="Cambria Math" w:eastAsiaTheme="majorEastAsia" w:hAnsi="Cambria Math"/>
                                  </w:rPr>
                                </m:ctrlPr>
                              </m:dPr>
                              <m:e>
                                <m:sSubSup>
                                  <m:sSubSupPr>
                                    <m:ctrlPr>
                                      <w:rPr>
                                        <w:rFonts w:ascii="Cambria Math" w:eastAsiaTheme="majorEastAsia" w:hAnsi="Cambria Math"/>
                                      </w:rPr>
                                    </m:ctrlPr>
                                  </m:sSubSupPr>
                                  <m:e>
                                    <m:d>
                                      <m:dPr>
                                        <m:ctrlPr>
                                          <w:rPr>
                                            <w:rFonts w:ascii="Cambria Math" w:eastAsiaTheme="majorEastAsia" w:hAnsi="Cambria Math"/>
                                          </w:rPr>
                                        </m:ctrlPr>
                                      </m:dPr>
                                      <m:e>
                                        <m:acc>
                                          <m:accPr>
                                            <m:chr m:val="̅"/>
                                            <m:ctrlPr>
                                              <w:rPr>
                                                <w:rFonts w:ascii="Cambria Math" w:eastAsiaTheme="majorEastAsia" w:hAnsi="Cambria Math"/>
                                              </w:rPr>
                                            </m:ctrlPr>
                                          </m:accPr>
                                          <m:e>
                                            <m:r>
                                              <w:rPr>
                                                <w:rFonts w:ascii="Cambria Math" w:eastAsiaTheme="majorEastAsia" w:hAnsi="Cambria Math"/>
                                              </w:rPr>
                                              <m:t>n</m:t>
                                            </m:r>
                                          </m:e>
                                        </m:acc>
                                      </m:e>
                                    </m:d>
                                  </m:e>
                                  <m:sub>
                                    <m:r>
                                      <w:rPr>
                                        <w:rFonts w:ascii="Cambria Math" w:eastAsiaTheme="majorEastAsia" w:hAnsi="Cambria Math"/>
                                        <w:lang w:val="en-IN"/>
                                      </w:rPr>
                                      <m:t>obs</m:t>
                                    </m:r>
                                  </m:sub>
                                  <m:sup>
                                    <m:d>
                                      <m:dPr>
                                        <m:ctrlPr>
                                          <w:rPr>
                                            <w:rFonts w:ascii="Cambria Math" w:eastAsiaTheme="majorEastAsia" w:hAnsi="Cambria Math"/>
                                          </w:rPr>
                                        </m:ctrlPr>
                                      </m:dPr>
                                      <m:e>
                                        <m:r>
                                          <w:rPr>
                                            <w:rFonts w:ascii="Cambria Math" w:eastAsiaTheme="majorEastAsia" w:hAnsi="Cambria Math"/>
                                          </w:rPr>
                                          <m:t>i</m:t>
                                        </m:r>
                                      </m:e>
                                    </m:d>
                                  </m:sup>
                                </m:sSubSup>
                                <m:r>
                                  <m:rPr>
                                    <m:sty m:val="p"/>
                                  </m:rPr>
                                  <w:rPr>
                                    <w:rFonts w:ascii="Cambria Math" w:eastAsiaTheme="majorEastAsia" w:hAnsi="Cambria Math"/>
                                    <w:lang w:val="en-IN"/>
                                  </w:rPr>
                                  <m:t>-</m:t>
                                </m:r>
                                <m:sSubSup>
                                  <m:sSubSupPr>
                                    <m:ctrlPr>
                                      <w:rPr>
                                        <w:rFonts w:ascii="Cambria Math" w:eastAsiaTheme="majorEastAsia" w:hAnsi="Cambria Math"/>
                                      </w:rPr>
                                    </m:ctrlPr>
                                  </m:sSubSupPr>
                                  <m:e>
                                    <m:d>
                                      <m:dPr>
                                        <m:ctrlPr>
                                          <w:rPr>
                                            <w:rFonts w:ascii="Cambria Math" w:eastAsiaTheme="majorEastAsia" w:hAnsi="Cambria Math"/>
                                          </w:rPr>
                                        </m:ctrlPr>
                                      </m:dPr>
                                      <m:e>
                                        <m:acc>
                                          <m:accPr>
                                            <m:chr m:val="̅"/>
                                            <m:ctrlPr>
                                              <w:rPr>
                                                <w:rFonts w:ascii="Cambria Math" w:eastAsiaTheme="majorEastAsia" w:hAnsi="Cambria Math"/>
                                              </w:rPr>
                                            </m:ctrlPr>
                                          </m:accPr>
                                          <m:e>
                                            <m:r>
                                              <w:rPr>
                                                <w:rFonts w:ascii="Cambria Math" w:eastAsiaTheme="majorEastAsia" w:hAnsi="Cambria Math"/>
                                              </w:rPr>
                                              <m:t>n</m:t>
                                            </m:r>
                                          </m:e>
                                        </m:acc>
                                      </m:e>
                                    </m:d>
                                  </m:e>
                                  <m:sub>
                                    <m:r>
                                      <m:rPr>
                                        <m:nor/>
                                      </m:rPr>
                                      <w:rPr>
                                        <w:rFonts w:ascii="Cambria Math" w:eastAsiaTheme="majorEastAsia"/>
                                        <w:lang w:val="en-IN"/>
                                      </w:rPr>
                                      <m:t>sim</m:t>
                                    </m:r>
                                  </m:sub>
                                  <m:sup>
                                    <m:d>
                                      <m:dPr>
                                        <m:ctrlPr>
                                          <w:rPr>
                                            <w:rFonts w:ascii="Cambria Math" w:eastAsiaTheme="majorEastAsia" w:hAnsi="Cambria Math"/>
                                          </w:rPr>
                                        </m:ctrlPr>
                                      </m:dPr>
                                      <m:e>
                                        <m:r>
                                          <w:rPr>
                                            <w:rFonts w:ascii="Cambria Math" w:eastAsiaTheme="majorEastAsia" w:hAnsi="Cambria Math"/>
                                          </w:rPr>
                                          <m:t>i</m:t>
                                        </m:r>
                                      </m:e>
                                    </m:d>
                                  </m:sup>
                                </m:sSubSup>
                              </m:e>
                            </m:d>
                          </m:e>
                          <m:sup>
                            <m:r>
                              <m:rPr>
                                <m:sty m:val="p"/>
                              </m:rPr>
                              <w:rPr>
                                <w:rFonts w:ascii="Cambria Math" w:eastAsiaTheme="majorEastAsia" w:hAnsi="Cambria Math"/>
                                <w:lang w:val="en-IN"/>
                              </w:rPr>
                              <m:t>2</m:t>
                            </m:r>
                          </m:sup>
                        </m:sSup>
                      </m:num>
                      <m:den>
                        <m:sSup>
                          <m:sSupPr>
                            <m:ctrlPr>
                              <w:rPr>
                                <w:rFonts w:ascii="Cambria Math" w:eastAsiaTheme="majorEastAsia" w:hAnsi="Cambria Math"/>
                              </w:rPr>
                            </m:ctrlPr>
                          </m:sSupPr>
                          <m:e>
                            <m:r>
                              <w:rPr>
                                <w:rFonts w:ascii="Cambria Math" w:eastAsiaTheme="majorEastAsia" w:hAnsi="Cambria Math"/>
                              </w:rPr>
                              <m:t>σ</m:t>
                            </m:r>
                          </m:e>
                          <m:sup>
                            <m:r>
                              <m:rPr>
                                <m:sty m:val="p"/>
                              </m:rPr>
                              <w:rPr>
                                <w:rFonts w:ascii="Cambria Math" w:eastAsiaTheme="majorEastAsia" w:hAnsi="Cambria Math"/>
                                <w:lang w:val="en-IN"/>
                              </w:rPr>
                              <m:t>2</m:t>
                            </m:r>
                          </m:sup>
                        </m:sSup>
                      </m:den>
                    </m:f>
                  </m:e>
                </m:nary>
              </m:oMath>
            </m:oMathPara>
          </w:p>
        </w:tc>
        <w:tc>
          <w:tcPr>
            <w:tcW w:w="5395" w:type="dxa"/>
          </w:tcPr>
          <w:p w14:paraId="6DE43D00" w14:textId="5D91DA29" w:rsidR="00890E7F" w:rsidRDefault="00890E7F" w:rsidP="00A625CB">
            <w:pPr>
              <w:rPr>
                <w:lang w:val="en-IN"/>
              </w:rPr>
            </w:pPr>
            <w:r>
              <w:rPr>
                <w:lang w:val="en-IN"/>
              </w:rPr>
              <w:t>(3)</w:t>
            </w:r>
          </w:p>
        </w:tc>
      </w:tr>
    </w:tbl>
    <w:p w14:paraId="21003C95" w14:textId="5EC47D79" w:rsidR="00857B6B" w:rsidRPr="00890E7F" w:rsidRDefault="00857B6B" w:rsidP="00857B6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890E7F" w14:paraId="7C59063D" w14:textId="77777777" w:rsidTr="00A625CB">
        <w:tc>
          <w:tcPr>
            <w:tcW w:w="5395" w:type="dxa"/>
          </w:tcPr>
          <w:p w14:paraId="0DFE519B" w14:textId="3AF5632E" w:rsidR="00890E7F" w:rsidRDefault="00890E7F" w:rsidP="00A625CB">
            <w:pPr>
              <w:rPr>
                <w:lang w:val="en-IN"/>
              </w:rPr>
            </w:pPr>
            <m:oMathPara>
              <m:oMath>
                <m:r>
                  <w:rPr>
                    <w:rFonts w:ascii="Cambria Math" w:hAnsi="Cambria Math"/>
                  </w:rPr>
                  <m:t>likelihood = P</m:t>
                </m:r>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p>
                      <m:sSupPr>
                        <m:ctrlPr>
                          <w:rPr>
                            <w:rFonts w:ascii="Cambria Math" w:hAnsi="Cambria Math"/>
                          </w:rPr>
                        </m:ctrlPr>
                      </m:sSupPr>
                      <m:e>
                        <m:r>
                          <w:rPr>
                            <w:rFonts w:ascii="Cambria Math" w:hAnsi="Cambria Math"/>
                          </w:rPr>
                          <m:t>χ</m:t>
                        </m:r>
                      </m:e>
                      <m:sup>
                        <m:r>
                          <m:rPr>
                            <m:sty m:val="p"/>
                          </m:rPr>
                          <w:rPr>
                            <w:rFonts w:ascii="Cambria Math" w:hAnsi="Cambria Math"/>
                          </w:rPr>
                          <m:t>2</m:t>
                        </m:r>
                      </m:sup>
                    </m:sSup>
                    <m:r>
                      <m:rPr>
                        <m:lit/>
                        <m:sty m:val="p"/>
                      </m:rPr>
                      <w:rPr>
                        <w:rFonts w:ascii="Cambria Math" w:hAnsi="Cambria Math"/>
                      </w:rPr>
                      <m:t>/</m:t>
                    </m:r>
                    <m:r>
                      <m:rPr>
                        <m:sty m:val="p"/>
                      </m:rPr>
                      <w:rPr>
                        <w:rFonts w:ascii="Cambria Math" w:hAnsi="Cambria Math"/>
                      </w:rPr>
                      <m:t>2</m:t>
                    </m:r>
                  </m:sup>
                </m:sSup>
              </m:oMath>
            </m:oMathPara>
          </w:p>
        </w:tc>
        <w:tc>
          <w:tcPr>
            <w:tcW w:w="5395" w:type="dxa"/>
          </w:tcPr>
          <w:p w14:paraId="708D6B44" w14:textId="15487AD9" w:rsidR="00890E7F" w:rsidRDefault="00890E7F" w:rsidP="00A625CB">
            <w:pPr>
              <w:rPr>
                <w:lang w:val="en-IN"/>
              </w:rPr>
            </w:pPr>
            <w:r>
              <w:rPr>
                <w:lang w:val="en-IN"/>
              </w:rPr>
              <w:t>(4)</w:t>
            </w:r>
          </w:p>
        </w:tc>
      </w:tr>
      <w:tr w:rsidR="00890E7F" w14:paraId="0AD0EEDF" w14:textId="77777777" w:rsidTr="00A625CB">
        <w:tc>
          <w:tcPr>
            <w:tcW w:w="5395" w:type="dxa"/>
          </w:tcPr>
          <w:p w14:paraId="6B702BA2" w14:textId="77777777" w:rsidR="00890E7F" w:rsidRPr="00EE5F03" w:rsidRDefault="00000000" w:rsidP="00890E7F">
            <w:pPr>
              <w:jc w:val="center"/>
              <w:rPr>
                <w:i/>
              </w:rPr>
            </w:pPr>
            <m:oMathPara>
              <m:oMath>
                <m:sSubSup>
                  <m:sSubSupPr>
                    <m:ctrlPr>
                      <w:rPr>
                        <w:rFonts w:ascii="Cambria Math" w:eastAsia="Times New Roman" w:hAnsi="Cambria Math" w:cs="Times New Roman"/>
                        <w:i/>
                        <w:color w:val="auto"/>
                        <w:szCs w:val="24"/>
                        <w:lang w:val="en-GB" w:eastAsia="de-DE"/>
                      </w:rPr>
                    </m:ctrlPr>
                  </m:sSubSupPr>
                  <m:e>
                    <m:r>
                      <w:rPr>
                        <w:rFonts w:ascii="Cambria Math" w:hAnsi="Cambria Math"/>
                      </w:rPr>
                      <m:t>P</m:t>
                    </m:r>
                  </m:e>
                  <m:sub>
                    <m:r>
                      <w:rPr>
                        <w:rFonts w:ascii="Cambria Math" w:hAnsi="Cambria Math"/>
                      </w:rPr>
                      <m:t>norm</m:t>
                    </m:r>
                  </m:sub>
                  <m:sup>
                    <m:r>
                      <w:rPr>
                        <w:rFonts w:ascii="Cambria Math" w:hAnsi="Cambria Math"/>
                      </w:rPr>
                      <m:t>k</m:t>
                    </m:r>
                  </m:sup>
                </m:sSubSup>
                <m:r>
                  <w:rPr>
                    <w:rFonts w:ascii="Cambria Math" w:hAnsi="Cambria Math"/>
                  </w:rPr>
                  <m:t xml:space="preserve"> = </m:t>
                </m:r>
                <m:f>
                  <m:fPr>
                    <m:ctrlPr>
                      <w:rPr>
                        <w:rFonts w:ascii="Cambria Math" w:eastAsia="Times New Roman" w:hAnsi="Cambria Math" w:cs="Times New Roman"/>
                        <w:i/>
                        <w:color w:val="auto"/>
                        <w:szCs w:val="24"/>
                        <w:lang w:val="en-GB" w:eastAsia="de-DE"/>
                      </w:rPr>
                    </m:ctrlPr>
                  </m:fPr>
                  <m:num>
                    <m:sSub>
                      <m:sSubPr>
                        <m:ctrlPr>
                          <w:rPr>
                            <w:rFonts w:ascii="Cambria Math" w:eastAsia="Times New Roman" w:hAnsi="Cambria Math" w:cs="Times New Roman"/>
                            <w:i/>
                            <w:color w:val="auto"/>
                            <w:szCs w:val="24"/>
                            <w:lang w:val="en-GB" w:eastAsia="de-DE"/>
                          </w:rPr>
                        </m:ctrlPr>
                      </m:sSubPr>
                      <m:e>
                        <m:r>
                          <w:rPr>
                            <w:rFonts w:ascii="Cambria Math" w:hAnsi="Cambria Math"/>
                          </w:rPr>
                          <m:t>P</m:t>
                        </m:r>
                      </m:e>
                      <m:sub>
                        <m:r>
                          <w:rPr>
                            <w:rFonts w:ascii="Cambria Math" w:hAnsi="Cambria Math"/>
                          </w:rPr>
                          <m:t>k</m:t>
                        </m:r>
                      </m:sub>
                    </m:sSub>
                  </m:num>
                  <m:den>
                    <m:sSub>
                      <m:sSubPr>
                        <m:ctrlPr>
                          <w:rPr>
                            <w:rFonts w:ascii="Cambria Math" w:eastAsia="Times New Roman" w:hAnsi="Cambria Math" w:cs="Times New Roman"/>
                            <w:i/>
                            <w:color w:val="auto"/>
                            <w:szCs w:val="24"/>
                            <w:lang w:val="en-GB" w:eastAsia="de-DE"/>
                          </w:rPr>
                        </m:ctrlPr>
                      </m:sSubPr>
                      <m:e>
                        <m:r>
                          <w:rPr>
                            <w:rFonts w:ascii="Cambria Math" w:hAnsi="Cambria Math"/>
                          </w:rPr>
                          <m:t>P</m:t>
                        </m:r>
                      </m:e>
                      <m:sub>
                        <m:r>
                          <w:rPr>
                            <w:rFonts w:ascii="Cambria Math" w:hAnsi="Cambria Math"/>
                          </w:rPr>
                          <m:t>max</m:t>
                        </m:r>
                      </m:sub>
                    </m:sSub>
                  </m:den>
                </m:f>
              </m:oMath>
            </m:oMathPara>
          </w:p>
          <w:p w14:paraId="5E88E4BF" w14:textId="77777777" w:rsidR="00890E7F" w:rsidRDefault="00890E7F" w:rsidP="00A625CB">
            <w:pPr>
              <w:rPr>
                <w:lang w:val="en-IN"/>
              </w:rPr>
            </w:pPr>
          </w:p>
        </w:tc>
        <w:tc>
          <w:tcPr>
            <w:tcW w:w="5395" w:type="dxa"/>
          </w:tcPr>
          <w:p w14:paraId="44BC673A" w14:textId="1982DB1C" w:rsidR="00890E7F" w:rsidRDefault="00890E7F" w:rsidP="00A625CB">
            <w:pPr>
              <w:rPr>
                <w:lang w:val="en-IN"/>
              </w:rPr>
            </w:pPr>
            <w:r>
              <w:rPr>
                <w:lang w:val="en-IN"/>
              </w:rPr>
              <w:t>(5)</w:t>
            </w:r>
          </w:p>
        </w:tc>
      </w:tr>
    </w:tbl>
    <w:p w14:paraId="1BBDE1B7" w14:textId="77777777" w:rsidR="00890E7F" w:rsidRPr="00DC2CD4" w:rsidRDefault="00890E7F" w:rsidP="00857B6B"/>
    <w:p w14:paraId="1B90772D" w14:textId="12D11A77" w:rsidR="00E57D42" w:rsidRPr="00B31DFE" w:rsidRDefault="00857B6B" w:rsidP="00344532">
      <w:pPr>
        <w:rPr>
          <w:rFonts w:ascii="Cambria Math" w:hAnsi="Cambria Math"/>
        </w:rPr>
      </w:pPr>
      <w:r>
        <w:lastRenderedPageBreak/>
        <w:t xml:space="preserve">where l is the number of experimental data points, </w:t>
      </w:r>
      <w:r w:rsidR="00C46B04">
        <w:rPr>
          <w:i/>
          <w:iCs/>
        </w:rPr>
        <w:t>δ</w:t>
      </w:r>
      <w:r>
        <w:t xml:space="preserve"> is the standard deviation of the residual of SCF and experimental LDP, </w:t>
      </w:r>
      <m:oMath>
        <m:sSub>
          <m:sSubPr>
            <m:ctrlPr>
              <w:rPr>
                <w:rFonts w:ascii="Cambria Math" w:eastAsia="Times New Roman" w:hAnsi="Cambria Math" w:cs="Times New Roman"/>
                <w:i/>
                <w:color w:val="auto"/>
                <w:szCs w:val="24"/>
                <w:lang w:val="en-GB" w:eastAsia="de-DE"/>
              </w:rPr>
            </m:ctrlPr>
          </m:sSubPr>
          <m:e>
            <m:r>
              <w:rPr>
                <w:rFonts w:ascii="Cambria Math" w:hAnsi="Cambria Math"/>
              </w:rPr>
              <m:t>P</m:t>
            </m:r>
          </m:e>
          <m:sub>
            <m:r>
              <w:rPr>
                <w:rFonts w:ascii="Cambria Math" w:hAnsi="Cambria Math"/>
              </w:rPr>
              <m:t>k</m:t>
            </m:r>
          </m:sub>
        </m:sSub>
      </m:oMath>
      <w:r>
        <w:t xml:space="preserve"> is </w:t>
      </w:r>
      <w:r w:rsidR="00B46E80">
        <w:t xml:space="preserve">the </w:t>
      </w:r>
      <w:r>
        <w:t xml:space="preserve">likelihood value associated with </w:t>
      </w:r>
      <w:r w:rsidR="00B46E80">
        <w:t xml:space="preserve">the </w:t>
      </w:r>
      <w:r>
        <w:t xml:space="preserve">synthetic LDP numbered as </w:t>
      </w:r>
      <w:r w:rsidRPr="00242B40">
        <w:rPr>
          <w:i/>
          <w:iCs/>
        </w:rPr>
        <w:t>k</w:t>
      </w:r>
      <w:r>
        <w:t xml:space="preserve">, </w:t>
      </w:r>
      <m:oMath>
        <m:sSub>
          <m:sSubPr>
            <m:ctrlPr>
              <w:rPr>
                <w:rFonts w:ascii="Cambria Math" w:eastAsia="Times New Roman" w:hAnsi="Cambria Math" w:cs="Times New Roman"/>
                <w:i/>
                <w:color w:val="auto"/>
                <w:szCs w:val="24"/>
                <w:lang w:val="en-GB" w:eastAsia="de-DE"/>
              </w:rPr>
            </m:ctrlPr>
          </m:sSubPr>
          <m:e>
            <m:r>
              <w:rPr>
                <w:rFonts w:ascii="Cambria Math" w:hAnsi="Cambria Math"/>
              </w:rPr>
              <m:t>P</m:t>
            </m:r>
          </m:e>
          <m:sub>
            <m:r>
              <w:rPr>
                <w:rFonts w:ascii="Cambria Math" w:hAnsi="Cambria Math"/>
              </w:rPr>
              <m:t>max</m:t>
            </m:r>
          </m:sub>
        </m:sSub>
      </m:oMath>
      <w:r>
        <w:t xml:space="preserve"> is maximum-likelihood</w:t>
      </w:r>
      <w:r w:rsidR="00B46E80">
        <w:t>,</w:t>
      </w:r>
      <w:r>
        <w:t xml:space="preserve"> which </w:t>
      </w:r>
      <w:r w:rsidR="00B46E80">
        <w:t>is associated</w:t>
      </w:r>
      <w:r>
        <w:t xml:space="preserve"> with </w:t>
      </w:r>
      <w:r w:rsidR="00B46E80">
        <w:t xml:space="preserve">the </w:t>
      </w:r>
      <w:r>
        <w:t xml:space="preserve">best-fitting synthetic LDP and </w:t>
      </w:r>
      <m:oMath>
        <m:sSubSup>
          <m:sSubSupPr>
            <m:ctrlPr>
              <w:rPr>
                <w:rFonts w:ascii="Cambria Math" w:eastAsia="Times New Roman" w:hAnsi="Cambria Math" w:cs="Times New Roman"/>
                <w:i/>
                <w:color w:val="auto"/>
                <w:szCs w:val="24"/>
                <w:lang w:val="en-GB" w:eastAsia="de-DE"/>
              </w:rPr>
            </m:ctrlPr>
          </m:sSubSupPr>
          <m:e>
            <m:r>
              <w:rPr>
                <w:rFonts w:ascii="Cambria Math" w:hAnsi="Cambria Math"/>
              </w:rPr>
              <m:t>P</m:t>
            </m:r>
          </m:e>
          <m:sub>
            <m:r>
              <w:rPr>
                <w:rFonts w:ascii="Cambria Math" w:hAnsi="Cambria Math"/>
              </w:rPr>
              <m:t>norm</m:t>
            </m:r>
          </m:sub>
          <m:sup>
            <m:r>
              <w:rPr>
                <w:rFonts w:ascii="Cambria Math" w:hAnsi="Cambria Math"/>
              </w:rPr>
              <m:t>k</m:t>
            </m:r>
          </m:sup>
        </m:sSubSup>
      </m:oMath>
      <w:r>
        <w:t xml:space="preserve"> is </w:t>
      </w:r>
      <w:r w:rsidR="00B46E80">
        <w:t xml:space="preserve">the </w:t>
      </w:r>
      <w:r>
        <w:t xml:space="preserve">normalised likelihood value associated with </w:t>
      </w:r>
      <w:r w:rsidR="00B46E80">
        <w:t xml:space="preserve">the </w:t>
      </w:r>
      <w:r>
        <w:t xml:space="preserve">synthetic LDP numbered as </w:t>
      </w:r>
      <w:r>
        <w:rPr>
          <w:i/>
          <w:iCs/>
        </w:rPr>
        <w:t>k</w:t>
      </w:r>
      <w:r w:rsidR="00E57D42">
        <w:rPr>
          <w:rFonts w:cs="Times New Roman"/>
          <w:iCs/>
        </w:rPr>
        <w:t xml:space="preserve">. </w:t>
      </w:r>
      <w:r w:rsidR="00834C21">
        <w:t xml:space="preserve">The best paths  were selected by applying the Monte-Carlo acceptance criterion as </w:t>
      </w:r>
      <m:oMath>
        <m:sSubSup>
          <m:sSubSupPr>
            <m:ctrlPr>
              <w:rPr>
                <w:rFonts w:ascii="Cambria Math" w:eastAsia="Times New Roman" w:hAnsi="Cambria Math" w:cs="Times New Roman"/>
                <w:i/>
                <w:color w:val="auto"/>
                <w:szCs w:val="24"/>
                <w:lang w:val="en-GB" w:eastAsia="de-DE"/>
              </w:rPr>
            </m:ctrlPr>
          </m:sSubSupPr>
          <m:e>
            <m:r>
              <w:rPr>
                <w:rFonts w:ascii="Cambria Math" w:hAnsi="Cambria Math"/>
              </w:rPr>
              <m:t>P</m:t>
            </m:r>
          </m:e>
          <m:sub>
            <m:r>
              <w:rPr>
                <w:rFonts w:ascii="Cambria Math" w:hAnsi="Cambria Math"/>
              </w:rPr>
              <m:t>norm</m:t>
            </m:r>
          </m:sub>
          <m:sup>
            <m:r>
              <w:rPr>
                <w:rFonts w:ascii="Cambria Math" w:hAnsi="Cambria Math"/>
              </w:rPr>
              <m:t>k</m:t>
            </m:r>
          </m:sup>
        </m:sSubSup>
      </m:oMath>
      <w:r w:rsidR="00834C21" w:rsidRPr="00242B40">
        <w:rPr>
          <w:i/>
          <w:iCs/>
        </w:rPr>
        <w:t xml:space="preserve"> &gt; </w:t>
      </w:r>
      <w:r w:rsidR="00834C21">
        <w:rPr>
          <w:i/>
          <w:iCs/>
        </w:rPr>
        <w:t>rand(m,m)</w:t>
      </w:r>
      <w:r w:rsidR="00834C21">
        <w:t>.</w:t>
      </w:r>
      <w:r w:rsidR="00834C21">
        <w:rPr>
          <w:lang w:val="en-IN"/>
        </w:rPr>
        <w:t xml:space="preserve"> </w:t>
      </w:r>
      <w:r w:rsidR="00E57D42">
        <w:rPr>
          <w:rFonts w:cs="Times New Roman"/>
          <w:iCs/>
        </w:rPr>
        <w:t>Finally, the CoRSEER-I establishes the values of best-fit, median, ±1</w:t>
      </w:r>
      <w:r w:rsidR="00C46B04">
        <w:rPr>
          <w:rFonts w:cs="Times New Roman"/>
          <w:iCs/>
        </w:rPr>
        <w:t>δ</w:t>
      </w:r>
      <w:r w:rsidR="00E57D42">
        <w:rPr>
          <w:rFonts w:cs="Times New Roman"/>
          <w:iCs/>
        </w:rPr>
        <w:t xml:space="preserve">, </w:t>
      </w:r>
      <w:r w:rsidR="00B46E80">
        <w:rPr>
          <w:rFonts w:cs="Times New Roman"/>
          <w:iCs/>
        </w:rPr>
        <w:t xml:space="preserve">and </w:t>
      </w:r>
      <w:r w:rsidR="00E57D42">
        <w:rPr>
          <w:rFonts w:cs="Times New Roman"/>
          <w:iCs/>
        </w:rPr>
        <w:t>±2</w:t>
      </w:r>
      <w:r w:rsidR="00C46B04">
        <w:rPr>
          <w:rFonts w:cs="Times New Roman"/>
          <w:iCs/>
        </w:rPr>
        <w:t>δ</w:t>
      </w:r>
      <w:r w:rsidR="00E57D42">
        <w:rPr>
          <w:rFonts w:cs="Times New Roman"/>
          <w:iCs/>
        </w:rPr>
        <w:t xml:space="preserve"> for both </w:t>
      </w:r>
      <m:oMath>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r>
              <w:rPr>
                <w:rFonts w:ascii="Cambria Math" w:hAnsi="Cambria Math"/>
              </w:rPr>
              <m:t>(</m:t>
            </m:r>
            <m:bar>
              <m:barPr>
                <m:pos m:val="top"/>
                <m:ctrlPr>
                  <w:rPr>
                    <w:rFonts w:ascii="Cambria Math" w:eastAsiaTheme="majorEastAsia" w:hAnsi="Cambria Math" w:cstheme="majorBidi"/>
                    <w:i/>
                  </w:rPr>
                </m:ctrlPr>
              </m:barPr>
              <m:e>
                <m:r>
                  <w:rPr>
                    <w:rFonts w:ascii="Cambria Math" w:eastAsiaTheme="majorEastAsia" w:hAnsi="Cambria Math" w:cstheme="majorBidi"/>
                  </w:rPr>
                  <m:t>σ</m:t>
                </m:r>
                <m:sSub>
                  <m:sSubPr>
                    <m:ctrlPr>
                      <w:rPr>
                        <w:rFonts w:ascii="Cambria Math" w:eastAsiaTheme="majorEastAsia" w:hAnsi="Cambria Math" w:cstheme="majorBidi"/>
                        <w:i/>
                      </w:rPr>
                    </m:ctrlPr>
                  </m:sSubPr>
                  <m:e>
                    <m:r>
                      <w:rPr>
                        <w:rFonts w:ascii="Cambria Math" w:eastAsiaTheme="majorEastAsia" w:hAnsi="Cambria Math" w:cstheme="majorBidi"/>
                      </w:rPr>
                      <m:t>φ</m:t>
                    </m:r>
                  </m:e>
                  <m:sub>
                    <m:r>
                      <w:rPr>
                        <w:rFonts w:ascii="Cambria Math" w:eastAsiaTheme="majorEastAsia" w:hAnsi="Cambria Math" w:cstheme="majorBidi"/>
                      </w:rPr>
                      <m:t>0</m:t>
                    </m:r>
                  </m:sub>
                </m:sSub>
              </m:e>
            </m:bar>
          </m:e>
        </m:func>
        <m:r>
          <w:rPr>
            <w:rFonts w:ascii="Cambria Math" w:hAnsi="Cambria Math"/>
          </w:rPr>
          <m:t>)</m:t>
        </m:r>
      </m:oMath>
      <w:r w:rsidR="00E57D42">
        <w:t xml:space="preserve"> and </w:t>
      </w:r>
      <w:r w:rsidR="00E57D42" w:rsidRPr="00F323E8">
        <w:rPr>
          <w:i/>
          <w:iCs/>
          <w:lang w:val="en-IN"/>
        </w:rPr>
        <w:t>μ</w:t>
      </w:r>
      <w:r w:rsidR="00E57D42">
        <w:rPr>
          <w:i/>
          <w:iCs/>
          <w:lang w:val="en-IN"/>
        </w:rPr>
        <w:t xml:space="preserve"> </w:t>
      </w:r>
      <w:r w:rsidR="00E57D42">
        <w:rPr>
          <w:lang w:val="en-IN"/>
        </w:rPr>
        <w:t xml:space="preserve"> using confidence intervals. </w:t>
      </w:r>
    </w:p>
    <w:bookmarkEnd w:id="0"/>
    <w:p w14:paraId="0E6826CC" w14:textId="2E1015DF" w:rsidR="00344532" w:rsidRPr="001241C9" w:rsidRDefault="00A84F4D" w:rsidP="00A84F4D">
      <w:pPr>
        <w:pStyle w:val="Heading2"/>
      </w:pPr>
      <w:r>
        <w:t>Output</w:t>
      </w:r>
    </w:p>
    <w:p w14:paraId="16C9CFBA" w14:textId="1C69EA1D" w:rsidR="00B31DFE" w:rsidRDefault="00344532" w:rsidP="00B46E80">
      <w:pPr>
        <w:ind w:left="90" w:hanging="90"/>
      </w:pPr>
      <w:r w:rsidRPr="005517DE">
        <w:t xml:space="preserve">CoRSEER Part I generates three </w:t>
      </w:r>
      <w:r w:rsidR="00B46E80">
        <w:t>output categories</w:t>
      </w:r>
      <w:r w:rsidRPr="005517DE">
        <w:t xml:space="preserve"> after calibration. </w:t>
      </w:r>
    </w:p>
    <w:p w14:paraId="517E288D" w14:textId="657B5328" w:rsidR="00B31DFE" w:rsidRDefault="00B31DFE" w:rsidP="00344532">
      <w:r>
        <w:t>Output 1: A</w:t>
      </w:r>
      <w:r w:rsidR="00344532" w:rsidRPr="005517DE">
        <w:t xml:space="preserve"> dedicated Excel file (var_cal_[SampleName].xlsx) is saved, containing all key results from sigmoidal fitting and </w:t>
      </w:r>
      <w:r>
        <w:t>calibration</w:t>
      </w:r>
      <w:r w:rsidR="00344532" w:rsidRPr="005517DE">
        <w:t xml:space="preserve"> parameter estimation</w:t>
      </w:r>
      <w:r w:rsidR="00B46E80">
        <w:t>. T</w:t>
      </w:r>
      <w:r w:rsidR="00344532" w:rsidRPr="005517DE">
        <w:t xml:space="preserve">his serves as the primary record of the calibration outcome. </w:t>
      </w:r>
    </w:p>
    <w:p w14:paraId="0AC56F85" w14:textId="0B787ECF" w:rsidR="00B31DFE" w:rsidRDefault="00B31DFE" w:rsidP="00344532">
      <w:r>
        <w:t>Output 2: A</w:t>
      </w:r>
      <w:r w:rsidR="00344532" w:rsidRPr="005517DE">
        <w:t xml:space="preserve">ll internal MATLAB variables used during computation are saved in a .mat file, enabling complete reproducibility and post-processing flexibility. </w:t>
      </w:r>
    </w:p>
    <w:p w14:paraId="4CA51C34" w14:textId="4E8CBE27" w:rsidR="00B31DFE" w:rsidRDefault="00B31DFE" w:rsidP="00344532">
      <w:r>
        <w:t>Output 3: The</w:t>
      </w:r>
      <w:r w:rsidR="00344532" w:rsidRPr="005517DE">
        <w:t xml:space="preserve"> software </w:t>
      </w:r>
      <w:r w:rsidR="00344532" w:rsidRPr="00B31DFE">
        <w:t>exports four diagnostic plots:</w:t>
      </w:r>
      <w:r w:rsidR="00344532" w:rsidRPr="005517DE">
        <w:t xml:space="preserve"> (1) a sigmoidal fit of the experimental Lx/Tx vs. depth profile, </w:t>
      </w:r>
      <w:r w:rsidR="00344532">
        <w:t>with Lx/Tx error bar</w:t>
      </w:r>
      <w:r w:rsidR="00B46E80">
        <w:t>,</w:t>
      </w:r>
      <w:r w:rsidR="00344532">
        <w:t xml:space="preserve"> </w:t>
      </w:r>
      <w:r w:rsidR="00344532" w:rsidRPr="005517DE">
        <w:t>(</w:t>
      </w:r>
      <w:r>
        <w:t>2</w:t>
      </w:r>
      <w:r w:rsidR="00344532" w:rsidRPr="005517DE">
        <w:t>) a plot comparing experimental data with mode</w:t>
      </w:r>
      <w:r w:rsidR="00B46E80">
        <w:t>l</w:t>
      </w:r>
      <w:r w:rsidR="00344532" w:rsidRPr="005517DE">
        <w:t>led profiles for both best-fitting and median values</w:t>
      </w:r>
      <w:r w:rsidR="00344532">
        <w:t xml:space="preserve"> of calibration parameters</w:t>
      </w:r>
      <w:r w:rsidR="00344532" w:rsidRPr="005517DE">
        <w:t>, and (</w:t>
      </w:r>
      <w:r>
        <w:t>3</w:t>
      </w:r>
      <w:r w:rsidR="00344532" w:rsidRPr="005517DE">
        <w:t xml:space="preserve">) a surface plot depicting the likelihood space of </w:t>
      </w:r>
      <m:oMath>
        <m:bar>
          <m:barPr>
            <m:pos m:val="top"/>
            <m:ctrlPr>
              <w:rPr>
                <w:rFonts w:ascii="Cambria Math" w:hAnsi="Cambria Math" w:cs="Times New Roman"/>
                <w:i/>
                <w:sz w:val="24"/>
                <w:szCs w:val="24"/>
              </w:rPr>
            </m:ctrlPr>
          </m:barPr>
          <m:e>
            <m:r>
              <w:rPr>
                <w:rFonts w:ascii="Cambria Math" w:hAnsi="Cambria Math" w:cs="Times New Roman"/>
                <w:sz w:val="24"/>
                <w:szCs w:val="24"/>
                <w:lang w:val="el-GR"/>
              </w:rPr>
              <m:t>σφ</m:t>
            </m:r>
          </m:e>
        </m:bar>
        <m:r>
          <w:rPr>
            <w:rFonts w:ascii="Cambria Math" w:hAnsi="Cambria Math" w:cs="Times New Roman"/>
            <w:sz w:val="24"/>
            <w:szCs w:val="24"/>
            <w:lang w:val="el-GR"/>
          </w:rPr>
          <m:t>˳</m:t>
        </m:r>
      </m:oMath>
      <w:r w:rsidR="00344532" w:rsidRPr="0098178E">
        <w:rPr>
          <w:lang w:eastAsia="en-IN"/>
        </w:rPr>
        <w:t xml:space="preserve"> and </w:t>
      </w:r>
      <m:oMath>
        <m:r>
          <w:rPr>
            <w:rFonts w:ascii="Cambria Math" w:hAnsi="Cambria Math" w:cs="Times New Roman"/>
            <w:sz w:val="24"/>
            <w:szCs w:val="24"/>
            <w:lang w:val="en-IN"/>
          </w:rPr>
          <m:t>µ</m:t>
        </m:r>
      </m:oMath>
      <w:r w:rsidR="00344532" w:rsidRPr="005517DE">
        <w:t>, where the colo</w:t>
      </w:r>
      <w:r w:rsidR="00B46E80">
        <w:t>u</w:t>
      </w:r>
      <w:r w:rsidR="00344532" w:rsidRPr="005517DE">
        <w:t>r bar represents normali</w:t>
      </w:r>
      <w:r w:rsidR="00344532">
        <w:t>s</w:t>
      </w:r>
      <w:r w:rsidR="00344532" w:rsidRPr="005517DE">
        <w:t xml:space="preserve">ed chi-square misfit values. These visual outputs provide an intuitive and quantitative assessment of the calibration quality and fitting precision. </w:t>
      </w:r>
    </w:p>
    <w:p w14:paraId="5C257596" w14:textId="6260994B" w:rsidR="00417C6B" w:rsidRDefault="007E3F85" w:rsidP="00A84F4D">
      <w:pPr>
        <w:pStyle w:val="Heading1"/>
        <w:rPr>
          <w:lang w:val="en-IN"/>
        </w:rPr>
      </w:pPr>
      <w:r>
        <w:rPr>
          <w:lang w:val="en-IN"/>
        </w:rPr>
        <w:t>CoRSEER-II: Apparent age estimation</w:t>
      </w:r>
    </w:p>
    <w:p w14:paraId="366E24C4" w14:textId="28BF4025" w:rsidR="00B31DFE" w:rsidRPr="00FE148F" w:rsidRDefault="00B31DFE" w:rsidP="00B31DFE">
      <w:pPr>
        <w:rPr>
          <w:lang w:val="en-IN" w:eastAsia="en-IN"/>
        </w:rPr>
      </w:pPr>
      <w:r w:rsidRPr="00FE148F">
        <w:rPr>
          <w:lang w:val="en-IN" w:eastAsia="en-IN"/>
        </w:rPr>
        <w:t>CoRSEER</w:t>
      </w:r>
      <w:r>
        <w:rPr>
          <w:lang w:val="en-IN" w:eastAsia="en-IN"/>
        </w:rPr>
        <w:t>-</w:t>
      </w:r>
      <w:r w:rsidRPr="00FE148F">
        <w:rPr>
          <w:lang w:val="en-IN" w:eastAsia="en-IN"/>
        </w:rPr>
        <w:t xml:space="preserve">II is designed to estimate the exposure age of a rock surface </w:t>
      </w:r>
      <w:r w:rsidR="00B46E80">
        <w:rPr>
          <w:lang w:val="en-IN" w:eastAsia="en-IN"/>
        </w:rPr>
        <w:t>from its luminescence-depth profile (LDP) using kinetic parameters calibrated in CoRSEER-I, along with</w:t>
      </w:r>
      <w:r w:rsidRPr="00FE148F">
        <w:rPr>
          <w:lang w:val="en-IN" w:eastAsia="en-IN"/>
        </w:rPr>
        <w:t xml:space="preserve"> experimental inputs such as dose rate, order of kinetics, and characteristic dose. The forward model systematically simulates synthetic luminescence profiles over a defined age range, and each is fitted to the normali</w:t>
      </w:r>
      <w:r>
        <w:rPr>
          <w:lang w:val="en-IN" w:eastAsia="en-IN"/>
        </w:rPr>
        <w:t>s</w:t>
      </w:r>
      <w:r w:rsidRPr="00FE148F">
        <w:rPr>
          <w:lang w:val="en-IN" w:eastAsia="en-IN"/>
        </w:rPr>
        <w:t>ed experimental LDP of unknown age samples. The age corresponding to the minimum chi-square misfit is identified as the best-fitting exposure age.</w:t>
      </w:r>
    </w:p>
    <w:p w14:paraId="06DD9F01" w14:textId="47C35334" w:rsidR="00DB7991" w:rsidRDefault="00B31DFE" w:rsidP="00B31DFE">
      <w:pPr>
        <w:rPr>
          <w:lang w:val="en-IN" w:eastAsia="en-IN"/>
        </w:rPr>
      </w:pPr>
      <w:r w:rsidRPr="00FE148F">
        <w:rPr>
          <w:lang w:val="en-IN" w:eastAsia="en-IN"/>
        </w:rPr>
        <w:t>In addition to estimating exposure age, CoRSEER also determines the maximum datable age</w:t>
      </w:r>
      <w:r w:rsidR="00B46E80">
        <w:rPr>
          <w:lang w:val="en-IN" w:eastAsia="en-IN"/>
        </w:rPr>
        <w:t>,</w:t>
      </w:r>
      <w:r>
        <w:rPr>
          <w:lang w:val="en-IN" w:eastAsia="en-IN"/>
        </w:rPr>
        <w:t xml:space="preserve"> </w:t>
      </w:r>
      <w:r w:rsidRPr="00FE148F">
        <w:rPr>
          <w:lang w:val="en-IN" w:eastAsia="en-IN"/>
        </w:rPr>
        <w:t xml:space="preserve">the upper temporal bound beyond which the LDP cannot propagate further into rock and reaches equilibrium. This is achieved through a kinetic tracking of the depth of half-saturation </w:t>
      </w:r>
      <w:r w:rsidRPr="00FE148F">
        <w:rPr>
          <w:i/>
          <w:iCs/>
          <w:lang w:val="en-IN" w:eastAsia="en-IN"/>
        </w:rPr>
        <w:t>x</w:t>
      </w:r>
      <w:r w:rsidRPr="00FE148F">
        <w:rPr>
          <w:i/>
          <w:iCs/>
          <w:vertAlign w:val="subscript"/>
          <w:lang w:val="en-IN" w:eastAsia="en-IN"/>
        </w:rPr>
        <w:t>0.5</w:t>
      </w:r>
      <w:r w:rsidRPr="00FE148F">
        <w:rPr>
          <w:rFonts w:cs="Times New Roman"/>
          <w:i/>
          <w:iCs/>
          <w:lang w:val="en-IN" w:eastAsia="en-IN"/>
        </w:rPr>
        <w:t>​</w:t>
      </w:r>
      <w:r w:rsidRPr="00FE148F">
        <w:rPr>
          <w:lang w:val="en-IN" w:eastAsia="en-IN"/>
        </w:rPr>
        <w:t xml:space="preserve"> over time. By simulating </w:t>
      </w:r>
      <w:r w:rsidR="00B46E80">
        <w:rPr>
          <w:lang w:val="en-IN" w:eastAsia="en-IN"/>
        </w:rPr>
        <w:t>its propagation as exposure duration increases</w:t>
      </w:r>
      <w:r w:rsidRPr="00FE148F">
        <w:rPr>
          <w:lang w:val="en-IN" w:eastAsia="en-IN"/>
        </w:rPr>
        <w:t xml:space="preserve">, the model identifies the maximum depth of luminescence penetration. The exposure time corresponding to </w:t>
      </w:r>
      <w:r w:rsidRPr="00FE148F">
        <w:rPr>
          <w:i/>
          <w:iCs/>
          <w:lang w:val="en-IN" w:eastAsia="en-IN"/>
        </w:rPr>
        <w:t>x</w:t>
      </w:r>
      <w:r>
        <w:rPr>
          <w:i/>
          <w:iCs/>
          <w:vertAlign w:val="subscript"/>
          <w:lang w:val="en-IN" w:eastAsia="en-IN"/>
        </w:rPr>
        <w:t>ss</w:t>
      </w:r>
      <w:r w:rsidRPr="00FE148F">
        <w:rPr>
          <w:rFonts w:cs="Times New Roman"/>
          <w:lang w:val="en-IN" w:eastAsia="en-IN"/>
        </w:rPr>
        <w:t>​</w:t>
      </w:r>
      <w:r w:rsidRPr="00FE148F">
        <w:rPr>
          <w:lang w:val="en-IN" w:eastAsia="en-IN"/>
        </w:rPr>
        <w:t xml:space="preserve"> </w:t>
      </w:r>
      <w:r>
        <w:rPr>
          <w:lang w:val="en-IN" w:eastAsia="en-IN"/>
        </w:rPr>
        <w:t>– 1/</w:t>
      </w:r>
      <w:r>
        <w:rPr>
          <w:rFonts w:cs="Times New Roman"/>
          <w:lang w:val="en-IN" w:eastAsia="en-IN"/>
        </w:rPr>
        <w:t>µ</w:t>
      </w:r>
      <w:r>
        <w:rPr>
          <w:lang w:val="en-IN" w:eastAsia="en-IN"/>
        </w:rPr>
        <w:t xml:space="preserve"> </w:t>
      </w:r>
      <w:r w:rsidRPr="00FE148F">
        <w:rPr>
          <w:lang w:val="en-IN" w:eastAsia="en-IN"/>
        </w:rPr>
        <w:t>value is defined as the maximum datable age. This approach ensures a physically grounded limit to the model's temporal resolution.</w:t>
      </w:r>
      <w:r w:rsidR="00DB7991" w:rsidRPr="00DB7991">
        <w:t xml:space="preserve"> </w:t>
      </w:r>
      <w:r w:rsidR="00DB7991">
        <w:t>The GUI of CoRSEER-II is shown in Fig. S5.</w:t>
      </w:r>
    </w:p>
    <w:p w14:paraId="494DA3D3" w14:textId="41F154BE" w:rsidR="00B83F1F" w:rsidRDefault="00B83F1F" w:rsidP="00B83F1F">
      <w:pPr>
        <w:jc w:val="center"/>
        <w:rPr>
          <w:lang w:val="en-IN" w:eastAsia="en-IN"/>
        </w:rPr>
      </w:pPr>
      <w:r w:rsidRPr="00B83F1F">
        <w:rPr>
          <w:noProof/>
          <w:lang w:val="en-IN" w:eastAsia="en-IN"/>
        </w:rPr>
        <w:lastRenderedPageBreak/>
        <w:drawing>
          <wp:inline distT="0" distB="0" distL="0" distR="0" wp14:anchorId="624CC52D" wp14:editId="2B1F5131">
            <wp:extent cx="6827520" cy="4701540"/>
            <wp:effectExtent l="0" t="0" r="3810" b="3810"/>
            <wp:docPr id="1020005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005692" name=""/>
                    <pic:cNvPicPr/>
                  </pic:nvPicPr>
                  <pic:blipFill rotWithShape="1">
                    <a:blip r:embed="rId12"/>
                    <a:srcRect l="667" r="777"/>
                    <a:stretch>
                      <a:fillRect/>
                    </a:stretch>
                  </pic:blipFill>
                  <pic:spPr bwMode="auto">
                    <a:xfrm>
                      <a:off x="0" y="0"/>
                      <a:ext cx="6827520" cy="4701540"/>
                    </a:xfrm>
                    <a:prstGeom prst="rect">
                      <a:avLst/>
                    </a:prstGeom>
                    <a:ln>
                      <a:noFill/>
                    </a:ln>
                    <a:extLst>
                      <a:ext uri="{53640926-AAD7-44D8-BBD7-CCE9431645EC}">
                        <a14:shadowObscured xmlns:a14="http://schemas.microsoft.com/office/drawing/2010/main"/>
                      </a:ext>
                    </a:extLst>
                  </pic:spPr>
                </pic:pic>
              </a:graphicData>
            </a:graphic>
          </wp:inline>
        </w:drawing>
      </w:r>
    </w:p>
    <w:p w14:paraId="2257C1BB" w14:textId="301ED886" w:rsidR="003B0D58" w:rsidRPr="00D87801" w:rsidRDefault="003B0D58" w:rsidP="003B0D58">
      <w:pPr>
        <w:rPr>
          <w:b/>
          <w:bCs/>
        </w:rPr>
      </w:pPr>
      <w:r w:rsidRPr="00D87801">
        <w:rPr>
          <w:b/>
          <w:bCs/>
        </w:rPr>
        <w:t>Figure</w:t>
      </w:r>
      <w:r>
        <w:rPr>
          <w:b/>
          <w:bCs/>
        </w:rPr>
        <w:t xml:space="preserve"> S5: The GUI of CoRSEER-II used for estimation of apparent age and maximum dateable age. The GUI includes the multiple input bars in its left section, the progress bar and output parameters in right, and the diagnostic plots in bottom.</w:t>
      </w:r>
    </w:p>
    <w:p w14:paraId="04F767DA" w14:textId="77777777" w:rsidR="003B0D58" w:rsidRPr="003B0D58" w:rsidRDefault="003B0D58" w:rsidP="003B0D58">
      <w:pPr>
        <w:rPr>
          <w:lang w:eastAsia="en-IN"/>
        </w:rPr>
      </w:pPr>
    </w:p>
    <w:p w14:paraId="235479ED" w14:textId="77777777" w:rsidR="00B31DFE" w:rsidRDefault="00B31DFE" w:rsidP="00A84F4D">
      <w:pPr>
        <w:pStyle w:val="Heading2"/>
      </w:pPr>
      <w:r>
        <w:t>I</w:t>
      </w:r>
      <w:r w:rsidRPr="001241C9">
        <w:t>nput Parameters</w:t>
      </w:r>
    </w:p>
    <w:p w14:paraId="7AD63663" w14:textId="77777777" w:rsidR="00B31DFE" w:rsidRDefault="00B31DFE" w:rsidP="00A84F4D">
      <w:pPr>
        <w:pStyle w:val="Heading3"/>
      </w:pPr>
      <w:r w:rsidRPr="00991E20">
        <w:t>Excel Format</w:t>
      </w:r>
    </w:p>
    <w:p w14:paraId="1523CC07" w14:textId="39AF9E8F" w:rsidR="00AA313F" w:rsidRDefault="00B31DFE" w:rsidP="00AA313F">
      <w:r>
        <w:t xml:space="preserve">The input Excel file for CoRSEER Part II must adhere to the same structure defined in Section 1.1.1.1 of CoRSEER-I. </w:t>
      </w:r>
      <w:r w:rsidR="00AA313F">
        <w:t xml:space="preserve">We must </w:t>
      </w:r>
      <w:r w:rsidR="00B46E80">
        <w:t>note that for both the calibration sample and the unknown-age sample, the kinetic order</w:t>
      </w:r>
      <w:r w:rsidR="00AA313F">
        <w:t xml:space="preserve"> should be equivalent. </w:t>
      </w:r>
      <w:r>
        <w:t>The sheet must contain non-zero, unique depth values along with corresponding Lx/Tx and error columns. Duplicate depths should be corrected by a minimal offset (e.g., 10</w:t>
      </w:r>
      <w:r w:rsidRPr="00683920">
        <w:rPr>
          <w:vertAlign w:val="superscript"/>
        </w:rPr>
        <w:t>-5</w:t>
      </w:r>
      <w:r>
        <w:t xml:space="preserve"> mm) to avoid interpolation failure during mode</w:t>
      </w:r>
      <w:r w:rsidR="00B46E80">
        <w:t>l</w:t>
      </w:r>
      <w:r>
        <w:t>ling. Crucially, the age column should be left blank, as the goal of this module is to estimate exposure age. The file must be named OSL_unknown.xlsx, and each sheet within it should carry the exact name of the sample being analysed.</w:t>
      </w:r>
      <w:r w:rsidR="00AA313F" w:rsidRPr="00AA313F">
        <w:t xml:space="preserve"> </w:t>
      </w:r>
      <w:r w:rsidR="00AA313F">
        <w:t xml:space="preserve">We must </w:t>
      </w:r>
      <w:r w:rsidR="00B46E80">
        <w:t>note that for both the calibration sample and the unknown-age sample, the kinetic order</w:t>
      </w:r>
      <w:r w:rsidR="00AA313F">
        <w:t xml:space="preserve"> should be equivalent.</w:t>
      </w:r>
    </w:p>
    <w:p w14:paraId="06F16423" w14:textId="1956DC52" w:rsidR="00B31DFE" w:rsidRDefault="00B31DFE" w:rsidP="00B31DFE">
      <w:r>
        <w:t xml:space="preserve"> This sheet name is used by the software to extract and process the corresponding luminescence-depth profile.</w:t>
      </w:r>
      <w:r w:rsidR="00AA313F">
        <w:t xml:space="preserve"> </w:t>
      </w:r>
    </w:p>
    <w:p w14:paraId="759B430A" w14:textId="77777777" w:rsidR="00B31DFE" w:rsidRDefault="00B31DFE" w:rsidP="00A84F4D">
      <w:pPr>
        <w:pStyle w:val="Heading3"/>
      </w:pPr>
      <w:r>
        <w:t>GUI Options</w:t>
      </w:r>
    </w:p>
    <w:p w14:paraId="2E16264D" w14:textId="06670680" w:rsidR="00B31DFE" w:rsidRDefault="00B31DFE" w:rsidP="00B31DFE">
      <w:r>
        <w:t>In the MATLAB App, the user interface allows flexible control over the mode</w:t>
      </w:r>
      <w:r w:rsidR="00B46E80">
        <w:t>l</w:t>
      </w:r>
      <w:r>
        <w:t xml:space="preserve">ling process. </w:t>
      </w:r>
    </w:p>
    <w:p w14:paraId="78696CC1" w14:textId="77777777" w:rsidR="00B31DFE" w:rsidRDefault="00B31DFE" w:rsidP="00B31DFE">
      <w:r>
        <w:rPr>
          <w:rFonts w:cs="Aptos Serif"/>
          <w:lang w:val="en-IN" w:eastAsia="en-IN"/>
        </w:rPr>
        <w:lastRenderedPageBreak/>
        <w:t>Input Box 1:  L</w:t>
      </w:r>
      <w:r>
        <w:t xml:space="preserve">oad the calibration dataset (var_cal_[SampleName].xlsx) generated from CoRSEER Part I. Upon loading, the best-fit kinetic parameters </w:t>
      </w:r>
      <m:oMath>
        <m:bar>
          <m:barPr>
            <m:pos m:val="top"/>
            <m:ctrlPr>
              <w:rPr>
                <w:rFonts w:ascii="Cambria Math" w:hAnsi="Cambria Math" w:cs="Times New Roman"/>
                <w:i/>
                <w:sz w:val="24"/>
                <w:szCs w:val="24"/>
              </w:rPr>
            </m:ctrlPr>
          </m:barPr>
          <m:e>
            <m:r>
              <w:rPr>
                <w:rFonts w:ascii="Cambria Math" w:hAnsi="Cambria Math" w:cs="Times New Roman"/>
                <w:sz w:val="24"/>
                <w:szCs w:val="24"/>
                <w:lang w:val="el-GR"/>
              </w:rPr>
              <m:t>σφ</m:t>
            </m:r>
          </m:e>
        </m:bar>
        <m:r>
          <w:rPr>
            <w:rFonts w:ascii="Cambria Math" w:hAnsi="Cambria Math" w:cs="Times New Roman"/>
            <w:sz w:val="24"/>
            <w:szCs w:val="24"/>
            <w:lang w:val="el-GR"/>
          </w:rPr>
          <m:t>˳</m:t>
        </m:r>
      </m:oMath>
      <w:r w:rsidRPr="0098178E">
        <w:rPr>
          <w:lang w:eastAsia="en-IN"/>
        </w:rPr>
        <w:t xml:space="preserve"> and </w:t>
      </w:r>
      <m:oMath>
        <m:r>
          <w:rPr>
            <w:rFonts w:ascii="Cambria Math" w:hAnsi="Cambria Math" w:cs="Times New Roman"/>
            <w:sz w:val="24"/>
            <w:szCs w:val="24"/>
            <w:lang w:val="en-IN"/>
          </w:rPr>
          <m:t>µ</m:t>
        </m:r>
      </m:oMath>
      <w:r>
        <w:t xml:space="preserve"> are automatically read and displayed in their respective GUI fields. </w:t>
      </w:r>
    </w:p>
    <w:p w14:paraId="114DBACB" w14:textId="0A866AAB" w:rsidR="00B31DFE" w:rsidRDefault="00B31DFE" w:rsidP="00B31DFE">
      <w:r>
        <w:t>Input Box 2: The next step i</w:t>
      </w:r>
      <w:r w:rsidR="00B46E80">
        <w:t>s to direct</w:t>
      </w:r>
      <w:r>
        <w:t xml:space="preserve"> the software to the folder containing the OSL_unknown.xlsx file. Once the correct folder is set, the user must enter the sample name in the designated GUI field; this name i</w:t>
      </w:r>
      <w:r w:rsidR="00B46E80">
        <w:t xml:space="preserve">dentifies the sheet </w:t>
      </w:r>
      <w:r>
        <w:t xml:space="preserve">in the Excel file containing the unknown LDP. </w:t>
      </w:r>
    </w:p>
    <w:p w14:paraId="327D252F" w14:textId="77777777" w:rsidR="00CA1FB6" w:rsidRDefault="00B31DFE" w:rsidP="00B31DFE">
      <w:r>
        <w:t xml:space="preserve">Input Box 3: </w:t>
      </w:r>
      <w:r w:rsidR="00CA1FB6">
        <w:t>This is a range bar which</w:t>
      </w:r>
      <w:r>
        <w:t xml:space="preserve"> includes a 'Log10' field that defines the logarithmic age search range (e.g., 10</w:t>
      </w:r>
      <w:r w:rsidRPr="00683920">
        <w:rPr>
          <w:vertAlign w:val="superscript"/>
        </w:rPr>
        <w:t>-1</w:t>
      </w:r>
      <w:r>
        <w:t xml:space="preserve"> to 10</w:t>
      </w:r>
      <w:r w:rsidRPr="00683920">
        <w:rPr>
          <w:vertAlign w:val="superscript"/>
        </w:rPr>
        <w:t>6</w:t>
      </w:r>
      <w:r>
        <w:t xml:space="preserve"> years), which governs how the forward model simulates profiles. Since simulation time scales with this range, a higher upper bound will result in longer computations. </w:t>
      </w:r>
    </w:p>
    <w:p w14:paraId="1FD3109E" w14:textId="77777777" w:rsidR="00CA1FB6" w:rsidRDefault="00CA1FB6" w:rsidP="00B31DFE">
      <w:r>
        <w:rPr>
          <w:rFonts w:cs="Aptos Serif"/>
          <w:lang w:val="en-IN" w:eastAsia="en-IN"/>
        </w:rPr>
        <w:t xml:space="preserve">Input Box 4: </w:t>
      </w:r>
      <w:r w:rsidR="00B31DFE">
        <w:t>The '</w:t>
      </w:r>
      <w:r>
        <w:t>t</w:t>
      </w:r>
      <w:r w:rsidR="00B31DFE">
        <w:t xml:space="preserve">imestamp' or </w:t>
      </w:r>
      <m:oMath>
        <m:r>
          <w:rPr>
            <w:rFonts w:ascii="Cambria Math" w:hAnsi="Cambria Math"/>
          </w:rPr>
          <m:t>∆</m:t>
        </m:r>
      </m:oMath>
      <w:r w:rsidR="00B31DFE" w:rsidRPr="00CA1FB6">
        <w:rPr>
          <w:i/>
          <w:iCs/>
        </w:rPr>
        <w:t>t</w:t>
      </w:r>
      <w:r w:rsidR="00B31DFE">
        <w:t xml:space="preserve"> value represents the time step for simulation and should ideally be 100 times smaller than the minimum age (</w:t>
      </w:r>
      <w:r w:rsidR="00B31DFE" w:rsidRPr="00683920">
        <w:rPr>
          <w:i/>
          <w:iCs/>
        </w:rPr>
        <w:t>i.e., dt = t</w:t>
      </w:r>
      <w:r w:rsidR="00B31DFE" w:rsidRPr="00683920">
        <w:rPr>
          <w:i/>
          <w:iCs/>
          <w:vertAlign w:val="subscript"/>
        </w:rPr>
        <w:t>min</w:t>
      </w:r>
      <w:r w:rsidR="00B31DFE" w:rsidRPr="00683920">
        <w:rPr>
          <w:i/>
          <w:iCs/>
        </w:rPr>
        <w:t xml:space="preserve"> / 100</w:t>
      </w:r>
      <w:r w:rsidR="00B31DFE">
        <w:t xml:space="preserve">) to ensure sufficient temporal resolution. </w:t>
      </w:r>
    </w:p>
    <w:p w14:paraId="6067DCE7" w14:textId="68D1EF43" w:rsidR="00B31DFE" w:rsidRDefault="00CA1FB6" w:rsidP="00B31DFE">
      <w:pPr>
        <w:rPr>
          <w:rFonts w:asciiTheme="minorHAnsi" w:hAnsiTheme="minorHAnsi"/>
        </w:rPr>
      </w:pPr>
      <w:r>
        <w:t xml:space="preserve">Input Box 5: </w:t>
      </w:r>
      <w:r w:rsidR="00B31DFE">
        <w:t>Another field allows the user to enter an erosion rate; if this value is unknown, it should simply be set to 0, indicating no erosion is assumed.</w:t>
      </w:r>
    </w:p>
    <w:p w14:paraId="0B9276F1" w14:textId="5DF1077F" w:rsidR="00B31DFE" w:rsidRDefault="009E3820" w:rsidP="00A84F4D">
      <w:pPr>
        <w:pStyle w:val="Heading2"/>
      </w:pPr>
      <w:r>
        <w:t>Mechanism</w:t>
      </w:r>
    </w:p>
    <w:p w14:paraId="74FF01CB" w14:textId="77777777" w:rsidR="00AA313F" w:rsidRDefault="00AA313F" w:rsidP="00A84F4D">
      <w:pPr>
        <w:pStyle w:val="Heading3"/>
        <w:rPr>
          <w:lang w:val="en-IN"/>
        </w:rPr>
      </w:pPr>
      <w:bookmarkStart w:id="2" w:name="_Hlk209051682"/>
      <w:r>
        <w:rPr>
          <w:lang w:val="en-IN"/>
        </w:rPr>
        <w:t>Forward modelling:</w:t>
      </w:r>
    </w:p>
    <w:p w14:paraId="75F4CD4B" w14:textId="0B9AFBB1" w:rsidR="00AA313F" w:rsidRPr="00890E7F" w:rsidRDefault="00AA313F" w:rsidP="00AA313F">
      <w:pPr>
        <w:rPr>
          <w:rFonts w:eastAsiaTheme="majorEastAsia" w:cstheme="majorBidi"/>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92"/>
        <w:gridCol w:w="808"/>
      </w:tblGrid>
      <w:tr w:rsidR="00890E7F" w14:paraId="4A438BF9" w14:textId="77777777" w:rsidTr="00890E7F">
        <w:tc>
          <w:tcPr>
            <w:tcW w:w="4626" w:type="pct"/>
          </w:tcPr>
          <w:p w14:paraId="030EEEB1" w14:textId="6C0E130E" w:rsidR="00890E7F" w:rsidRDefault="00000000" w:rsidP="00A625CB">
            <w:pPr>
              <w:rPr>
                <w:lang w:val="en-IN"/>
              </w:rPr>
            </w:pPr>
            <m:oMathPara>
              <m:oMath>
                <m:f>
                  <m:fPr>
                    <m:ctrlPr>
                      <w:rPr>
                        <w:rFonts w:ascii="Cambria Math" w:hAnsi="Cambria Math" w:cs="Times New Roman"/>
                        <w:i/>
                      </w:rPr>
                    </m:ctrlPr>
                  </m:fPr>
                  <m:num>
                    <m:r>
                      <w:rPr>
                        <w:rFonts w:ascii="Cambria Math" w:hAnsi="Cambria Math" w:cs="Times New Roman"/>
                      </w:rPr>
                      <m:t>d</m:t>
                    </m:r>
                    <m:bar>
                      <m:barPr>
                        <m:pos m:val="top"/>
                        <m:ctrlPr>
                          <w:rPr>
                            <w:rFonts w:ascii="Cambria Math" w:hAnsi="Cambria Math" w:cs="Times New Roman"/>
                            <w:i/>
                          </w:rPr>
                        </m:ctrlPr>
                      </m:barPr>
                      <m:e>
                        <m:r>
                          <w:rPr>
                            <w:rFonts w:ascii="Cambria Math" w:hAnsi="Cambria Math" w:cs="Times New Roman"/>
                          </w:rPr>
                          <m:t>n</m:t>
                        </m:r>
                      </m:e>
                    </m:bar>
                  </m:num>
                  <m:den>
                    <m:r>
                      <w:rPr>
                        <w:rFonts w:ascii="Cambria Math" w:hAnsi="Cambria Math" w:cs="Times New Roman"/>
                      </w:rPr>
                      <m:t>dt</m:t>
                    </m:r>
                  </m:den>
                </m:f>
                <m:r>
                  <w:rPr>
                    <w:rFonts w:ascii="Cambria Math" w:hAnsi="Cambria Math" w:cs="Times New Roman"/>
                    <w:lang w:val="en-IN"/>
                  </w:rPr>
                  <m:t>=</m:t>
                </m:r>
                <m:sSub>
                  <m:sSubPr>
                    <m:ctrlPr>
                      <w:rPr>
                        <w:rFonts w:ascii="Cambria Math" w:hAnsi="Cambria Math" w:cs="Times New Roman"/>
                        <w:i/>
                      </w:rPr>
                    </m:ctrlPr>
                  </m:sSubPr>
                  <m:e>
                    <m:d>
                      <m:dPr>
                        <m:begChr m:val="{"/>
                        <m:endChr m:val="}"/>
                        <m:ctrlPr>
                          <w:rPr>
                            <w:rFonts w:ascii="Cambria Math" w:hAnsi="Cambria Math" w:cs="Times New Roman"/>
                            <w:i/>
                          </w:rPr>
                        </m:ctrlPr>
                      </m:dPr>
                      <m:e>
                        <m:f>
                          <m:fPr>
                            <m:ctrlPr>
                              <w:rPr>
                                <w:rFonts w:ascii="Cambria Math" w:hAnsi="Cambria Math" w:cs="Times New Roman"/>
                                <w:i/>
                              </w:rPr>
                            </m:ctrlPr>
                          </m:fPr>
                          <m:num>
                            <m:acc>
                              <m:accPr>
                                <m:chr m:val="̇"/>
                                <m:ctrlPr>
                                  <w:rPr>
                                    <w:rFonts w:ascii="Cambria Math" w:hAnsi="Cambria Math" w:cs="Times New Roman"/>
                                    <w:i/>
                                  </w:rPr>
                                </m:ctrlPr>
                              </m:accPr>
                              <m:e>
                                <m:r>
                                  <w:rPr>
                                    <w:rFonts w:ascii="Cambria Math" w:hAnsi="Cambria Math" w:cs="Times New Roman"/>
                                  </w:rPr>
                                  <m:t>D</m:t>
                                </m:r>
                              </m:e>
                            </m:acc>
                          </m:num>
                          <m:den>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o</m:t>
                                </m:r>
                              </m:sub>
                            </m:sSub>
                          </m:den>
                        </m:f>
                        <m:d>
                          <m:dPr>
                            <m:ctrlPr>
                              <w:rPr>
                                <w:rFonts w:ascii="Cambria Math" w:hAnsi="Cambria Math" w:cs="Times New Roman"/>
                                <w:i/>
                              </w:rPr>
                            </m:ctrlPr>
                          </m:dPr>
                          <m:e>
                            <m:r>
                              <w:rPr>
                                <w:rFonts w:ascii="Cambria Math" w:hAnsi="Cambria Math" w:cs="Times New Roman"/>
                                <w:lang w:val="en-IN"/>
                              </w:rPr>
                              <m:t>1-</m:t>
                            </m:r>
                            <m:bar>
                              <m:barPr>
                                <m:pos m:val="top"/>
                                <m:ctrlPr>
                                  <w:rPr>
                                    <w:rFonts w:ascii="Cambria Math" w:hAnsi="Cambria Math" w:cs="Times New Roman"/>
                                    <w:i/>
                                  </w:rPr>
                                </m:ctrlPr>
                              </m:barPr>
                              <m:e>
                                <m:r>
                                  <w:rPr>
                                    <w:rFonts w:ascii="Cambria Math" w:hAnsi="Cambria Math" w:cs="Times New Roman"/>
                                  </w:rPr>
                                  <m:t>n</m:t>
                                </m:r>
                              </m:e>
                            </m:bar>
                          </m:e>
                        </m:d>
                      </m:e>
                    </m:d>
                  </m:e>
                  <m:sub>
                    <m:r>
                      <w:rPr>
                        <w:rFonts w:ascii="Cambria Math" w:hAnsi="Cambria Math" w:cs="Times New Roman"/>
                      </w:rPr>
                      <m:t>growt</m:t>
                    </m:r>
                    <m:r>
                      <w:rPr>
                        <w:rFonts w:ascii="Cambria Math" w:hAnsi="Cambria Math" w:cs="Times New Roman"/>
                        <w:lang w:val="en-IN"/>
                      </w:rPr>
                      <m:t>h</m:t>
                    </m:r>
                  </m:sub>
                </m:sSub>
                <m:r>
                  <w:rPr>
                    <w:rFonts w:ascii="Cambria Math" w:hAnsi="Cambria Math" w:cs="Times New Roman"/>
                    <w:lang w:val="en-IN"/>
                  </w:rPr>
                  <m:t xml:space="preserve">- </m:t>
                </m:r>
                <m:sSub>
                  <m:sSubPr>
                    <m:ctrlPr>
                      <w:rPr>
                        <w:rFonts w:ascii="Cambria Math" w:hAnsi="Cambria Math" w:cs="Times New Roman"/>
                        <w:i/>
                      </w:rPr>
                    </m:ctrlPr>
                  </m:sSubPr>
                  <m:e>
                    <m:d>
                      <m:dPr>
                        <m:begChr m:val="{"/>
                        <m:endChr m:val="}"/>
                        <m:ctrlPr>
                          <w:rPr>
                            <w:rFonts w:ascii="Cambria Math" w:hAnsi="Cambria Math" w:cs="Times New Roman"/>
                            <w:i/>
                          </w:rPr>
                        </m:ctrlPr>
                      </m:dPr>
                      <m:e>
                        <m:r>
                          <w:rPr>
                            <w:rFonts w:ascii="Cambria Math" w:hAnsi="Cambria Math" w:cs="Times New Roman"/>
                            <w:lang w:val="en-IN"/>
                          </w:rPr>
                          <m:t xml:space="preserve"> </m:t>
                        </m:r>
                        <m:sSup>
                          <m:sSupPr>
                            <m:ctrlPr>
                              <w:rPr>
                                <w:rFonts w:ascii="Cambria Math" w:hAnsi="Cambria Math" w:cs="Times New Roman"/>
                                <w:i/>
                              </w:rPr>
                            </m:ctrlPr>
                          </m:sSupPr>
                          <m:e>
                            <m:bar>
                              <m:barPr>
                                <m:pos m:val="top"/>
                                <m:ctrlPr>
                                  <w:rPr>
                                    <w:rFonts w:ascii="Cambria Math" w:hAnsi="Cambria Math" w:cs="Times New Roman"/>
                                    <w:i/>
                                  </w:rPr>
                                </m:ctrlPr>
                              </m:barPr>
                              <m:e>
                                <m:r>
                                  <w:rPr>
                                    <w:rFonts w:ascii="Cambria Math" w:hAnsi="Cambria Math" w:cs="Times New Roman"/>
                                  </w:rPr>
                                  <m:t>n</m:t>
                                </m:r>
                              </m:e>
                            </m:bar>
                          </m:e>
                          <m:sup>
                            <m:r>
                              <w:rPr>
                                <w:rFonts w:ascii="Cambria Math" w:hAnsi="Cambria Math" w:cs="Times New Roman"/>
                              </w:rPr>
                              <m:t>r</m:t>
                            </m:r>
                          </m:sup>
                        </m:sSup>
                        <m:r>
                          <w:rPr>
                            <w:rFonts w:ascii="Cambria Math" w:hAnsi="Cambria Math" w:cs="Times New Roman"/>
                            <w:lang w:val="en-IN"/>
                          </w:rPr>
                          <m:t xml:space="preserve"> </m:t>
                        </m:r>
                        <m:bar>
                          <m:barPr>
                            <m:pos m:val="top"/>
                            <m:ctrlPr>
                              <w:rPr>
                                <w:rFonts w:ascii="Cambria Math" w:hAnsi="Cambria Math" w:cs="Times New Roman"/>
                                <w:i/>
                              </w:rPr>
                            </m:ctrlPr>
                          </m:barPr>
                          <m:e>
                            <m:r>
                              <w:rPr>
                                <w:rFonts w:ascii="Cambria Math" w:hAnsi="Cambria Math" w:cs="Times New Roman"/>
                                <w:lang w:val="el-GR"/>
                              </w:rPr>
                              <m:t>σφ</m:t>
                            </m:r>
                          </m:e>
                        </m:bar>
                        <m:r>
                          <w:rPr>
                            <w:rFonts w:ascii="Cambria Math" w:hAnsi="Cambria Math" w:cs="Times New Roman"/>
                            <w:lang w:val="el-GR"/>
                          </w:rPr>
                          <m:t>˳</m:t>
                        </m:r>
                        <m:sSup>
                          <m:sSupPr>
                            <m:ctrlPr>
                              <w:rPr>
                                <w:rFonts w:ascii="Cambria Math" w:hAnsi="Cambria Math" w:cs="Times New Roman"/>
                                <w:i/>
                              </w:rPr>
                            </m:ctrlPr>
                          </m:sSupPr>
                          <m:e>
                            <m:r>
                              <w:rPr>
                                <w:rFonts w:ascii="Cambria Math" w:hAnsi="Cambria Math" w:cs="Times New Roman"/>
                              </w:rPr>
                              <m:t>e</m:t>
                            </m:r>
                          </m:e>
                          <m:sup>
                            <m:r>
                              <w:rPr>
                                <w:rFonts w:ascii="Cambria Math" w:hAnsi="Cambria Math" w:cs="Times New Roman"/>
                                <w:lang w:val="en-IN"/>
                              </w:rPr>
                              <m:t>-µ</m:t>
                            </m:r>
                            <m:r>
                              <w:rPr>
                                <w:rFonts w:ascii="Cambria Math" w:hAnsi="Cambria Math" w:cs="Times New Roman"/>
                              </w:rPr>
                              <m:t>x</m:t>
                            </m:r>
                          </m:sup>
                        </m:sSup>
                      </m:e>
                    </m:d>
                  </m:e>
                  <m:sub>
                    <m:r>
                      <w:rPr>
                        <w:rFonts w:ascii="Cambria Math" w:hAnsi="Cambria Math" w:cs="Times New Roman"/>
                      </w:rPr>
                      <m:t>decay</m:t>
                    </m:r>
                  </m:sub>
                </m:sSub>
                <m:r>
                  <w:rPr>
                    <w:rFonts w:ascii="Cambria Math" w:hAnsi="Cambria Math" w:cs="Times New Roman"/>
                  </w:rPr>
                  <m:t xml:space="preserve">+ </m:t>
                </m:r>
                <m:sSub>
                  <m:sSubPr>
                    <m:ctrlPr>
                      <w:rPr>
                        <w:rFonts w:ascii="Cambria Math" w:hAnsi="Cambria Math" w:cs="Times New Roman"/>
                        <w:i/>
                      </w:rPr>
                    </m:ctrlPr>
                  </m:sSubPr>
                  <m:e>
                    <m:d>
                      <m:dPr>
                        <m:begChr m:val="{"/>
                        <m:endChr m:val="}"/>
                        <m:ctrlPr>
                          <w:rPr>
                            <w:rFonts w:ascii="Cambria Math" w:hAnsi="Cambria Math" w:cs="Times New Roman"/>
                            <w:i/>
                          </w:rPr>
                        </m:ctrlPr>
                      </m:dPr>
                      <m:e>
                        <m:acc>
                          <m:accPr>
                            <m:chr m:val="̇"/>
                            <m:ctrlPr>
                              <w:rPr>
                                <w:rFonts w:ascii="Cambria Math" w:hAnsi="Cambria Math" w:cs="Times New Roman"/>
                                <w:i/>
                              </w:rPr>
                            </m:ctrlPr>
                          </m:accPr>
                          <m:e>
                            <m:r>
                              <w:rPr>
                                <w:rFonts w:ascii="Cambria Math" w:hAnsi="Cambria Math" w:cs="Times New Roman"/>
                              </w:rPr>
                              <m:t>ε</m:t>
                            </m:r>
                          </m:e>
                        </m:acc>
                        <m:f>
                          <m:fPr>
                            <m:ctrlPr>
                              <w:rPr>
                                <w:rFonts w:ascii="Cambria Math" w:hAnsi="Cambria Math" w:cs="Times New Roman"/>
                                <w:i/>
                              </w:rPr>
                            </m:ctrlPr>
                          </m:fPr>
                          <m:num>
                            <m:r>
                              <w:rPr>
                                <w:rFonts w:ascii="Cambria Math" w:hAnsi="Cambria Math" w:cs="Times New Roman"/>
                              </w:rPr>
                              <m:t>d</m:t>
                            </m:r>
                            <m:bar>
                              <m:barPr>
                                <m:pos m:val="top"/>
                                <m:ctrlPr>
                                  <w:rPr>
                                    <w:rFonts w:ascii="Cambria Math" w:hAnsi="Cambria Math" w:cs="Times New Roman"/>
                                    <w:i/>
                                  </w:rPr>
                                </m:ctrlPr>
                              </m:barPr>
                              <m:e>
                                <m:r>
                                  <w:rPr>
                                    <w:rFonts w:ascii="Cambria Math" w:hAnsi="Cambria Math" w:cs="Times New Roman"/>
                                  </w:rPr>
                                  <m:t>n</m:t>
                                </m:r>
                              </m:e>
                            </m:bar>
                          </m:num>
                          <m:den>
                            <m:r>
                              <w:rPr>
                                <w:rFonts w:ascii="Cambria Math" w:hAnsi="Cambria Math" w:cs="Times New Roman"/>
                              </w:rPr>
                              <m:t>dx</m:t>
                            </m:r>
                          </m:den>
                        </m:f>
                      </m:e>
                    </m:d>
                  </m:e>
                  <m:sub>
                    <m:r>
                      <w:rPr>
                        <w:rFonts w:ascii="Cambria Math" w:hAnsi="Cambria Math" w:cs="Times New Roman"/>
                      </w:rPr>
                      <m:t>erosion</m:t>
                    </m:r>
                  </m:sub>
                </m:sSub>
              </m:oMath>
            </m:oMathPara>
          </w:p>
        </w:tc>
        <w:tc>
          <w:tcPr>
            <w:tcW w:w="374" w:type="pct"/>
          </w:tcPr>
          <w:p w14:paraId="6EE7B625" w14:textId="16FDF15F" w:rsidR="00890E7F" w:rsidRDefault="00890E7F" w:rsidP="00A625CB">
            <w:pPr>
              <w:rPr>
                <w:lang w:val="en-IN"/>
              </w:rPr>
            </w:pPr>
            <w:r>
              <w:rPr>
                <w:lang w:val="en-IN"/>
              </w:rPr>
              <w:t>(6)</w:t>
            </w:r>
          </w:p>
        </w:tc>
      </w:tr>
    </w:tbl>
    <w:p w14:paraId="297EDDC7" w14:textId="77777777" w:rsidR="00890E7F" w:rsidRPr="003A4071" w:rsidRDefault="00890E7F" w:rsidP="00AA313F">
      <w:pPr>
        <w:rPr>
          <w:rFonts w:eastAsiaTheme="majorEastAsia" w:cstheme="majorBidi"/>
        </w:rPr>
      </w:pPr>
    </w:p>
    <w:p w14:paraId="4B749C86" w14:textId="1565B658" w:rsidR="00AA313F" w:rsidRPr="000C1FCB" w:rsidRDefault="00AA313F" w:rsidP="00AA313F">
      <w:pPr>
        <w:rPr>
          <w:rFonts w:eastAsiaTheme="majorEastAsia" w:cstheme="majorBidi"/>
          <w:lang w:val="en-IN"/>
        </w:rPr>
      </w:pPr>
      <w:r>
        <w:rPr>
          <w:rFonts w:eastAsiaTheme="majorEastAsia" w:cstheme="majorBidi"/>
          <w:lang w:val="en-IN"/>
        </w:rPr>
        <w:t xml:space="preserve">The forward modelling </w:t>
      </w:r>
      <w:r w:rsidR="00B46E80">
        <w:rPr>
          <w:rFonts w:eastAsiaTheme="majorEastAsia" w:cstheme="majorBidi"/>
          <w:lang w:val="en-IN"/>
        </w:rPr>
        <w:t>in the current module uses the Euler forward time scheme, which we</w:t>
      </w:r>
      <w:r>
        <w:rPr>
          <w:rFonts w:eastAsiaTheme="majorEastAsia" w:cstheme="majorBidi"/>
          <w:lang w:val="en-IN"/>
        </w:rPr>
        <w:t xml:space="preserve"> discussed thoroughly in earlier sections. The main difference is </w:t>
      </w:r>
      <w:r w:rsidR="00B46E80">
        <w:rPr>
          <w:rFonts w:eastAsiaTheme="majorEastAsia" w:cstheme="majorBidi"/>
          <w:lang w:val="en-IN"/>
        </w:rPr>
        <w:t xml:space="preserve">that </w:t>
      </w:r>
      <w:r>
        <w:rPr>
          <w:rFonts w:eastAsiaTheme="majorEastAsia" w:cstheme="majorBidi"/>
          <w:lang w:val="en-IN"/>
        </w:rPr>
        <w:t>in CoRSEER-I</w:t>
      </w:r>
      <w:r w:rsidR="00B46E80">
        <w:rPr>
          <w:rFonts w:eastAsiaTheme="majorEastAsia" w:cstheme="majorBidi"/>
          <w:lang w:val="en-IN"/>
        </w:rPr>
        <w:t>,</w:t>
      </w:r>
      <w:r>
        <w:rPr>
          <w:rFonts w:eastAsiaTheme="majorEastAsia" w:cstheme="majorBidi"/>
          <w:lang w:val="en-IN"/>
        </w:rPr>
        <w:t xml:space="preserve"> we solve </w:t>
      </w:r>
      <w:r w:rsidR="00B46E80">
        <w:rPr>
          <w:rFonts w:eastAsiaTheme="majorEastAsia" w:cstheme="majorBidi"/>
          <w:lang w:val="en-IN"/>
        </w:rPr>
        <w:t xml:space="preserve">the </w:t>
      </w:r>
      <w:r>
        <w:rPr>
          <w:rFonts w:eastAsiaTheme="majorEastAsia" w:cstheme="majorBidi"/>
          <w:lang w:val="en-IN"/>
        </w:rPr>
        <w:t>above equation up</w:t>
      </w:r>
      <w:r w:rsidR="00B46E80">
        <w:rPr>
          <w:rFonts w:eastAsiaTheme="majorEastAsia" w:cstheme="majorBidi"/>
          <w:lang w:val="en-IN"/>
        </w:rPr>
        <w:t xml:space="preserve"> </w:t>
      </w:r>
      <w:r>
        <w:rPr>
          <w:rFonts w:eastAsiaTheme="majorEastAsia" w:cstheme="majorBidi"/>
          <w:lang w:val="en-IN"/>
        </w:rPr>
        <w:t xml:space="preserve">to known calibration </w:t>
      </w:r>
      <w:r w:rsidR="00C46B04">
        <w:rPr>
          <w:rFonts w:eastAsiaTheme="majorEastAsia" w:cstheme="majorBidi"/>
          <w:i/>
          <w:iCs/>
          <w:lang w:val="en-IN"/>
        </w:rPr>
        <w:t>t</w:t>
      </w:r>
      <w:r>
        <w:rPr>
          <w:rFonts w:eastAsiaTheme="majorEastAsia" w:cstheme="majorBidi"/>
          <w:i/>
          <w:iCs/>
          <w:vertAlign w:val="subscript"/>
          <w:lang w:val="en-IN"/>
        </w:rPr>
        <w:t xml:space="preserve"> </w:t>
      </w:r>
      <w:r>
        <w:rPr>
          <w:rFonts w:eastAsiaTheme="majorEastAsia" w:cstheme="majorBidi"/>
          <w:lang w:val="en-IN"/>
        </w:rPr>
        <w:t xml:space="preserve"> at time stamp</w:t>
      </w:r>
      <m:oMath>
        <m:r>
          <w:rPr>
            <w:rFonts w:ascii="Cambria Math" w:eastAsiaTheme="majorEastAsia" w:hAnsi="Cambria Math" w:cstheme="majorBidi"/>
            <w:lang w:val="en-IN"/>
          </w:rPr>
          <m:t xml:space="preserve"> ∆t = 0.01 yr</m:t>
        </m:r>
      </m:oMath>
      <w:r>
        <w:rPr>
          <w:rFonts w:eastAsiaTheme="majorEastAsia" w:cstheme="majorBidi"/>
          <w:lang w:val="en-IN"/>
        </w:rPr>
        <w:t xml:space="preserve"> for </w:t>
      </w:r>
      <w:r>
        <w:rPr>
          <w:rFonts w:eastAsiaTheme="majorEastAsia" w:cstheme="majorBidi"/>
        </w:rPr>
        <w:t>each pair (</w:t>
      </w:r>
      <w:r>
        <w:rPr>
          <w:rFonts w:eastAsiaTheme="majorEastAsia" w:cstheme="majorBidi"/>
          <w:i/>
          <w:iCs/>
        </w:rPr>
        <w:t xml:space="preserve">m </w:t>
      </w:r>
      <w:r>
        <w:rPr>
          <w:rFonts w:eastAsiaTheme="majorEastAsia" w:cs="Times New Roman"/>
          <w:i/>
          <w:iCs/>
        </w:rPr>
        <w:t>×</w:t>
      </w:r>
      <w:r>
        <w:rPr>
          <w:rFonts w:eastAsiaTheme="majorEastAsia" w:cstheme="majorBidi"/>
          <w:i/>
          <w:iCs/>
        </w:rPr>
        <w:t xml:space="preserve"> m</w:t>
      </w:r>
      <w:r>
        <w:rPr>
          <w:rFonts w:eastAsiaTheme="majorEastAsia" w:cstheme="majorBidi"/>
        </w:rPr>
        <w:t xml:space="preserve">) of </w:t>
      </w:r>
      <m:oMath>
        <m:bar>
          <m:barPr>
            <m:pos m:val="top"/>
            <m:ctrlPr>
              <w:rPr>
                <w:rFonts w:ascii="Cambria Math" w:eastAsiaTheme="majorEastAsia" w:hAnsi="Cambria Math" w:cstheme="majorBidi"/>
                <w:i/>
              </w:rPr>
            </m:ctrlPr>
          </m:barPr>
          <m:e>
            <m:r>
              <w:rPr>
                <w:rFonts w:ascii="Cambria Math" w:eastAsiaTheme="majorEastAsia" w:hAnsi="Cambria Math" w:cstheme="majorBidi"/>
              </w:rPr>
              <m:t>σ</m:t>
            </m:r>
            <m:sSub>
              <m:sSubPr>
                <m:ctrlPr>
                  <w:rPr>
                    <w:rFonts w:ascii="Cambria Math" w:eastAsiaTheme="majorEastAsia" w:hAnsi="Cambria Math" w:cstheme="majorBidi"/>
                    <w:i/>
                  </w:rPr>
                </m:ctrlPr>
              </m:sSubPr>
              <m:e>
                <m:r>
                  <w:rPr>
                    <w:rFonts w:ascii="Cambria Math" w:eastAsiaTheme="majorEastAsia" w:hAnsi="Cambria Math" w:cstheme="majorBidi"/>
                  </w:rPr>
                  <m:t>φ</m:t>
                </m:r>
              </m:e>
              <m:sub>
                <m:r>
                  <w:rPr>
                    <w:rFonts w:ascii="Cambria Math" w:eastAsiaTheme="majorEastAsia" w:hAnsi="Cambria Math" w:cstheme="majorBidi"/>
                  </w:rPr>
                  <m:t>0</m:t>
                </m:r>
              </m:sub>
            </m:sSub>
          </m:e>
        </m:bar>
      </m:oMath>
      <w:r>
        <w:rPr>
          <w:rFonts w:eastAsiaTheme="majorEastAsia" w:cstheme="majorBidi"/>
        </w:rPr>
        <w:t xml:space="preserve"> and </w:t>
      </w:r>
      <w:r w:rsidRPr="00F323E8">
        <w:rPr>
          <w:i/>
          <w:iCs/>
          <w:lang w:val="en-IN"/>
        </w:rPr>
        <w:t>μ</w:t>
      </w:r>
      <w:r>
        <w:rPr>
          <w:lang w:val="en-IN"/>
        </w:rPr>
        <w:t xml:space="preserve">. Furthermore, we </w:t>
      </w:r>
      <w:r w:rsidR="00B46E80">
        <w:rPr>
          <w:lang w:val="en-IN"/>
        </w:rPr>
        <w:t>identify a misfit for each pair and search for pairs that yield</w:t>
      </w:r>
      <w:r>
        <w:rPr>
          <w:lang w:val="en-IN"/>
        </w:rPr>
        <w:t xml:space="preserve"> </w:t>
      </w:r>
      <w:r w:rsidR="00B46E80">
        <w:rPr>
          <w:lang w:val="en-IN"/>
        </w:rPr>
        <w:t xml:space="preserve">the </w:t>
      </w:r>
      <w:r>
        <w:rPr>
          <w:lang w:val="en-IN"/>
        </w:rPr>
        <w:t>best-fitting LDP. In CoRSEER-II</w:t>
      </w:r>
      <w:r w:rsidR="00B46E80">
        <w:rPr>
          <w:lang w:val="en-IN"/>
        </w:rPr>
        <w:t>,</w:t>
      </w:r>
      <w:r>
        <w:rPr>
          <w:lang w:val="en-IN"/>
        </w:rPr>
        <w:t xml:space="preserve"> we solve </w:t>
      </w:r>
      <w:r w:rsidR="00B46E80">
        <w:rPr>
          <w:lang w:val="en-IN"/>
        </w:rPr>
        <w:t xml:space="preserve">the </w:t>
      </w:r>
      <w:r>
        <w:rPr>
          <w:lang w:val="en-IN"/>
        </w:rPr>
        <w:t xml:space="preserve">equation by fixing calibration parameters as </w:t>
      </w:r>
      <w:r w:rsidR="00B46E80">
        <w:rPr>
          <w:lang w:val="en-IN"/>
        </w:rPr>
        <w:t>the</w:t>
      </w:r>
      <w:r>
        <w:rPr>
          <w:lang w:val="en-IN"/>
        </w:rPr>
        <w:t xml:space="preserve"> </w:t>
      </w:r>
      <w:r w:rsidR="00B46E80">
        <w:rPr>
          <w:lang w:val="en-IN"/>
        </w:rPr>
        <w:t>best-</w:t>
      </w:r>
      <w:r>
        <w:rPr>
          <w:lang w:val="en-IN"/>
        </w:rPr>
        <w:t xml:space="preserve">fitting pairs of </w:t>
      </w:r>
      <m:oMath>
        <m:bar>
          <m:barPr>
            <m:pos m:val="top"/>
            <m:ctrlPr>
              <w:rPr>
                <w:rFonts w:ascii="Cambria Math" w:eastAsiaTheme="majorEastAsia" w:hAnsi="Cambria Math" w:cstheme="majorBidi"/>
                <w:i/>
              </w:rPr>
            </m:ctrlPr>
          </m:barPr>
          <m:e>
            <m:r>
              <w:rPr>
                <w:rFonts w:ascii="Cambria Math" w:eastAsiaTheme="majorEastAsia" w:hAnsi="Cambria Math" w:cstheme="majorBidi"/>
              </w:rPr>
              <m:t>σ</m:t>
            </m:r>
            <m:sSub>
              <m:sSubPr>
                <m:ctrlPr>
                  <w:rPr>
                    <w:rFonts w:ascii="Cambria Math" w:eastAsiaTheme="majorEastAsia" w:hAnsi="Cambria Math" w:cstheme="majorBidi"/>
                    <w:i/>
                  </w:rPr>
                </m:ctrlPr>
              </m:sSubPr>
              <m:e>
                <m:r>
                  <w:rPr>
                    <w:rFonts w:ascii="Cambria Math" w:eastAsiaTheme="majorEastAsia" w:hAnsi="Cambria Math" w:cstheme="majorBidi"/>
                  </w:rPr>
                  <m:t>φ</m:t>
                </m:r>
              </m:e>
              <m:sub>
                <m:r>
                  <w:rPr>
                    <w:rFonts w:ascii="Cambria Math" w:eastAsiaTheme="majorEastAsia" w:hAnsi="Cambria Math" w:cstheme="majorBidi"/>
                  </w:rPr>
                  <m:t>0</m:t>
                </m:r>
              </m:sub>
            </m:sSub>
          </m:e>
        </m:bar>
      </m:oMath>
      <w:r>
        <w:rPr>
          <w:rFonts w:eastAsiaTheme="majorEastAsia" w:cstheme="majorBidi"/>
        </w:rPr>
        <w:t xml:space="preserve"> and </w:t>
      </w:r>
      <w:r w:rsidRPr="00F323E8">
        <w:rPr>
          <w:i/>
          <w:iCs/>
          <w:lang w:val="en-IN"/>
        </w:rPr>
        <w:t>μ</w:t>
      </w:r>
      <w:r>
        <w:rPr>
          <w:lang w:val="en-IN"/>
        </w:rPr>
        <w:t xml:space="preserve"> for each unknown </w:t>
      </w:r>
      <w:r w:rsidR="00C46B04">
        <w:rPr>
          <w:rFonts w:eastAsiaTheme="majorEastAsia" w:cstheme="majorBidi"/>
          <w:i/>
          <w:iCs/>
          <w:lang w:val="en-IN"/>
        </w:rPr>
        <w:t>t</w:t>
      </w:r>
      <w:r>
        <w:rPr>
          <w:rFonts w:eastAsiaTheme="majorEastAsia" w:cstheme="majorBidi"/>
          <w:lang w:val="en-IN"/>
        </w:rPr>
        <w:t xml:space="preserve"> within the provided exposure age range for multiple erosion rate scenario</w:t>
      </w:r>
      <w:r w:rsidR="00B46E80">
        <w:rPr>
          <w:rFonts w:eastAsiaTheme="majorEastAsia" w:cstheme="majorBidi"/>
          <w:lang w:val="en-IN"/>
        </w:rPr>
        <w:t>s</w:t>
      </w:r>
      <w:r>
        <w:rPr>
          <w:rFonts w:eastAsiaTheme="majorEastAsia" w:cstheme="majorBidi"/>
          <w:lang w:val="en-IN"/>
        </w:rPr>
        <w:t xml:space="preserve"> as discussed in Section 3.2.3. We track </w:t>
      </w:r>
      <w:r>
        <w:rPr>
          <w:rFonts w:eastAsiaTheme="majorEastAsia" w:cstheme="majorBidi"/>
          <w:i/>
          <w:iCs/>
          <w:lang w:val="en-IN"/>
        </w:rPr>
        <w:t>x</w:t>
      </w:r>
      <w:r>
        <w:rPr>
          <w:rFonts w:eastAsiaTheme="majorEastAsia" w:cstheme="majorBidi"/>
          <w:i/>
          <w:iCs/>
          <w:vertAlign w:val="subscript"/>
          <w:lang w:val="en-IN"/>
        </w:rPr>
        <w:t>0.5</w:t>
      </w:r>
      <w:r>
        <w:rPr>
          <w:rFonts w:eastAsiaTheme="majorEastAsia" w:cstheme="majorBidi"/>
          <w:iCs/>
          <w:lang w:val="en-IN"/>
        </w:rPr>
        <w:t xml:space="preserve"> </w:t>
      </w:r>
      <w:r w:rsidR="00B46E80">
        <w:rPr>
          <w:rFonts w:eastAsiaTheme="majorEastAsia" w:cstheme="majorBidi"/>
          <w:iCs/>
          <w:lang w:val="en-IN"/>
        </w:rPr>
        <w:t>as we solve the equation and plot it</w:t>
      </w:r>
      <w:r>
        <w:rPr>
          <w:rFonts w:eastAsiaTheme="majorEastAsia" w:cstheme="majorBidi"/>
          <w:lang w:val="en-IN"/>
        </w:rPr>
        <w:t xml:space="preserve"> for different erosion scenarios.</w:t>
      </w:r>
    </w:p>
    <w:p w14:paraId="53A59845" w14:textId="77777777" w:rsidR="00AA313F" w:rsidRDefault="00AA313F" w:rsidP="00A84F4D">
      <w:pPr>
        <w:pStyle w:val="Heading3"/>
      </w:pPr>
      <w:r>
        <w:t>Inverse Modelling</w:t>
      </w:r>
    </w:p>
    <w:p w14:paraId="12CF75DF" w14:textId="74E07D7C" w:rsidR="00AA313F" w:rsidRPr="006F3E7E" w:rsidRDefault="00AA313F" w:rsidP="00AA313F">
      <w:r>
        <w:t xml:space="preserve">To calibrate the unknown parameters, the synthetic profile is compared to the experimental profile. For each </w:t>
      </w:r>
      <w:r w:rsidR="00C46B04">
        <w:rPr>
          <w:i/>
          <w:iCs/>
        </w:rPr>
        <w:t>t</w:t>
      </w:r>
      <w:r>
        <w:t xml:space="preserve"> </w:t>
      </w:r>
      <w:r>
        <w:rPr>
          <w:lang w:val="en-IN"/>
        </w:rPr>
        <w:t xml:space="preserve">(spanning the user-specified range in log-space), a synthetic NLS profile is generated. The model then computes a misfit between </w:t>
      </w:r>
      <w:r w:rsidR="00B46E80">
        <w:rPr>
          <w:lang w:val="en-IN"/>
        </w:rPr>
        <w:t xml:space="preserve">the </w:t>
      </w:r>
      <w:r w:rsidR="00C46B04">
        <w:rPr>
          <w:lang w:val="en-IN"/>
        </w:rPr>
        <w:t>synthetic (</w:t>
      </w:r>
      <m:oMath>
        <m:acc>
          <m:accPr>
            <m:chr m:val="̅"/>
            <m:ctrlPr>
              <w:rPr>
                <w:rFonts w:ascii="Cambria Math" w:hAnsi="Cambria Math"/>
                <w:i/>
                <w:iCs/>
              </w:rPr>
            </m:ctrlPr>
          </m:accPr>
          <m:e>
            <m:r>
              <w:rPr>
                <w:rFonts w:ascii="Cambria Math" w:hAnsi="Cambria Math"/>
              </w:rPr>
              <m:t>n</m:t>
            </m:r>
          </m:e>
        </m:acc>
      </m:oMath>
      <w:r w:rsidR="00C46B04">
        <w:rPr>
          <w:i/>
          <w:iCs/>
          <w:vertAlign w:val="subscript"/>
        </w:rPr>
        <w:t>sim</w:t>
      </w:r>
      <w:r w:rsidR="00C46B04">
        <w:rPr>
          <w:lang w:val="en-IN"/>
        </w:rPr>
        <w:t xml:space="preserve"> ) </w:t>
      </w:r>
      <w:r w:rsidR="00C46B04">
        <w:t>and</w:t>
      </w:r>
      <w:r w:rsidR="00C46B04">
        <w:rPr>
          <w:lang w:val="en-IN"/>
        </w:rPr>
        <w:t xml:space="preserve"> experimental </w:t>
      </w:r>
      <m:oMath>
        <m:r>
          <w:rPr>
            <w:rFonts w:ascii="Cambria Math" w:hAnsi="Cambria Math"/>
            <w:lang w:val="en-IN"/>
          </w:rPr>
          <m:t>(</m:t>
        </m:r>
        <m:acc>
          <m:accPr>
            <m:chr m:val="̅"/>
            <m:ctrlPr>
              <w:rPr>
                <w:rFonts w:ascii="Cambria Math" w:hAnsi="Cambria Math"/>
                <w:i/>
                <w:iCs/>
              </w:rPr>
            </m:ctrlPr>
          </m:accPr>
          <m:e>
            <m:r>
              <w:rPr>
                <w:rFonts w:ascii="Cambria Math" w:hAnsi="Cambria Math"/>
              </w:rPr>
              <m:t>n</m:t>
            </m:r>
          </m:e>
        </m:acc>
      </m:oMath>
      <w:r w:rsidR="00C46B04">
        <w:rPr>
          <w:i/>
          <w:iCs/>
          <w:vertAlign w:val="subscript"/>
        </w:rPr>
        <w:t>obs</w:t>
      </w:r>
      <w:r w:rsidR="00C46B04">
        <w:t xml:space="preserve">) </w:t>
      </w:r>
      <w:r>
        <w:rPr>
          <w:lang w:val="en-IN"/>
        </w:rPr>
        <w:t xml:space="preserve">LDP. Furthermore, every computed misfit is then converted into </w:t>
      </w:r>
      <w:r w:rsidR="00B46E80">
        <w:rPr>
          <w:lang w:val="en-IN"/>
        </w:rPr>
        <w:t xml:space="preserve">a </w:t>
      </w:r>
      <w:r>
        <w:rPr>
          <w:lang w:val="en-IN"/>
        </w:rPr>
        <w:t xml:space="preserve">likelihood score assuming </w:t>
      </w:r>
      <w:r w:rsidR="00B46E80">
        <w:rPr>
          <w:lang w:val="en-IN"/>
        </w:rPr>
        <w:t xml:space="preserve">a </w:t>
      </w:r>
      <w:r>
        <w:rPr>
          <w:lang w:val="en-IN"/>
        </w:rPr>
        <w:t xml:space="preserve">Gaussian error model as: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890E7F" w14:paraId="45D3141B" w14:textId="77777777" w:rsidTr="00A625CB">
        <w:tc>
          <w:tcPr>
            <w:tcW w:w="5395" w:type="dxa"/>
          </w:tcPr>
          <w:p w14:paraId="733D762D" w14:textId="570DFEBB" w:rsidR="00890E7F" w:rsidRDefault="00000000" w:rsidP="00A625CB">
            <w:pPr>
              <w:rPr>
                <w:lang w:val="en-IN"/>
              </w:rPr>
            </w:pPr>
            <m:oMathPara>
              <m:oMath>
                <m:sSup>
                  <m:sSupPr>
                    <m:ctrlPr>
                      <w:rPr>
                        <w:rFonts w:ascii="Cambria Math" w:eastAsiaTheme="majorEastAsia" w:hAnsi="Cambria Math"/>
                      </w:rPr>
                    </m:ctrlPr>
                  </m:sSupPr>
                  <m:e>
                    <m:r>
                      <w:rPr>
                        <w:rFonts w:ascii="Cambria Math" w:eastAsiaTheme="majorEastAsia" w:hAnsi="Cambria Math"/>
                      </w:rPr>
                      <m:t>χ</m:t>
                    </m:r>
                  </m:e>
                  <m:sup>
                    <m:r>
                      <m:rPr>
                        <m:sty m:val="p"/>
                      </m:rPr>
                      <w:rPr>
                        <w:rFonts w:ascii="Cambria Math" w:eastAsiaTheme="majorEastAsia" w:hAnsi="Cambria Math"/>
                        <w:lang w:val="en-IN"/>
                      </w:rPr>
                      <m:t>2</m:t>
                    </m:r>
                  </m:sup>
                </m:sSup>
                <m:r>
                  <m:rPr>
                    <m:sty m:val="p"/>
                  </m:rPr>
                  <w:rPr>
                    <w:rFonts w:ascii="Cambria Math" w:eastAsiaTheme="majorEastAsia" w:hAnsi="Cambria Math"/>
                    <w:lang w:val="en-IN"/>
                  </w:rPr>
                  <m:t>=</m:t>
                </m:r>
                <m:nary>
                  <m:naryPr>
                    <m:chr m:val="∑"/>
                    <m:ctrlPr>
                      <w:rPr>
                        <w:rFonts w:ascii="Cambria Math" w:eastAsiaTheme="majorEastAsia" w:hAnsi="Cambria Math"/>
                      </w:rPr>
                    </m:ctrlPr>
                  </m:naryPr>
                  <m:sub>
                    <m:r>
                      <w:rPr>
                        <w:rFonts w:ascii="Cambria Math" w:eastAsiaTheme="majorEastAsia" w:hAnsi="Cambria Math"/>
                      </w:rPr>
                      <m:t>i</m:t>
                    </m:r>
                    <m:r>
                      <m:rPr>
                        <m:sty m:val="p"/>
                      </m:rPr>
                      <w:rPr>
                        <w:rFonts w:ascii="Cambria Math" w:eastAsiaTheme="majorEastAsia" w:hAnsi="Cambria Math"/>
                        <w:lang w:val="en-IN"/>
                      </w:rPr>
                      <m:t>=1</m:t>
                    </m:r>
                  </m:sub>
                  <m:sup>
                    <m:r>
                      <w:rPr>
                        <w:rFonts w:ascii="Cambria Math" w:eastAsiaTheme="majorEastAsia" w:hAnsi="Cambria Math"/>
                      </w:rPr>
                      <m:t>l</m:t>
                    </m:r>
                  </m:sup>
                  <m:e>
                    <m:f>
                      <m:fPr>
                        <m:ctrlPr>
                          <w:rPr>
                            <w:rFonts w:ascii="Cambria Math" w:eastAsiaTheme="majorEastAsia" w:hAnsi="Cambria Math"/>
                          </w:rPr>
                        </m:ctrlPr>
                      </m:fPr>
                      <m:num>
                        <m:sSup>
                          <m:sSupPr>
                            <m:ctrlPr>
                              <w:rPr>
                                <w:rFonts w:ascii="Cambria Math" w:eastAsiaTheme="majorEastAsia" w:hAnsi="Cambria Math"/>
                              </w:rPr>
                            </m:ctrlPr>
                          </m:sSupPr>
                          <m:e>
                            <m:d>
                              <m:dPr>
                                <m:ctrlPr>
                                  <w:rPr>
                                    <w:rFonts w:ascii="Cambria Math" w:eastAsiaTheme="majorEastAsia" w:hAnsi="Cambria Math"/>
                                  </w:rPr>
                                </m:ctrlPr>
                              </m:dPr>
                              <m:e>
                                <m:sSubSup>
                                  <m:sSubSupPr>
                                    <m:ctrlPr>
                                      <w:rPr>
                                        <w:rFonts w:ascii="Cambria Math" w:eastAsiaTheme="majorEastAsia" w:hAnsi="Cambria Math"/>
                                      </w:rPr>
                                    </m:ctrlPr>
                                  </m:sSubSupPr>
                                  <m:e>
                                    <m:d>
                                      <m:dPr>
                                        <m:ctrlPr>
                                          <w:rPr>
                                            <w:rFonts w:ascii="Cambria Math" w:eastAsiaTheme="majorEastAsia" w:hAnsi="Cambria Math"/>
                                          </w:rPr>
                                        </m:ctrlPr>
                                      </m:dPr>
                                      <m:e>
                                        <m:acc>
                                          <m:accPr>
                                            <m:chr m:val="̅"/>
                                            <m:ctrlPr>
                                              <w:rPr>
                                                <w:rFonts w:ascii="Cambria Math" w:eastAsiaTheme="majorEastAsia" w:hAnsi="Cambria Math"/>
                                              </w:rPr>
                                            </m:ctrlPr>
                                          </m:accPr>
                                          <m:e>
                                            <m:r>
                                              <w:rPr>
                                                <w:rFonts w:ascii="Cambria Math" w:eastAsiaTheme="majorEastAsia" w:hAnsi="Cambria Math"/>
                                              </w:rPr>
                                              <m:t>n</m:t>
                                            </m:r>
                                          </m:e>
                                        </m:acc>
                                      </m:e>
                                    </m:d>
                                  </m:e>
                                  <m:sub>
                                    <m:r>
                                      <w:rPr>
                                        <w:rFonts w:ascii="Cambria Math" w:eastAsiaTheme="majorEastAsia" w:hAnsi="Cambria Math"/>
                                        <w:lang w:val="en-IN"/>
                                      </w:rPr>
                                      <m:t>obs</m:t>
                                    </m:r>
                                  </m:sub>
                                  <m:sup>
                                    <m:d>
                                      <m:dPr>
                                        <m:ctrlPr>
                                          <w:rPr>
                                            <w:rFonts w:ascii="Cambria Math" w:eastAsiaTheme="majorEastAsia" w:hAnsi="Cambria Math"/>
                                          </w:rPr>
                                        </m:ctrlPr>
                                      </m:dPr>
                                      <m:e>
                                        <m:r>
                                          <w:rPr>
                                            <w:rFonts w:ascii="Cambria Math" w:eastAsiaTheme="majorEastAsia" w:hAnsi="Cambria Math"/>
                                          </w:rPr>
                                          <m:t>i</m:t>
                                        </m:r>
                                      </m:e>
                                    </m:d>
                                  </m:sup>
                                </m:sSubSup>
                                <m:r>
                                  <m:rPr>
                                    <m:sty m:val="p"/>
                                  </m:rPr>
                                  <w:rPr>
                                    <w:rFonts w:ascii="Cambria Math" w:eastAsiaTheme="majorEastAsia" w:hAnsi="Cambria Math"/>
                                    <w:lang w:val="en-IN"/>
                                  </w:rPr>
                                  <m:t>-</m:t>
                                </m:r>
                                <m:sSubSup>
                                  <m:sSubSupPr>
                                    <m:ctrlPr>
                                      <w:rPr>
                                        <w:rFonts w:ascii="Cambria Math" w:eastAsiaTheme="majorEastAsia" w:hAnsi="Cambria Math"/>
                                      </w:rPr>
                                    </m:ctrlPr>
                                  </m:sSubSupPr>
                                  <m:e>
                                    <m:d>
                                      <m:dPr>
                                        <m:ctrlPr>
                                          <w:rPr>
                                            <w:rFonts w:ascii="Cambria Math" w:eastAsiaTheme="majorEastAsia" w:hAnsi="Cambria Math"/>
                                          </w:rPr>
                                        </m:ctrlPr>
                                      </m:dPr>
                                      <m:e>
                                        <m:acc>
                                          <m:accPr>
                                            <m:chr m:val="̅"/>
                                            <m:ctrlPr>
                                              <w:rPr>
                                                <w:rFonts w:ascii="Cambria Math" w:eastAsiaTheme="majorEastAsia" w:hAnsi="Cambria Math"/>
                                              </w:rPr>
                                            </m:ctrlPr>
                                          </m:accPr>
                                          <m:e>
                                            <m:r>
                                              <w:rPr>
                                                <w:rFonts w:ascii="Cambria Math" w:eastAsiaTheme="majorEastAsia" w:hAnsi="Cambria Math"/>
                                              </w:rPr>
                                              <m:t>n</m:t>
                                            </m:r>
                                          </m:e>
                                        </m:acc>
                                      </m:e>
                                    </m:d>
                                  </m:e>
                                  <m:sub>
                                    <m:r>
                                      <m:rPr>
                                        <m:nor/>
                                      </m:rPr>
                                      <w:rPr>
                                        <w:rFonts w:ascii="Cambria Math" w:eastAsiaTheme="majorEastAsia"/>
                                        <w:lang w:val="en-IN"/>
                                      </w:rPr>
                                      <m:t>sim</m:t>
                                    </m:r>
                                  </m:sub>
                                  <m:sup>
                                    <m:d>
                                      <m:dPr>
                                        <m:ctrlPr>
                                          <w:rPr>
                                            <w:rFonts w:ascii="Cambria Math" w:eastAsiaTheme="majorEastAsia" w:hAnsi="Cambria Math"/>
                                          </w:rPr>
                                        </m:ctrlPr>
                                      </m:dPr>
                                      <m:e>
                                        <m:r>
                                          <w:rPr>
                                            <w:rFonts w:ascii="Cambria Math" w:eastAsiaTheme="majorEastAsia" w:hAnsi="Cambria Math"/>
                                          </w:rPr>
                                          <m:t>i</m:t>
                                        </m:r>
                                      </m:e>
                                    </m:d>
                                  </m:sup>
                                </m:sSubSup>
                              </m:e>
                            </m:d>
                          </m:e>
                          <m:sup>
                            <m:r>
                              <m:rPr>
                                <m:sty m:val="p"/>
                              </m:rPr>
                              <w:rPr>
                                <w:rFonts w:ascii="Cambria Math" w:eastAsiaTheme="majorEastAsia" w:hAnsi="Cambria Math"/>
                                <w:lang w:val="en-IN"/>
                              </w:rPr>
                              <m:t>2</m:t>
                            </m:r>
                          </m:sup>
                        </m:sSup>
                      </m:num>
                      <m:den>
                        <m:sSup>
                          <m:sSupPr>
                            <m:ctrlPr>
                              <w:rPr>
                                <w:rFonts w:ascii="Cambria Math" w:eastAsiaTheme="majorEastAsia" w:hAnsi="Cambria Math"/>
                              </w:rPr>
                            </m:ctrlPr>
                          </m:sSupPr>
                          <m:e>
                            <m:r>
                              <w:rPr>
                                <w:rFonts w:ascii="Cambria Math" w:eastAsiaTheme="majorEastAsia" w:hAnsi="Cambria Math"/>
                              </w:rPr>
                              <m:t>σ</m:t>
                            </m:r>
                          </m:e>
                          <m:sup>
                            <m:r>
                              <m:rPr>
                                <m:sty m:val="p"/>
                              </m:rPr>
                              <w:rPr>
                                <w:rFonts w:ascii="Cambria Math" w:eastAsiaTheme="majorEastAsia" w:hAnsi="Cambria Math"/>
                                <w:lang w:val="en-IN"/>
                              </w:rPr>
                              <m:t>2</m:t>
                            </m:r>
                          </m:sup>
                        </m:sSup>
                      </m:den>
                    </m:f>
                  </m:e>
                </m:nary>
              </m:oMath>
            </m:oMathPara>
          </w:p>
        </w:tc>
        <w:tc>
          <w:tcPr>
            <w:tcW w:w="5395" w:type="dxa"/>
          </w:tcPr>
          <w:p w14:paraId="17EBA2D9" w14:textId="01887E91" w:rsidR="00890E7F" w:rsidRDefault="00890E7F" w:rsidP="00A625CB">
            <w:pPr>
              <w:rPr>
                <w:lang w:val="en-IN"/>
              </w:rPr>
            </w:pPr>
            <w:r>
              <w:rPr>
                <w:lang w:val="en-IN"/>
              </w:rPr>
              <w:t>(7)</w:t>
            </w:r>
          </w:p>
        </w:tc>
      </w:tr>
      <w:tr w:rsidR="00890E7F" w14:paraId="4240F9CA" w14:textId="77777777" w:rsidTr="00A625CB">
        <w:tc>
          <w:tcPr>
            <w:tcW w:w="5395" w:type="dxa"/>
          </w:tcPr>
          <w:p w14:paraId="0B240327" w14:textId="186A6E22" w:rsidR="00890E7F" w:rsidRDefault="00890E7F" w:rsidP="00A625CB">
            <w:pPr>
              <w:rPr>
                <w:lang w:val="en-IN"/>
              </w:rPr>
            </w:pPr>
            <m:oMathPara>
              <m:oMath>
                <m:r>
                  <w:rPr>
                    <w:rFonts w:ascii="Cambria Math" w:hAnsi="Cambria Math"/>
                  </w:rPr>
                  <m:t>likelihood = P</m:t>
                </m:r>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p>
                      <m:sSupPr>
                        <m:ctrlPr>
                          <w:rPr>
                            <w:rFonts w:ascii="Cambria Math" w:hAnsi="Cambria Math"/>
                          </w:rPr>
                        </m:ctrlPr>
                      </m:sSupPr>
                      <m:e>
                        <m:r>
                          <w:rPr>
                            <w:rFonts w:ascii="Cambria Math" w:hAnsi="Cambria Math"/>
                          </w:rPr>
                          <m:t>χ</m:t>
                        </m:r>
                      </m:e>
                      <m:sup>
                        <m:r>
                          <m:rPr>
                            <m:sty m:val="p"/>
                          </m:rPr>
                          <w:rPr>
                            <w:rFonts w:ascii="Cambria Math" w:hAnsi="Cambria Math"/>
                          </w:rPr>
                          <m:t>2</m:t>
                        </m:r>
                      </m:sup>
                    </m:sSup>
                    <m:r>
                      <m:rPr>
                        <m:lit/>
                        <m:sty m:val="p"/>
                      </m:rPr>
                      <w:rPr>
                        <w:rFonts w:ascii="Cambria Math" w:hAnsi="Cambria Math"/>
                      </w:rPr>
                      <m:t>/</m:t>
                    </m:r>
                    <m:r>
                      <m:rPr>
                        <m:sty m:val="p"/>
                      </m:rPr>
                      <w:rPr>
                        <w:rFonts w:ascii="Cambria Math" w:hAnsi="Cambria Math"/>
                      </w:rPr>
                      <m:t>2</m:t>
                    </m:r>
                  </m:sup>
                </m:sSup>
              </m:oMath>
            </m:oMathPara>
          </w:p>
        </w:tc>
        <w:tc>
          <w:tcPr>
            <w:tcW w:w="5395" w:type="dxa"/>
          </w:tcPr>
          <w:p w14:paraId="7F9996F4" w14:textId="318ACEFA" w:rsidR="00890E7F" w:rsidRDefault="00890E7F" w:rsidP="00A625CB">
            <w:pPr>
              <w:rPr>
                <w:lang w:val="en-IN"/>
              </w:rPr>
            </w:pPr>
            <w:r>
              <w:rPr>
                <w:lang w:val="en-IN"/>
              </w:rPr>
              <w:t>(8)</w:t>
            </w:r>
          </w:p>
        </w:tc>
      </w:tr>
      <w:tr w:rsidR="00890E7F" w14:paraId="69FB5DD8" w14:textId="77777777" w:rsidTr="00A625CB">
        <w:tc>
          <w:tcPr>
            <w:tcW w:w="5395" w:type="dxa"/>
          </w:tcPr>
          <w:p w14:paraId="4156C521" w14:textId="71C38588" w:rsidR="00890E7F" w:rsidRDefault="00000000" w:rsidP="00A625CB">
            <w:pPr>
              <w:rPr>
                <w:lang w:val="en-IN"/>
              </w:rPr>
            </w:pPr>
            <m:oMathPara>
              <m:oMath>
                <m:sSubSup>
                  <m:sSubSupPr>
                    <m:ctrlPr>
                      <w:rPr>
                        <w:rFonts w:ascii="Cambria Math" w:eastAsia="Times New Roman" w:hAnsi="Cambria Math" w:cs="Times New Roman"/>
                        <w:i/>
                        <w:color w:val="auto"/>
                        <w:szCs w:val="24"/>
                        <w:lang w:val="en-GB" w:eastAsia="de-DE"/>
                      </w:rPr>
                    </m:ctrlPr>
                  </m:sSubSupPr>
                  <m:e>
                    <m:r>
                      <w:rPr>
                        <w:rFonts w:ascii="Cambria Math" w:hAnsi="Cambria Math"/>
                      </w:rPr>
                      <m:t>P</m:t>
                    </m:r>
                  </m:e>
                  <m:sub>
                    <m:r>
                      <w:rPr>
                        <w:rFonts w:ascii="Cambria Math" w:hAnsi="Cambria Math"/>
                      </w:rPr>
                      <m:t>norm</m:t>
                    </m:r>
                  </m:sub>
                  <m:sup>
                    <m:r>
                      <w:rPr>
                        <w:rFonts w:ascii="Cambria Math" w:hAnsi="Cambria Math"/>
                      </w:rPr>
                      <m:t>k</m:t>
                    </m:r>
                  </m:sup>
                </m:sSubSup>
                <m:r>
                  <w:rPr>
                    <w:rFonts w:ascii="Cambria Math" w:hAnsi="Cambria Math"/>
                  </w:rPr>
                  <m:t xml:space="preserve"> = </m:t>
                </m:r>
                <m:f>
                  <m:fPr>
                    <m:ctrlPr>
                      <w:rPr>
                        <w:rFonts w:ascii="Cambria Math" w:eastAsia="Times New Roman" w:hAnsi="Cambria Math" w:cs="Times New Roman"/>
                        <w:i/>
                        <w:color w:val="auto"/>
                        <w:szCs w:val="24"/>
                        <w:lang w:val="en-GB" w:eastAsia="de-DE"/>
                      </w:rPr>
                    </m:ctrlPr>
                  </m:fPr>
                  <m:num>
                    <m:sSub>
                      <m:sSubPr>
                        <m:ctrlPr>
                          <w:rPr>
                            <w:rFonts w:ascii="Cambria Math" w:eastAsia="Times New Roman" w:hAnsi="Cambria Math" w:cs="Times New Roman"/>
                            <w:i/>
                            <w:color w:val="auto"/>
                            <w:szCs w:val="24"/>
                            <w:lang w:val="en-GB" w:eastAsia="de-DE"/>
                          </w:rPr>
                        </m:ctrlPr>
                      </m:sSubPr>
                      <m:e>
                        <m:r>
                          <w:rPr>
                            <w:rFonts w:ascii="Cambria Math" w:hAnsi="Cambria Math"/>
                          </w:rPr>
                          <m:t>P</m:t>
                        </m:r>
                      </m:e>
                      <m:sub>
                        <m:r>
                          <w:rPr>
                            <w:rFonts w:ascii="Cambria Math" w:hAnsi="Cambria Math"/>
                          </w:rPr>
                          <m:t>k</m:t>
                        </m:r>
                      </m:sub>
                    </m:sSub>
                  </m:num>
                  <m:den>
                    <m:sSub>
                      <m:sSubPr>
                        <m:ctrlPr>
                          <w:rPr>
                            <w:rFonts w:ascii="Cambria Math" w:eastAsia="Times New Roman" w:hAnsi="Cambria Math" w:cs="Times New Roman"/>
                            <w:i/>
                            <w:color w:val="auto"/>
                            <w:szCs w:val="24"/>
                            <w:lang w:val="en-GB" w:eastAsia="de-DE"/>
                          </w:rPr>
                        </m:ctrlPr>
                      </m:sSubPr>
                      <m:e>
                        <m:r>
                          <w:rPr>
                            <w:rFonts w:ascii="Cambria Math" w:hAnsi="Cambria Math"/>
                          </w:rPr>
                          <m:t>P</m:t>
                        </m:r>
                      </m:e>
                      <m:sub>
                        <m:r>
                          <w:rPr>
                            <w:rFonts w:ascii="Cambria Math" w:hAnsi="Cambria Math"/>
                          </w:rPr>
                          <m:t>max</m:t>
                        </m:r>
                      </m:sub>
                    </m:sSub>
                  </m:den>
                </m:f>
              </m:oMath>
            </m:oMathPara>
          </w:p>
        </w:tc>
        <w:tc>
          <w:tcPr>
            <w:tcW w:w="5395" w:type="dxa"/>
          </w:tcPr>
          <w:p w14:paraId="38D54D18" w14:textId="109C8AEB" w:rsidR="00890E7F" w:rsidRDefault="00890E7F" w:rsidP="00A625CB">
            <w:pPr>
              <w:rPr>
                <w:lang w:val="en-IN"/>
              </w:rPr>
            </w:pPr>
            <w:r>
              <w:rPr>
                <w:lang w:val="en-IN"/>
              </w:rPr>
              <w:t>(9)</w:t>
            </w:r>
          </w:p>
        </w:tc>
      </w:tr>
    </w:tbl>
    <w:p w14:paraId="5F5B0189" w14:textId="77777777" w:rsidR="00890E7F" w:rsidRPr="00EE5F03" w:rsidRDefault="00890E7F" w:rsidP="00834C21">
      <w:pPr>
        <w:jc w:val="center"/>
        <w:rPr>
          <w:i/>
        </w:rPr>
      </w:pPr>
    </w:p>
    <w:p w14:paraId="0DCEC21E" w14:textId="65339D4B" w:rsidR="00AA313F" w:rsidRDefault="00834C21" w:rsidP="00AA313F">
      <w:pPr>
        <w:rPr>
          <w:lang w:val="en-IN"/>
        </w:rPr>
      </w:pPr>
      <w:r>
        <w:lastRenderedPageBreak/>
        <w:t xml:space="preserve">where </w:t>
      </w:r>
      <w:r w:rsidRPr="00834C21">
        <w:rPr>
          <w:i/>
          <w:iCs/>
        </w:rPr>
        <w:t>l</w:t>
      </w:r>
      <w:r>
        <w:t xml:space="preserve"> is the number of experimental data points, </w:t>
      </w:r>
      <w:r w:rsidR="00C46B04">
        <w:rPr>
          <w:i/>
          <w:iCs/>
        </w:rPr>
        <w:t>δ</w:t>
      </w:r>
      <w:r>
        <w:t xml:space="preserve"> is the standard deviation of the residual of SCF and experimental LDP, </w:t>
      </w:r>
      <m:oMath>
        <m:sSub>
          <m:sSubPr>
            <m:ctrlPr>
              <w:rPr>
                <w:rFonts w:ascii="Cambria Math" w:eastAsia="Times New Roman" w:hAnsi="Cambria Math" w:cs="Times New Roman"/>
                <w:i/>
                <w:color w:val="auto"/>
                <w:szCs w:val="24"/>
                <w:lang w:val="en-GB" w:eastAsia="de-DE"/>
              </w:rPr>
            </m:ctrlPr>
          </m:sSubPr>
          <m:e>
            <m:r>
              <w:rPr>
                <w:rFonts w:ascii="Cambria Math" w:hAnsi="Cambria Math"/>
              </w:rPr>
              <m:t>P</m:t>
            </m:r>
          </m:e>
          <m:sub>
            <m:r>
              <w:rPr>
                <w:rFonts w:ascii="Cambria Math" w:hAnsi="Cambria Math"/>
              </w:rPr>
              <m:t>k</m:t>
            </m:r>
          </m:sub>
        </m:sSub>
      </m:oMath>
      <w:r>
        <w:t xml:space="preserve"> is </w:t>
      </w:r>
      <w:r w:rsidR="00B46E80">
        <w:t xml:space="preserve">the </w:t>
      </w:r>
      <w:r>
        <w:t xml:space="preserve">likelihood value associated with </w:t>
      </w:r>
      <w:r w:rsidR="00B46E80">
        <w:t xml:space="preserve">the </w:t>
      </w:r>
      <w:r>
        <w:t xml:space="preserve">synthetic LDP numbered as </w:t>
      </w:r>
      <w:r w:rsidRPr="00242B40">
        <w:rPr>
          <w:i/>
          <w:iCs/>
        </w:rPr>
        <w:t>k</w:t>
      </w:r>
      <w:r>
        <w:t xml:space="preserve">, </w:t>
      </w:r>
      <m:oMath>
        <m:sSub>
          <m:sSubPr>
            <m:ctrlPr>
              <w:rPr>
                <w:rFonts w:ascii="Cambria Math" w:eastAsia="Times New Roman" w:hAnsi="Cambria Math" w:cs="Times New Roman"/>
                <w:i/>
                <w:color w:val="auto"/>
                <w:szCs w:val="24"/>
                <w:lang w:val="en-GB" w:eastAsia="de-DE"/>
              </w:rPr>
            </m:ctrlPr>
          </m:sSubPr>
          <m:e>
            <m:r>
              <w:rPr>
                <w:rFonts w:ascii="Cambria Math" w:hAnsi="Cambria Math"/>
              </w:rPr>
              <m:t>P</m:t>
            </m:r>
          </m:e>
          <m:sub>
            <m:r>
              <w:rPr>
                <w:rFonts w:ascii="Cambria Math" w:hAnsi="Cambria Math"/>
              </w:rPr>
              <m:t>max</m:t>
            </m:r>
          </m:sub>
        </m:sSub>
      </m:oMath>
      <w:r>
        <w:t xml:space="preserve"> is maximum-likelihood</w:t>
      </w:r>
      <w:r w:rsidR="00B46E80">
        <w:t>,</w:t>
      </w:r>
      <w:r>
        <w:t xml:space="preserve"> which </w:t>
      </w:r>
      <w:r w:rsidR="00B46E80">
        <w:t>is associated</w:t>
      </w:r>
      <w:r>
        <w:t xml:space="preserve"> with </w:t>
      </w:r>
      <w:r w:rsidR="00B46E80">
        <w:t xml:space="preserve">the </w:t>
      </w:r>
      <w:r>
        <w:t xml:space="preserve">best-fitting synthetic LDP and </w:t>
      </w:r>
      <m:oMath>
        <m:sSubSup>
          <m:sSubSupPr>
            <m:ctrlPr>
              <w:rPr>
                <w:rFonts w:ascii="Cambria Math" w:eastAsia="Times New Roman" w:hAnsi="Cambria Math" w:cs="Times New Roman"/>
                <w:i/>
                <w:color w:val="auto"/>
                <w:szCs w:val="24"/>
                <w:lang w:val="en-GB" w:eastAsia="de-DE"/>
              </w:rPr>
            </m:ctrlPr>
          </m:sSubSupPr>
          <m:e>
            <m:r>
              <w:rPr>
                <w:rFonts w:ascii="Cambria Math" w:hAnsi="Cambria Math"/>
              </w:rPr>
              <m:t>P</m:t>
            </m:r>
          </m:e>
          <m:sub>
            <m:r>
              <w:rPr>
                <w:rFonts w:ascii="Cambria Math" w:hAnsi="Cambria Math"/>
              </w:rPr>
              <m:t>norm</m:t>
            </m:r>
          </m:sub>
          <m:sup>
            <m:r>
              <w:rPr>
                <w:rFonts w:ascii="Cambria Math" w:hAnsi="Cambria Math"/>
              </w:rPr>
              <m:t>k</m:t>
            </m:r>
          </m:sup>
        </m:sSubSup>
      </m:oMath>
      <w:r>
        <w:t xml:space="preserve"> is </w:t>
      </w:r>
      <w:r w:rsidR="00B46E80">
        <w:t xml:space="preserve">the </w:t>
      </w:r>
      <w:r>
        <w:t xml:space="preserve">normalised likelihood value associated with </w:t>
      </w:r>
      <w:r w:rsidR="00B46E80">
        <w:t xml:space="preserve">the </w:t>
      </w:r>
      <w:r>
        <w:t xml:space="preserve">synthetic LDP numbered as </w:t>
      </w:r>
      <w:r>
        <w:rPr>
          <w:i/>
          <w:iCs/>
        </w:rPr>
        <w:t>k</w:t>
      </w:r>
      <w:r>
        <w:rPr>
          <w:rFonts w:cs="Times New Roman"/>
          <w:iCs/>
        </w:rPr>
        <w:t xml:space="preserve">. </w:t>
      </w:r>
      <w:r>
        <w:t xml:space="preserve">The best paths  were selected by applying the Monte-Carlo acceptance criterion as </w:t>
      </w:r>
      <m:oMath>
        <m:sSubSup>
          <m:sSubSupPr>
            <m:ctrlPr>
              <w:rPr>
                <w:rFonts w:ascii="Cambria Math" w:eastAsia="Times New Roman" w:hAnsi="Cambria Math" w:cs="Times New Roman"/>
                <w:i/>
                <w:color w:val="auto"/>
                <w:szCs w:val="24"/>
                <w:lang w:val="en-GB" w:eastAsia="de-DE"/>
              </w:rPr>
            </m:ctrlPr>
          </m:sSubSupPr>
          <m:e>
            <m:r>
              <w:rPr>
                <w:rFonts w:ascii="Cambria Math" w:hAnsi="Cambria Math"/>
              </w:rPr>
              <m:t>P</m:t>
            </m:r>
          </m:e>
          <m:sub>
            <m:r>
              <w:rPr>
                <w:rFonts w:ascii="Cambria Math" w:hAnsi="Cambria Math"/>
              </w:rPr>
              <m:t>norm</m:t>
            </m:r>
          </m:sub>
          <m:sup>
            <m:r>
              <w:rPr>
                <w:rFonts w:ascii="Cambria Math" w:hAnsi="Cambria Math"/>
              </w:rPr>
              <m:t>k</m:t>
            </m:r>
          </m:sup>
        </m:sSubSup>
      </m:oMath>
      <w:r w:rsidRPr="00242B40">
        <w:rPr>
          <w:i/>
          <w:iCs/>
        </w:rPr>
        <w:t xml:space="preserve"> &gt; </w:t>
      </w:r>
      <w:r>
        <w:rPr>
          <w:i/>
          <w:iCs/>
        </w:rPr>
        <w:t>rand(m,1)</w:t>
      </w:r>
      <w:r>
        <w:t>.</w:t>
      </w:r>
      <w:r>
        <w:rPr>
          <w:lang w:val="en-IN"/>
        </w:rPr>
        <w:t xml:space="preserve"> </w:t>
      </w:r>
      <w:r w:rsidR="00AA313F">
        <w:rPr>
          <w:rFonts w:cs="Times New Roman"/>
          <w:iCs/>
        </w:rPr>
        <w:t>Finally, the CoRSEER-II establishes the values of best-fit, median, ±</w:t>
      </w:r>
      <w:r w:rsidR="00B46E80">
        <w:rPr>
          <w:rFonts w:cs="Times New Roman"/>
          <w:iCs/>
        </w:rPr>
        <w:t>1</w:t>
      </w:r>
      <w:r w:rsidR="00C46B04">
        <w:rPr>
          <w:rFonts w:cs="Times New Roman"/>
          <w:iCs/>
        </w:rPr>
        <w:t>δ</w:t>
      </w:r>
      <w:r w:rsidR="00B46E80">
        <w:rPr>
          <w:rFonts w:cs="Times New Roman"/>
          <w:iCs/>
        </w:rPr>
        <w:t>, and ±</w:t>
      </w:r>
      <w:r w:rsidR="00AA313F">
        <w:rPr>
          <w:rFonts w:cs="Times New Roman"/>
          <w:iCs/>
        </w:rPr>
        <w:t>2</w:t>
      </w:r>
      <w:r w:rsidR="00C46B04">
        <w:rPr>
          <w:rFonts w:cs="Times New Roman"/>
          <w:iCs/>
        </w:rPr>
        <w:t>δ</w:t>
      </w:r>
      <w:r w:rsidR="00AA313F">
        <w:rPr>
          <w:rFonts w:cs="Times New Roman"/>
          <w:iCs/>
        </w:rPr>
        <w:t xml:space="preserve"> for </w:t>
      </w:r>
      <w:r w:rsidR="00C46B04">
        <w:rPr>
          <w:rFonts w:cs="Times New Roman"/>
          <w:i/>
        </w:rPr>
        <w:t>t</w:t>
      </w:r>
      <w:r w:rsidR="00AA313F">
        <w:rPr>
          <w:lang w:val="en-IN"/>
        </w:rPr>
        <w:t xml:space="preserve"> using confidence intervals. </w:t>
      </w:r>
    </w:p>
    <w:bookmarkEnd w:id="2"/>
    <w:p w14:paraId="7D92FE33" w14:textId="77777777" w:rsidR="00B31DFE" w:rsidRDefault="00B31DFE" w:rsidP="00A84F4D">
      <w:pPr>
        <w:pStyle w:val="Heading2"/>
      </w:pPr>
      <w:r>
        <w:t>Output</w:t>
      </w:r>
    </w:p>
    <w:p w14:paraId="3C5847AB" w14:textId="08CA3157" w:rsidR="006119A4" w:rsidRDefault="00B31DFE" w:rsidP="00AA313F">
      <w:r w:rsidRPr="00683920">
        <w:t>CoRSEER</w:t>
      </w:r>
      <w:r w:rsidR="006119A4">
        <w:t>-I</w:t>
      </w:r>
      <w:r w:rsidRPr="00683920">
        <w:t xml:space="preserve">I generates </w:t>
      </w:r>
      <w:r w:rsidR="006119A4">
        <w:t>three</w:t>
      </w:r>
      <w:r w:rsidRPr="00683920">
        <w:t xml:space="preserve"> primary types of output:</w:t>
      </w:r>
      <w:r w:rsidR="006119A4">
        <w:t xml:space="preserve"> important variable result</w:t>
      </w:r>
      <w:r w:rsidR="00B46E80">
        <w:t>s</w:t>
      </w:r>
      <w:r w:rsidR="006119A4">
        <w:t xml:space="preserve">, output </w:t>
      </w:r>
      <w:r w:rsidR="00B46E80">
        <w:t>MATLAB</w:t>
      </w:r>
      <w:r w:rsidR="006119A4">
        <w:t xml:space="preserve"> </w:t>
      </w:r>
      <w:r w:rsidRPr="00683920">
        <w:t xml:space="preserve">data files and diagnostic plots. </w:t>
      </w:r>
    </w:p>
    <w:p w14:paraId="60FD547D" w14:textId="4FD37FD1" w:rsidR="006119A4" w:rsidRDefault="006119A4" w:rsidP="006119A4">
      <w:r>
        <w:t>Output 1:</w:t>
      </w:r>
      <w:r w:rsidRPr="006119A4">
        <w:t xml:space="preserve"> </w:t>
      </w:r>
      <w:r>
        <w:t xml:space="preserve"> A</w:t>
      </w:r>
      <w:r w:rsidRPr="005517DE">
        <w:t xml:space="preserve"> dedicated Excel file (</w:t>
      </w:r>
      <w:r w:rsidRPr="00683920">
        <w:t>var_age_[SampleName].xlsx</w:t>
      </w:r>
      <w:r w:rsidRPr="005517DE">
        <w:t>) is saved, containing all key results from sigmoidal fitting and</w:t>
      </w:r>
      <w:r w:rsidR="00C7559B">
        <w:t xml:space="preserve"> apparent exposure age, maximum dateable age and many other </w:t>
      </w:r>
      <w:r w:rsidR="00B46E80">
        <w:t xml:space="preserve">variables, </w:t>
      </w:r>
      <w:r w:rsidR="00C7559B">
        <w:t>and</w:t>
      </w:r>
      <w:r w:rsidRPr="005517DE">
        <w:t xml:space="preserve"> serves as the primary record of the outcome. </w:t>
      </w:r>
    </w:p>
    <w:p w14:paraId="1C42214E" w14:textId="7FDB4B04" w:rsidR="00C7559B" w:rsidRDefault="00C7559B" w:rsidP="00AA313F">
      <w:r>
        <w:t xml:space="preserve">Output 2: </w:t>
      </w:r>
      <w:r w:rsidR="006119A4">
        <w:t xml:space="preserve"> </w:t>
      </w:r>
      <w:r w:rsidR="00B31DFE" w:rsidRPr="00683920">
        <w:t>The data outputs include a .mat file containing all key mode</w:t>
      </w:r>
      <w:r w:rsidR="00B46E80">
        <w:t>l</w:t>
      </w:r>
      <w:r w:rsidR="00B31DFE" w:rsidRPr="00683920">
        <w:t>ling variables</w:t>
      </w:r>
      <w:r>
        <w:t xml:space="preserve"> </w:t>
      </w:r>
    </w:p>
    <w:p w14:paraId="101D583F" w14:textId="666A8C07" w:rsidR="00B31DFE" w:rsidRPr="00AA313F" w:rsidRDefault="00C7559B" w:rsidP="00AA313F">
      <w:r>
        <w:t>Output 3: The three</w:t>
      </w:r>
      <w:r w:rsidR="00B31DFE" w:rsidRPr="00683920">
        <w:t xml:space="preserve"> diagnostic plots that visually capture different aspects of the mode</w:t>
      </w:r>
      <w:r w:rsidR="00B46E80">
        <w:t>l</w:t>
      </w:r>
      <w:r w:rsidR="00B31DFE" w:rsidRPr="00683920">
        <w:t xml:space="preserve">ling quality and outcomes. </w:t>
      </w:r>
      <w:r>
        <w:t xml:space="preserve">1) </w:t>
      </w:r>
      <w:r w:rsidR="00B31DFE" w:rsidRPr="00683920">
        <w:t xml:space="preserve">the </w:t>
      </w:r>
      <w:r>
        <w:t>SCF to</w:t>
      </w:r>
      <w:r w:rsidR="00B31DFE" w:rsidRPr="00683920">
        <w:t xml:space="preserve"> the raw Lx/Tx</w:t>
      </w:r>
      <w:r w:rsidR="00B31DFE" w:rsidRPr="00683920">
        <w:rPr>
          <w:rFonts w:cs="Times New Roman"/>
        </w:rPr>
        <w:t>​</w:t>
      </w:r>
      <w:r w:rsidR="00B31DFE" w:rsidRPr="00683920">
        <w:t xml:space="preserve"> </w:t>
      </w:r>
      <w:r>
        <w:t>wrt</w:t>
      </w:r>
      <w:r w:rsidR="00B31DFE" w:rsidRPr="00683920">
        <w:t xml:space="preserve"> depth data</w:t>
      </w:r>
      <w:r>
        <w:t>. 2) P</w:t>
      </w:r>
      <w:r w:rsidR="00B31DFE" w:rsidRPr="00683920">
        <w:t xml:space="preserve">resents the evolution of </w:t>
      </w:r>
      <w:r w:rsidR="00B31DFE" w:rsidRPr="00C7559B">
        <w:rPr>
          <w:i/>
          <w:iCs/>
        </w:rPr>
        <w:t>x</w:t>
      </w:r>
      <w:r w:rsidR="00B31DFE" w:rsidRPr="00C7559B">
        <w:rPr>
          <w:i/>
          <w:iCs/>
          <w:vertAlign w:val="subscript"/>
        </w:rPr>
        <w:t>0.5</w:t>
      </w:r>
      <w:r w:rsidR="00B31DFE" w:rsidRPr="00C7559B">
        <w:rPr>
          <w:rFonts w:cs="Times New Roman"/>
          <w:i/>
          <w:iCs/>
          <w:vertAlign w:val="subscript"/>
        </w:rPr>
        <w:t>​</w:t>
      </w:r>
      <w:r>
        <w:t xml:space="preserve">, </w:t>
      </w:r>
      <w:r w:rsidR="00B31DFE" w:rsidRPr="00683920">
        <w:t>the depth of half-saturation</w:t>
      </w:r>
      <w:r>
        <w:t xml:space="preserve"> </w:t>
      </w:r>
      <w:r w:rsidR="00B31DFE" w:rsidRPr="00683920">
        <w:t xml:space="preserve">as a function of time, demonstrating how it asymptotically </w:t>
      </w:r>
      <w:r>
        <w:t xml:space="preserve">approaches steady state. This </w:t>
      </w:r>
      <w:r w:rsidR="00B46E80">
        <w:t>time-dependent propagation</w:t>
      </w:r>
      <w:r>
        <w:t xml:space="preserve"> is plotted for different erosion scenarios</w:t>
      </w:r>
      <w:r w:rsidR="00B31DFE" w:rsidRPr="00683920">
        <w:t xml:space="preserve">. </w:t>
      </w:r>
      <w:r w:rsidR="001F63AA">
        <w:t xml:space="preserve">3) The </w:t>
      </w:r>
      <w:r w:rsidR="00B31DFE" w:rsidRPr="00683920">
        <w:t>uncertainty envelope visuali</w:t>
      </w:r>
      <w:r w:rsidR="00B31DFE">
        <w:t>s</w:t>
      </w:r>
      <w:r w:rsidR="00B31DFE" w:rsidRPr="00683920">
        <w:t xml:space="preserve">ation displays the suite of synthetic </w:t>
      </w:r>
      <w:r w:rsidR="001F63AA">
        <w:t>LDP</w:t>
      </w:r>
      <w:r w:rsidR="00B31DFE" w:rsidRPr="00683920">
        <w:t xml:space="preserve"> that meet the selection criterion (</w:t>
      </w:r>
      <w:r w:rsidR="00B31DFE">
        <w:t>χ²_norm &gt; rand (m, 1)</w:t>
      </w:r>
      <w:r>
        <w:t>)</w:t>
      </w:r>
      <w:r w:rsidR="00B31DFE" w:rsidRPr="00683920">
        <w:t>, overlaid on the experimental LDP. These profiles are colo</w:t>
      </w:r>
      <w:r w:rsidR="00B46E80">
        <w:t>u</w:t>
      </w:r>
      <w:r w:rsidR="00B31DFE" w:rsidRPr="00683920">
        <w:t>r-coded by normali</w:t>
      </w:r>
      <w:r w:rsidR="00B31DFE">
        <w:t>s</w:t>
      </w:r>
      <w:r w:rsidR="00B31DFE" w:rsidRPr="00683920">
        <w:t>ed chi-square value, illustrating the spread of acceptable fits from</w:t>
      </w:r>
      <w:r w:rsidR="00B46E80">
        <w:t xml:space="preserve"> -</w:t>
      </w:r>
      <w:r w:rsidR="00B31DFE" w:rsidRPr="00683920">
        <w:t>1</w:t>
      </w:r>
      <w:r w:rsidR="00C46B04">
        <w:t>δ</w:t>
      </w:r>
      <w:r w:rsidR="00B31DFE" w:rsidRPr="00683920">
        <w:t xml:space="preserve"> to +1</w:t>
      </w:r>
      <w:r w:rsidR="00C46B04">
        <w:t>δ</w:t>
      </w:r>
      <w:r w:rsidR="00B31DFE" w:rsidRPr="00683920">
        <w:t xml:space="preserve"> and providing a detailed visual sense </w:t>
      </w:r>
      <w:r w:rsidR="00B46E80">
        <w:t xml:space="preserve">of </w:t>
      </w:r>
      <w:r w:rsidR="00B31DFE" w:rsidRPr="00683920">
        <w:t>fitting confidence.</w:t>
      </w:r>
      <w:r w:rsidR="00B31DFE">
        <w:rPr>
          <w:lang w:val="en-IN"/>
        </w:rPr>
        <w:br w:type="page"/>
      </w:r>
    </w:p>
    <w:p w14:paraId="423F5239" w14:textId="77777777" w:rsidR="006F3E7E" w:rsidRDefault="006F3E7E" w:rsidP="003A4071">
      <w:pPr>
        <w:rPr>
          <w:lang w:val="en-IN"/>
        </w:rPr>
      </w:pPr>
    </w:p>
    <w:p w14:paraId="0B36FE52" w14:textId="0C1482D7" w:rsidR="006033A8" w:rsidRDefault="006033A8" w:rsidP="00A84F4D">
      <w:pPr>
        <w:pStyle w:val="Heading1"/>
      </w:pPr>
      <w:r>
        <w:t>CoRSEER-III: Erosion estimation</w:t>
      </w:r>
    </w:p>
    <w:p w14:paraId="518C6AC8" w14:textId="749E8E1F" w:rsidR="002F4C1E" w:rsidRDefault="002F4C1E" w:rsidP="002F4C1E">
      <w:r w:rsidRPr="00D066A9">
        <w:t xml:space="preserve">CoRSEER Part III is designed to estimate erosion histories of rock surfaces by inverting luminescence-depth profiles using calibrated kinetic parameters and experimental data. It </w:t>
      </w:r>
      <w:r w:rsidR="00B46E80">
        <w:t>explores</w:t>
      </w:r>
      <w:r w:rsidRPr="00D066A9">
        <w:t xml:space="preserve"> combinations of erosion rates and erosion onset times to determine how different erosion scenarios affect luminescence signal evolution. By fitting synthetic depth profiles generated under these scenarios to experimental data, CoRSEER identifies the most plausible erosion histories and quantifies uncertainties.</w:t>
      </w:r>
      <w:r w:rsidR="00DB7991">
        <w:t xml:space="preserve"> The GUI of CoRSEER-III is shown in Fig. S6.</w:t>
      </w:r>
    </w:p>
    <w:p w14:paraId="0CF9925D" w14:textId="62AE767F" w:rsidR="00503340" w:rsidRDefault="00503340" w:rsidP="002F4C1E">
      <w:r w:rsidRPr="00503340">
        <w:rPr>
          <w:noProof/>
        </w:rPr>
        <w:drawing>
          <wp:inline distT="0" distB="0" distL="0" distR="0" wp14:anchorId="5A04D7A7" wp14:editId="239818C4">
            <wp:extent cx="6835140" cy="4533265"/>
            <wp:effectExtent l="0" t="0" r="3810" b="635"/>
            <wp:docPr id="1280774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774019" name=""/>
                    <pic:cNvPicPr/>
                  </pic:nvPicPr>
                  <pic:blipFill rotWithShape="1">
                    <a:blip r:embed="rId13"/>
                    <a:srcRect l="333"/>
                    <a:stretch>
                      <a:fillRect/>
                    </a:stretch>
                  </pic:blipFill>
                  <pic:spPr bwMode="auto">
                    <a:xfrm>
                      <a:off x="0" y="0"/>
                      <a:ext cx="6835140" cy="4533265"/>
                    </a:xfrm>
                    <a:prstGeom prst="rect">
                      <a:avLst/>
                    </a:prstGeom>
                    <a:ln>
                      <a:noFill/>
                    </a:ln>
                    <a:extLst>
                      <a:ext uri="{53640926-AAD7-44D8-BBD7-CCE9431645EC}">
                        <a14:shadowObscured xmlns:a14="http://schemas.microsoft.com/office/drawing/2010/main"/>
                      </a:ext>
                    </a:extLst>
                  </pic:spPr>
                </pic:pic>
              </a:graphicData>
            </a:graphic>
          </wp:inline>
        </w:drawing>
      </w:r>
    </w:p>
    <w:p w14:paraId="500E1FE1" w14:textId="14B2998E" w:rsidR="003B0D58" w:rsidRPr="00D87801" w:rsidRDefault="003B0D58" w:rsidP="003B0D58">
      <w:pPr>
        <w:rPr>
          <w:b/>
          <w:bCs/>
        </w:rPr>
      </w:pPr>
      <w:r w:rsidRPr="00D87801">
        <w:rPr>
          <w:b/>
          <w:bCs/>
        </w:rPr>
        <w:t>Figure</w:t>
      </w:r>
      <w:r>
        <w:rPr>
          <w:b/>
          <w:bCs/>
        </w:rPr>
        <w:t xml:space="preserve"> S6: The GUI of CoRSEER-II used for estimation of steady state erosion rate and associated exposure age. The GUI includes the multiple input bars in its left section, the progress bar and output parameters in right, and the diagnostic plots in bottom.</w:t>
      </w:r>
    </w:p>
    <w:p w14:paraId="12E962BC" w14:textId="77777777" w:rsidR="002F4C1E" w:rsidRPr="00D066A9" w:rsidRDefault="002F4C1E" w:rsidP="00A84F4D">
      <w:pPr>
        <w:pStyle w:val="Heading2"/>
      </w:pPr>
      <w:r w:rsidRPr="00D066A9">
        <w:t>Input Parameters</w:t>
      </w:r>
    </w:p>
    <w:p w14:paraId="1E7D853D" w14:textId="77777777" w:rsidR="002F4C1E" w:rsidRPr="00D066A9" w:rsidRDefault="002F4C1E" w:rsidP="00A84F4D">
      <w:pPr>
        <w:pStyle w:val="Heading3"/>
      </w:pPr>
      <w:r w:rsidRPr="00D066A9">
        <w:t>Excel File</w:t>
      </w:r>
    </w:p>
    <w:p w14:paraId="506D3ED0" w14:textId="77777777" w:rsidR="002F4C1E" w:rsidRPr="00D066A9" w:rsidRDefault="002F4C1E" w:rsidP="002F4C1E">
      <w:r w:rsidRPr="00D066A9">
        <w:t>The input Excel file format for Part III follows the same structure as defined in CoRSEER Part II (Age Estimation). It must contain non-zero, non-repeating depth values, normali</w:t>
      </w:r>
      <w:r>
        <w:t>s</w:t>
      </w:r>
      <w:r w:rsidRPr="00D066A9">
        <w:t>ed luminescence signals, associated errors, and other experimental constants. The age cell should remain blank, and the sheet name should match the sample name to be processed.</w:t>
      </w:r>
    </w:p>
    <w:p w14:paraId="0A0FA09C" w14:textId="77777777" w:rsidR="002F4C1E" w:rsidRDefault="002F4C1E" w:rsidP="00A84F4D">
      <w:pPr>
        <w:pStyle w:val="Heading3"/>
      </w:pPr>
      <w:r w:rsidRPr="00D066A9">
        <w:lastRenderedPageBreak/>
        <w:t>GUI Input</w:t>
      </w:r>
    </w:p>
    <w:p w14:paraId="6ABD21D8" w14:textId="727ABF22" w:rsidR="002F4C1E" w:rsidRDefault="002F4C1E" w:rsidP="002F4C1E">
      <w:r w:rsidRPr="00D066A9">
        <w:t>The graphical user interface (GUI) for CoRSEER Part III provides several user-defined fields to control the erosion mode</w:t>
      </w:r>
      <w:r w:rsidR="00B46E80">
        <w:t>l</w:t>
      </w:r>
      <w:r w:rsidRPr="00D066A9">
        <w:t>ling process.</w:t>
      </w:r>
    </w:p>
    <w:p w14:paraId="2F67C87B" w14:textId="77777777" w:rsidR="002F4C1E" w:rsidRDefault="002F4C1E" w:rsidP="002F4C1E">
      <w:r>
        <w:t>Input box 1:</w:t>
      </w:r>
      <w:r w:rsidRPr="00D066A9">
        <w:t xml:space="preserve"> </w:t>
      </w:r>
      <w:r>
        <w:t>Al</w:t>
      </w:r>
      <w:r w:rsidRPr="00D066A9">
        <w:t>lows loading of the calibration dataset (var_cal_[SampleName].xlsx), from which the best-fit kinetic parameters</w:t>
      </w:r>
      <m:oMath>
        <m:r>
          <w:rPr>
            <w:rFonts w:ascii="Cambria Math" w:hAnsi="Cambria Math"/>
          </w:rPr>
          <m:t xml:space="preserve"> </m:t>
        </m:r>
        <m:bar>
          <m:barPr>
            <m:pos m:val="top"/>
            <m:ctrlPr>
              <w:rPr>
                <w:rFonts w:ascii="Cambria Math" w:hAnsi="Cambria Math" w:cs="Times New Roman"/>
                <w:i/>
                <w:sz w:val="24"/>
                <w:szCs w:val="24"/>
              </w:rPr>
            </m:ctrlPr>
          </m:barPr>
          <m:e>
            <m:r>
              <w:rPr>
                <w:rFonts w:ascii="Cambria Math" w:hAnsi="Cambria Math" w:cs="Times New Roman"/>
                <w:sz w:val="24"/>
                <w:szCs w:val="24"/>
                <w:lang w:val="el-GR"/>
              </w:rPr>
              <m:t>σφ</m:t>
            </m:r>
          </m:e>
        </m:bar>
        <m:r>
          <w:rPr>
            <w:rFonts w:ascii="Cambria Math" w:hAnsi="Cambria Math" w:cs="Times New Roman"/>
            <w:sz w:val="24"/>
            <w:szCs w:val="24"/>
            <w:lang w:val="el-GR"/>
          </w:rPr>
          <m:t>˳</m:t>
        </m:r>
      </m:oMath>
      <w:r w:rsidRPr="0098178E">
        <w:rPr>
          <w:lang w:eastAsia="en-IN"/>
        </w:rPr>
        <w:t xml:space="preserve"> and </w:t>
      </w:r>
      <m:oMath>
        <m:r>
          <w:rPr>
            <w:rFonts w:ascii="Cambria Math" w:hAnsi="Cambria Math" w:cs="Times New Roman"/>
            <w:sz w:val="24"/>
            <w:szCs w:val="24"/>
            <w:lang w:val="en-IN"/>
          </w:rPr>
          <m:t>µ</m:t>
        </m:r>
      </m:oMath>
      <w:r>
        <w:t xml:space="preserve"> </w:t>
      </w:r>
      <w:r w:rsidRPr="00D066A9">
        <w:t xml:space="preserve">are automatically retrieved and displayed, though users may also input them manually. </w:t>
      </w:r>
    </w:p>
    <w:p w14:paraId="0A4A3303" w14:textId="77777777" w:rsidR="002F4C1E" w:rsidRDefault="002F4C1E" w:rsidP="002F4C1E">
      <w:r>
        <w:t xml:space="preserve">Input box 2: </w:t>
      </w:r>
      <w:r w:rsidRPr="00D066A9">
        <w:t xml:space="preserve">The second field sets the working directory containing the target OSL_unknown.xlsx file. The sample name entered must exactly match the sheet name within this Excel file to ensure correct data loading. </w:t>
      </w:r>
    </w:p>
    <w:p w14:paraId="7BD66525" w14:textId="77777777" w:rsidR="002F4C1E" w:rsidRDefault="002F4C1E" w:rsidP="002F4C1E">
      <w:r>
        <w:t>Input box 3: D</w:t>
      </w:r>
      <w:r w:rsidRPr="00D066A9">
        <w:t xml:space="preserve">efines the upper bound of exposure duration over which erosion scenarios are evaluated. </w:t>
      </w:r>
    </w:p>
    <w:p w14:paraId="6FBA8B85" w14:textId="77777777" w:rsidR="002F4C1E" w:rsidRDefault="002F4C1E" w:rsidP="002F4C1E">
      <w:r>
        <w:t xml:space="preserve">Input box 4: </w:t>
      </w:r>
      <w:r w:rsidRPr="00D066A9">
        <w:t xml:space="preserve">The parameter </w:t>
      </w:r>
      <w:r w:rsidRPr="00D066A9">
        <w:rPr>
          <w:i/>
          <w:iCs/>
        </w:rPr>
        <w:t>m</w:t>
      </w:r>
      <w:r w:rsidRPr="00D066A9">
        <w:t xml:space="preserve"> controls the resolution of the erosion-onset grid: larger </w:t>
      </w:r>
      <w:r w:rsidRPr="00D066A9">
        <w:rPr>
          <w:i/>
          <w:iCs/>
        </w:rPr>
        <w:t>m</w:t>
      </w:r>
      <w:r w:rsidRPr="00D066A9">
        <w:t xml:space="preserve"> values result in finer sampling in logarithmic space. </w:t>
      </w:r>
    </w:p>
    <w:p w14:paraId="319E21B0" w14:textId="7B8E61F2" w:rsidR="009605C1" w:rsidRDefault="002F4C1E" w:rsidP="002F4C1E">
      <w:r>
        <w:t xml:space="preserve">Input box 5 (range): </w:t>
      </w:r>
      <w:r w:rsidRPr="00D066A9">
        <w:t xml:space="preserve">Users also define the logarithmic </w:t>
      </w:r>
      <w:r w:rsidR="00B46E80">
        <w:t>search range for the erosion rat</w:t>
      </w:r>
      <w:r w:rsidRPr="00D066A9">
        <w:t>e, typically between 10</w:t>
      </w:r>
      <w:r w:rsidRPr="00D066A9">
        <w:rPr>
          <w:vertAlign w:val="superscript"/>
        </w:rPr>
        <w:t>−6</w:t>
      </w:r>
      <w:r w:rsidRPr="00D066A9">
        <w:t xml:space="preserve"> and 10</w:t>
      </w:r>
      <w:r w:rsidRPr="00D066A9">
        <w:rPr>
          <w:vertAlign w:val="superscript"/>
        </w:rPr>
        <w:t>1</w:t>
      </w:r>
      <w:r w:rsidRPr="00D066A9">
        <w:t xml:space="preserve"> mm/</w:t>
      </w:r>
      <w:r w:rsidR="005B36D3">
        <w:t>a</w:t>
      </w:r>
      <w:r w:rsidRPr="00D066A9">
        <w:t xml:space="preserve">, consistent with geologic-scale erosion rates. </w:t>
      </w:r>
    </w:p>
    <w:p w14:paraId="14913B7E" w14:textId="645525F5" w:rsidR="002F4C1E" w:rsidRDefault="002F4C1E" w:rsidP="002F4C1E">
      <w:pPr>
        <w:rPr>
          <w:b/>
          <w:bCs/>
        </w:rPr>
      </w:pPr>
      <w:r w:rsidRPr="00D066A9">
        <w:t>Together, these inputs allow the user to construct a high-resolution, physically constrained erosion–exposure landscape tailored to the calibration and luminescence characteristics of each sample.</w:t>
      </w:r>
    </w:p>
    <w:p w14:paraId="22A41ACE" w14:textId="0F0FD40F" w:rsidR="002F4C1E" w:rsidRDefault="00A84F4D" w:rsidP="00A84F4D">
      <w:pPr>
        <w:pStyle w:val="Heading2"/>
      </w:pPr>
      <w:r>
        <w:t>Mechanism:</w:t>
      </w:r>
    </w:p>
    <w:p w14:paraId="2412AD78" w14:textId="094A1C4D" w:rsidR="00A84F4D" w:rsidRPr="00D066A9" w:rsidRDefault="00A84F4D" w:rsidP="00A84F4D">
      <w:r w:rsidRPr="00D066A9">
        <w:t>CoRSEER</w:t>
      </w:r>
      <w:r>
        <w:t>-</w:t>
      </w:r>
      <w:r w:rsidRPr="00D066A9">
        <w:t xml:space="preserve">III is designed to estimate erosion histories of rock surfaces by inverting luminescence-depth profiles using calibrated kinetic parameters and experimental data. It </w:t>
      </w:r>
      <w:r w:rsidR="00B46E80">
        <w:t>explores</w:t>
      </w:r>
      <w:r w:rsidRPr="00D066A9">
        <w:t xml:space="preserve"> combinations of erosion rates and erosion onset times to determine how different erosion scenarios affect luminescence signal evolution. By fitting synthetic depth profiles generated under these scenarios to experimental data, CoRSEER identifies the most plausible erosion histories and quantifies uncertainties.</w:t>
      </w:r>
    </w:p>
    <w:p w14:paraId="05302BF3" w14:textId="3A12BBFD" w:rsidR="00A84F4D" w:rsidRPr="00A84F4D" w:rsidRDefault="00A84F4D" w:rsidP="00A84F4D">
      <w:pPr>
        <w:rPr>
          <w:rFonts w:cs="Times New Roman"/>
        </w:rPr>
      </w:pPr>
      <w:r w:rsidRPr="00D066A9">
        <w:t xml:space="preserve">Using logarithmic spacing defined by </w:t>
      </w:r>
      <w:r w:rsidR="00B46E80">
        <w:t xml:space="preserve">the </w:t>
      </w:r>
      <w:r w:rsidRPr="00D066A9">
        <w:t xml:space="preserve">user-provided </w:t>
      </w:r>
      <w:r w:rsidRPr="00D066A9">
        <w:rPr>
          <w:i/>
          <w:iCs/>
        </w:rPr>
        <w:t>m</w:t>
      </w:r>
      <w:r w:rsidRPr="00D066A9">
        <w:t xml:space="preserve"> value, CoRSEER creates two vectors: erosion rates (</w:t>
      </w:r>
      <m:oMath>
        <m:acc>
          <m:accPr>
            <m:chr m:val="̇"/>
            <m:ctrlPr>
              <w:rPr>
                <w:rFonts w:ascii="Cambria Math" w:hAnsi="Cambria Math"/>
                <w:i/>
              </w:rPr>
            </m:ctrlPr>
          </m:accPr>
          <m:e>
            <m:r>
              <w:rPr>
                <w:rFonts w:ascii="Cambria Math" w:hAnsi="Cambria Math"/>
              </w:rPr>
              <m:t>ε</m:t>
            </m:r>
          </m:e>
        </m:acc>
      </m:oMath>
      <w:r w:rsidRPr="00D066A9">
        <w:t xml:space="preserve">) and exposure durations </w:t>
      </w:r>
      <w:r w:rsidRPr="00D066A9">
        <w:rPr>
          <w:i/>
          <w:iCs/>
        </w:rPr>
        <w:t>t</w:t>
      </w:r>
      <w:r w:rsidRPr="00D066A9">
        <w:rPr>
          <w:rFonts w:cs="Times New Roman"/>
        </w:rPr>
        <w:t>​</w:t>
      </w:r>
      <w:r w:rsidRPr="00D066A9">
        <w:t xml:space="preserve">. For each ( </w:t>
      </w:r>
      <m:oMath>
        <m:acc>
          <m:accPr>
            <m:chr m:val="̇"/>
            <m:ctrlPr>
              <w:rPr>
                <w:rFonts w:ascii="Cambria Math" w:hAnsi="Cambria Math"/>
                <w:i/>
              </w:rPr>
            </m:ctrlPr>
          </m:accPr>
          <m:e>
            <m:r>
              <w:rPr>
                <w:rFonts w:ascii="Cambria Math" w:hAnsi="Cambria Math"/>
              </w:rPr>
              <m:t>ε</m:t>
            </m:r>
          </m:e>
        </m:acc>
      </m:oMath>
      <w:r w:rsidR="00C46B04">
        <w:t xml:space="preserve">, </w:t>
      </w:r>
      <w:r w:rsidR="00B46E80" w:rsidRPr="00C46B04">
        <w:rPr>
          <w:i/>
          <w:iCs/>
        </w:rPr>
        <w:t>t</w:t>
      </w:r>
      <w:r w:rsidR="00B46E80">
        <w:t xml:space="preserve">) pair, it simulates luminescence-depth profiles using a two-phase kinetic model: </w:t>
      </w:r>
      <w:r w:rsidR="00C46B04" w:rsidRPr="00D066A9">
        <w:t xml:space="preserve">Phase 1 with no erosion (from 0 to </w:t>
      </w:r>
      <w:r w:rsidR="00C46B04">
        <w:t xml:space="preserve">purely exposure period </w:t>
      </w:r>
      <w:r w:rsidR="00C46B04" w:rsidRPr="00D066A9">
        <w:t>(</w:t>
      </w:r>
      <w:r w:rsidR="00C46B04" w:rsidRPr="00D066A9">
        <w:rPr>
          <w:i/>
        </w:rPr>
        <w:t>t</w:t>
      </w:r>
      <w:r w:rsidR="00C46B04">
        <w:rPr>
          <w:i/>
          <w:vertAlign w:val="subscript"/>
        </w:rPr>
        <w:t>o</w:t>
      </w:r>
      <w:r w:rsidR="00C46B04" w:rsidRPr="00D066A9">
        <w:t>)), and Phase 2 with constant erosion</w:t>
      </w:r>
      <w:r w:rsidR="00C46B04">
        <w:t>,</w:t>
      </w:r>
      <w:r w:rsidR="00C46B04" w:rsidRPr="00D066A9">
        <w:t xml:space="preserve"> </w:t>
      </w:r>
      <m:oMath>
        <m:acc>
          <m:accPr>
            <m:chr m:val="̇"/>
            <m:ctrlPr>
              <w:rPr>
                <w:rFonts w:ascii="Cambria Math" w:hAnsi="Cambria Math"/>
                <w:i/>
              </w:rPr>
            </m:ctrlPr>
          </m:accPr>
          <m:e>
            <m:r>
              <w:rPr>
                <w:rFonts w:ascii="Cambria Math" w:hAnsi="Cambria Math"/>
              </w:rPr>
              <m:t>ε</m:t>
            </m:r>
          </m:e>
        </m:acc>
      </m:oMath>
      <w:r w:rsidR="00C46B04" w:rsidRPr="00D066A9">
        <w:t xml:space="preserve"> (</w:t>
      </w:r>
      <w:r w:rsidR="00C46B04">
        <w:t xml:space="preserve">for the period of </w:t>
      </w:r>
      <w:r w:rsidR="00C46B04">
        <w:rPr>
          <w:i/>
          <w:iCs/>
        </w:rPr>
        <w:t>t</w:t>
      </w:r>
      <w:r w:rsidR="00C46B04">
        <w:rPr>
          <w:i/>
          <w:iCs/>
          <w:vertAlign w:val="subscript"/>
        </w:rPr>
        <w:t>s</w:t>
      </w:r>
      <w:r w:rsidR="00C46B04" w:rsidRPr="00D066A9">
        <w:t>)</w:t>
      </w:r>
      <w:r w:rsidR="00C46B04">
        <w:t xml:space="preserve"> (</w:t>
      </w:r>
      <w:r w:rsidR="00C46B04">
        <w:rPr>
          <w:i/>
          <w:iCs/>
        </w:rPr>
        <w:t xml:space="preserve">t </w:t>
      </w:r>
      <w:r w:rsidR="00C46B04">
        <w:t xml:space="preserve">= </w:t>
      </w:r>
      <w:r w:rsidR="00C46B04" w:rsidRPr="00D066A9">
        <w:rPr>
          <w:i/>
        </w:rPr>
        <w:t>t</w:t>
      </w:r>
      <w:r w:rsidR="00C46B04">
        <w:rPr>
          <w:i/>
          <w:vertAlign w:val="subscript"/>
        </w:rPr>
        <w:t xml:space="preserve">o </w:t>
      </w:r>
      <w:r w:rsidR="00C46B04">
        <w:rPr>
          <w:iCs/>
        </w:rPr>
        <w:t>+</w:t>
      </w:r>
      <w:r w:rsidR="00C46B04" w:rsidRPr="002F5B53">
        <w:rPr>
          <w:i/>
        </w:rPr>
        <w:t xml:space="preserve"> </w:t>
      </w:r>
      <w:r w:rsidR="00C46B04" w:rsidRPr="00D066A9">
        <w:rPr>
          <w:i/>
        </w:rPr>
        <w:t>t</w:t>
      </w:r>
      <w:r w:rsidR="00C46B04">
        <w:rPr>
          <w:i/>
          <w:vertAlign w:val="subscript"/>
        </w:rPr>
        <w:t>s</w:t>
      </w:r>
      <w:r w:rsidR="00C46B04">
        <w:rPr>
          <w:i/>
        </w:rPr>
        <w:t xml:space="preserve">, </w:t>
      </w:r>
      <w:r w:rsidR="00C46B04">
        <w:rPr>
          <w:iCs/>
        </w:rPr>
        <w:t>total exposure age)</w:t>
      </w:r>
      <w:r w:rsidRPr="00D066A9">
        <w:t xml:space="preserve">. The forward model integrates signal growth, bleaching, and advective loss due to erosion using a finite difference method. </w:t>
      </w:r>
      <w:r w:rsidR="00B46E80">
        <w:t>Inverse modelling establishes the misfit between modelled and experimental profiles, which is evaluated using chi-square statistics,</w:t>
      </w:r>
      <w:r>
        <w:t xml:space="preserve"> as described </w:t>
      </w:r>
      <w:r w:rsidR="00B46E80">
        <w:t xml:space="preserve">in </w:t>
      </w:r>
      <w:r>
        <w:t xml:space="preserve">earlier sections. </w:t>
      </w:r>
      <w:r w:rsidRPr="006B2EFA">
        <w:rPr>
          <w:rFonts w:cs="Times New Roman"/>
        </w:rPr>
        <w:t xml:space="preserve">The chi-square matrix is then converted into a likelihood field, which is normalised to produce </w:t>
      </w:r>
      <m:oMath>
        <m:sSubSup>
          <m:sSubSupPr>
            <m:ctrlPr>
              <w:rPr>
                <w:rFonts w:ascii="Cambria Math" w:eastAsia="Times New Roman" w:hAnsi="Cambria Math" w:cs="Times New Roman"/>
                <w:i/>
                <w:color w:val="auto"/>
                <w:szCs w:val="24"/>
                <w:lang w:val="en-GB" w:eastAsia="de-DE"/>
              </w:rPr>
            </m:ctrlPr>
          </m:sSubSupPr>
          <m:e>
            <m:r>
              <w:rPr>
                <w:rFonts w:ascii="Cambria Math" w:hAnsi="Cambria Math"/>
              </w:rPr>
              <m:t>P</m:t>
            </m:r>
          </m:e>
          <m:sub>
            <m:r>
              <w:rPr>
                <w:rFonts w:ascii="Cambria Math" w:hAnsi="Cambria Math"/>
              </w:rPr>
              <m:t>norm</m:t>
            </m:r>
          </m:sub>
          <m:sup>
            <m:r>
              <w:rPr>
                <w:rFonts w:ascii="Cambria Math" w:hAnsi="Cambria Math"/>
              </w:rPr>
              <m:t>k</m:t>
            </m:r>
          </m:sup>
        </m:sSubSup>
      </m:oMath>
      <w:r w:rsidR="00834C21">
        <w:t>.</w:t>
      </w:r>
      <w:r w:rsidRPr="006B2EFA">
        <w:rPr>
          <w:rFonts w:cs="Times New Roman"/>
        </w:rPr>
        <w:t xml:space="preserve"> Posterior sampling is performed by filtering</w:t>
      </w:r>
      <w:r w:rsidR="00B46E80">
        <w:rPr>
          <w:rFonts w:cs="Times New Roman"/>
        </w:rPr>
        <w:t>.</w:t>
      </w:r>
      <w:r w:rsidRPr="006B2EFA">
        <w:rPr>
          <w:rFonts w:cs="Times New Roman"/>
        </w:rPr>
        <w:t xml:space="preserve"> </w:t>
      </w:r>
      <m:oMath>
        <m:sSubSup>
          <m:sSubSupPr>
            <m:ctrlPr>
              <w:rPr>
                <w:rFonts w:ascii="Cambria Math" w:eastAsia="Times New Roman" w:hAnsi="Cambria Math" w:cs="Times New Roman"/>
                <w:i/>
                <w:color w:val="auto"/>
                <w:szCs w:val="24"/>
                <w:lang w:val="en-GB" w:eastAsia="de-DE"/>
              </w:rPr>
            </m:ctrlPr>
          </m:sSubSupPr>
          <m:e>
            <m:r>
              <w:rPr>
                <w:rFonts w:ascii="Cambria Math" w:hAnsi="Cambria Math"/>
              </w:rPr>
              <m:t>P</m:t>
            </m:r>
          </m:e>
          <m:sub>
            <m:r>
              <w:rPr>
                <w:rFonts w:ascii="Cambria Math" w:hAnsi="Cambria Math"/>
              </w:rPr>
              <m:t>norm</m:t>
            </m:r>
          </m:sub>
          <m:sup>
            <m:r>
              <w:rPr>
                <w:rFonts w:ascii="Cambria Math" w:hAnsi="Cambria Math"/>
              </w:rPr>
              <m:t>k</m:t>
            </m:r>
          </m:sup>
        </m:sSubSup>
        <m:r>
          <m:rPr>
            <m:sty m:val="p"/>
          </m:rPr>
          <w:rPr>
            <w:rFonts w:ascii="Cambria Math" w:hAnsi="Cambria Math"/>
          </w:rPr>
          <m:t>.</m:t>
        </m:r>
        <m:r>
          <w:rPr>
            <w:rFonts w:ascii="Cambria Math" w:hAnsi="Cambria Math" w:cs="Times New Roman"/>
            <w:lang w:val="en-IN"/>
          </w:rPr>
          <m:t>&gt;</m:t>
        </m:r>
        <m:r>
          <m:rPr>
            <m:nor/>
          </m:rPr>
          <w:rPr>
            <w:rFonts w:cs="Times New Roman"/>
            <w:lang w:val="en-IN"/>
          </w:rPr>
          <m:t>rand</m:t>
        </m:r>
        <m:d>
          <m:dPr>
            <m:ctrlPr>
              <w:rPr>
                <w:rFonts w:ascii="Cambria Math" w:hAnsi="Cambria Math" w:cs="Times New Roman"/>
                <w:i/>
                <w:lang w:val="en-IN"/>
              </w:rPr>
            </m:ctrlPr>
          </m:dPr>
          <m:e>
            <m:r>
              <w:rPr>
                <w:rFonts w:ascii="Cambria Math" w:hAnsi="Cambria Math" w:cs="Times New Roman"/>
                <w:lang w:val="en-IN"/>
              </w:rPr>
              <m:t>m,m</m:t>
            </m:r>
          </m:e>
        </m:d>
      </m:oMath>
      <w:r w:rsidRPr="006B2EFA">
        <w:rPr>
          <w:rFonts w:cs="Times New Roman"/>
          <w:lang w:val="en-IN"/>
        </w:rPr>
        <w:t xml:space="preserve"> </w:t>
      </w:r>
      <w:r w:rsidRPr="006B2EFA">
        <w:rPr>
          <w:rFonts w:cs="Times New Roman"/>
        </w:rPr>
        <w:t>, generating distributions for erosion rate and onset time.</w:t>
      </w:r>
    </w:p>
    <w:p w14:paraId="082D9DE3" w14:textId="77777777" w:rsidR="002F4C1E" w:rsidRPr="00D066A9" w:rsidRDefault="002F4C1E" w:rsidP="00A84F4D">
      <w:pPr>
        <w:pStyle w:val="Heading2"/>
      </w:pPr>
      <w:bookmarkStart w:id="3" w:name="how-it-works"/>
      <w:bookmarkStart w:id="4" w:name="output"/>
      <w:bookmarkEnd w:id="3"/>
      <w:r w:rsidRPr="00D066A9">
        <w:t>Output</w:t>
      </w:r>
    </w:p>
    <w:p w14:paraId="7E362411" w14:textId="77777777" w:rsidR="00A84F4D" w:rsidRDefault="002F4C1E" w:rsidP="002F4C1E">
      <w:r w:rsidRPr="00D066A9">
        <w:t>CoRSEER Part III produces comprehensive results in three formats</w:t>
      </w:r>
      <w:r>
        <w:t xml:space="preserve">. </w:t>
      </w:r>
    </w:p>
    <w:p w14:paraId="6CE7FF4B" w14:textId="153FDDD5" w:rsidR="00A84F4D" w:rsidRDefault="00A84F4D" w:rsidP="002F4C1E">
      <w:r>
        <w:t xml:space="preserve">Output 1:  </w:t>
      </w:r>
      <w:r w:rsidR="002F4C1E" w:rsidRPr="00D066A9">
        <w:t xml:space="preserve">The Excel output </w:t>
      </w:r>
      <w:r>
        <w:t>sheet (</w:t>
      </w:r>
      <w:r w:rsidRPr="00683920">
        <w:t>var_</w:t>
      </w:r>
      <w:r>
        <w:t>Er</w:t>
      </w:r>
      <w:r w:rsidRPr="00683920">
        <w:t>_[SampleName].xlsx</w:t>
      </w:r>
      <w:r>
        <w:t xml:space="preserve">) </w:t>
      </w:r>
      <w:r w:rsidR="002F4C1E" w:rsidRPr="00D066A9">
        <w:t xml:space="preserve">contains </w:t>
      </w:r>
      <w:r w:rsidR="00CE42FD" w:rsidRPr="005517DE">
        <w:t>all key results from sigmoidal fitting</w:t>
      </w:r>
      <w:r w:rsidR="00CE42FD">
        <w:t>.</w:t>
      </w:r>
    </w:p>
    <w:p w14:paraId="590EC104" w14:textId="5B747DB3" w:rsidR="002F4C1E" w:rsidRDefault="00A84F4D" w:rsidP="002F4C1E">
      <w:r>
        <w:t xml:space="preserve">Output 2: </w:t>
      </w:r>
      <w:r w:rsidR="002F4C1E" w:rsidRPr="00D066A9">
        <w:t xml:space="preserve"> </w:t>
      </w:r>
      <w:r w:rsidR="002F4C1E">
        <w:t xml:space="preserve">A </w:t>
      </w:r>
      <w:r w:rsidR="002F4C1E" w:rsidRPr="00D066A9">
        <w:t xml:space="preserve">.mat file is generated containing all relevant variables, including </w:t>
      </w:r>
      <w:r>
        <w:t>all the resulting variables.</w:t>
      </w:r>
    </w:p>
    <w:p w14:paraId="7A41A1D1" w14:textId="6B59B85B" w:rsidR="002F4C1E" w:rsidRPr="00D066A9" w:rsidRDefault="00A84F4D" w:rsidP="00A84F4D">
      <w:r>
        <w:t xml:space="preserve">Output 3: The two diagnostic plots: 1) </w:t>
      </w:r>
      <w:r w:rsidRPr="00A84F4D">
        <w:t>SCF plot</w:t>
      </w:r>
      <w:r w:rsidR="00B46E80">
        <w:t>,</w:t>
      </w:r>
      <w:r>
        <w:t xml:space="preserve"> which s</w:t>
      </w:r>
      <w:r w:rsidR="002F4C1E" w:rsidRPr="00D066A9">
        <w:t xml:space="preserve">hows the fitting of ( </w:t>
      </w:r>
      <w:r w:rsidR="002F4C1E" w:rsidRPr="00D066A9">
        <w:rPr>
          <w:i/>
          <w:iCs/>
        </w:rPr>
        <w:t>L</w:t>
      </w:r>
      <w:r w:rsidR="002F4C1E" w:rsidRPr="00D066A9">
        <w:rPr>
          <w:i/>
          <w:iCs/>
          <w:vertAlign w:val="subscript"/>
        </w:rPr>
        <w:t>x</w:t>
      </w:r>
      <w:r w:rsidR="002F4C1E" w:rsidRPr="00D066A9">
        <w:rPr>
          <w:i/>
          <w:iCs/>
        </w:rPr>
        <w:t>/T</w:t>
      </w:r>
      <w:r w:rsidR="002F4C1E" w:rsidRPr="00D066A9">
        <w:rPr>
          <w:i/>
          <w:iCs/>
          <w:vertAlign w:val="subscript"/>
        </w:rPr>
        <w:t>x</w:t>
      </w:r>
      <w:r w:rsidR="002F4C1E" w:rsidRPr="00D066A9">
        <w:t xml:space="preserve"> ) vs. depth.</w:t>
      </w:r>
      <w:r>
        <w:t xml:space="preserve"> 2) </w:t>
      </w:r>
      <w:r w:rsidR="002F4C1E" w:rsidRPr="00A84F4D">
        <w:t xml:space="preserve">Erosion Surface Plot </w:t>
      </w:r>
      <w:r w:rsidR="002F4C1E" w:rsidRPr="00D066A9">
        <w:t>– A 3D surface plot with erosion rate on the Y-axis, erosion onset time on the X-axis, and normali</w:t>
      </w:r>
      <w:r w:rsidR="002F4C1E">
        <w:t>s</w:t>
      </w:r>
      <w:r w:rsidR="002F4C1E" w:rsidRPr="00D066A9">
        <w:t>ed chi-square as the Z-axis.</w:t>
      </w:r>
      <w:r>
        <w:t xml:space="preserve"> We must mention that the results must be picked manually from the </w:t>
      </w:r>
      <w:r w:rsidR="00DF1284">
        <w:t>plot</w:t>
      </w:r>
      <w:r w:rsidR="00B46E80">
        <w:t>,</w:t>
      </w:r>
      <w:r w:rsidR="00DF1284">
        <w:t xml:space="preserve"> and</w:t>
      </w:r>
      <w:r>
        <w:t xml:space="preserve"> the solution range is very broad (for the same LDP</w:t>
      </w:r>
      <w:r w:rsidR="00B46E80">
        <w:t>,</w:t>
      </w:r>
      <w:r>
        <w:t xml:space="preserve"> both transient and steady-state solutions are possible).</w:t>
      </w:r>
    </w:p>
    <w:p w14:paraId="2165A0DF" w14:textId="703C50B4" w:rsidR="00A84F4D" w:rsidRDefault="002F4C1E" w:rsidP="00A84F4D">
      <w:r w:rsidRPr="00D066A9">
        <w:lastRenderedPageBreak/>
        <w:t>These outputs collectively provide a full erosion-exposure landscape, allowing users to visuali</w:t>
      </w:r>
      <w:r>
        <w:t>s</w:t>
      </w:r>
      <w:r w:rsidRPr="00D066A9">
        <w:t>e and interpret plausible erosional histories constrained by luminescence data.</w:t>
      </w:r>
      <w:bookmarkEnd w:id="4"/>
    </w:p>
    <w:p w14:paraId="5478152F" w14:textId="0E1B24F8" w:rsidR="00425EC3" w:rsidRDefault="00425EC3" w:rsidP="00425EC3">
      <w:pPr>
        <w:pStyle w:val="Heading1"/>
        <w:rPr>
          <w:lang w:val="en-IN"/>
        </w:rPr>
      </w:pPr>
      <w:r>
        <w:t xml:space="preserve">Covariance of </w:t>
      </w:r>
      <m:oMath>
        <m:bar>
          <m:barPr>
            <m:pos m:val="top"/>
            <m:ctrlPr>
              <w:rPr>
                <w:rFonts w:ascii="Cambria Math" w:hAnsi="Cambria Math" w:cs="Times New Roman"/>
                <w:i/>
              </w:rPr>
            </m:ctrlPr>
          </m:barPr>
          <m:e>
            <m:r>
              <w:rPr>
                <w:rFonts w:ascii="Cambria Math" w:hAnsi="Cambria Math" w:cs="Times New Roman"/>
                <w:lang w:val="el-GR"/>
              </w:rPr>
              <m:t>σφ</m:t>
            </m:r>
          </m:e>
        </m:bar>
        <m:r>
          <w:rPr>
            <w:rFonts w:ascii="Cambria Math" w:hAnsi="Cambria Math" w:cs="Times New Roman"/>
            <w:lang w:val="el-GR"/>
          </w:rPr>
          <m:t>˳</m:t>
        </m:r>
      </m:oMath>
      <w:r w:rsidRPr="00425EC3">
        <w:rPr>
          <w:lang w:eastAsia="en-IN"/>
        </w:rPr>
        <w:t xml:space="preserve"> and</w:t>
      </w:r>
      <w:r w:rsidRPr="005F01B1">
        <w:rPr>
          <w:i/>
          <w:lang w:eastAsia="en-IN"/>
        </w:rPr>
        <w:t xml:space="preserve"> </w:t>
      </w:r>
      <m:oMath>
        <m:r>
          <w:rPr>
            <w:rFonts w:ascii="Cambria Math" w:hAnsi="Cambria Math" w:cs="Times New Roman"/>
            <w:lang w:val="en-IN"/>
          </w:rPr>
          <m:t>µ</m:t>
        </m:r>
      </m:oMath>
    </w:p>
    <w:p w14:paraId="2A500D2B" w14:textId="1785D21D" w:rsidR="00847C2B" w:rsidRPr="00847C2B" w:rsidRDefault="00847C2B" w:rsidP="00847C2B">
      <w:pPr>
        <w:rPr>
          <w:lang w:val="en-IN"/>
        </w:rPr>
      </w:pPr>
      <w:r>
        <w:rPr>
          <w:lang w:val="en-IN"/>
        </w:rPr>
        <w:t xml:space="preserve">The </w:t>
      </w:r>
      <m:oMath>
        <m:bar>
          <m:barPr>
            <m:pos m:val="top"/>
            <m:ctrlPr>
              <w:rPr>
                <w:rFonts w:ascii="Cambria Math" w:hAnsi="Cambria Math" w:cs="Times New Roman"/>
                <w:i/>
              </w:rPr>
            </m:ctrlPr>
          </m:barPr>
          <m:e>
            <m:r>
              <w:rPr>
                <w:rFonts w:ascii="Cambria Math" w:hAnsi="Cambria Math" w:cs="Times New Roman"/>
                <w:lang w:val="el-GR"/>
              </w:rPr>
              <m:t>σφ</m:t>
            </m:r>
          </m:e>
        </m:bar>
        <m:r>
          <w:rPr>
            <w:rFonts w:ascii="Cambria Math" w:hAnsi="Cambria Math" w:cs="Times New Roman"/>
            <w:lang w:val="el-GR"/>
          </w:rPr>
          <m:t>˳</m:t>
        </m:r>
      </m:oMath>
      <w:r w:rsidRPr="00425EC3">
        <w:rPr>
          <w:lang w:eastAsia="en-IN"/>
        </w:rPr>
        <w:t xml:space="preserve"> and </w:t>
      </w:r>
      <m:oMath>
        <m:r>
          <w:rPr>
            <w:rFonts w:ascii="Cambria Math" w:hAnsi="Cambria Math" w:cs="Times New Roman"/>
            <w:lang w:val="en-IN"/>
          </w:rPr>
          <m:t>µ</m:t>
        </m:r>
      </m:oMath>
      <w:r>
        <w:rPr>
          <w:lang w:val="en-IN"/>
        </w:rPr>
        <w:t xml:space="preserve"> occur to covary while performing the calibration using CoRSEER-I as discussed in Section 4.1 of main manuscript. Here we investigate the relationship which causes this covariance.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890E7F" w14:paraId="5C60BCC1" w14:textId="77777777" w:rsidTr="00A625CB">
        <w:tc>
          <w:tcPr>
            <w:tcW w:w="5395" w:type="dxa"/>
          </w:tcPr>
          <w:p w14:paraId="4CDB0E59" w14:textId="45CCA11D" w:rsidR="00890E7F" w:rsidRDefault="00890E7F" w:rsidP="00A625CB">
            <w:pPr>
              <w:rPr>
                <w:lang w:val="en-IN"/>
              </w:rPr>
            </w:pPr>
            <m:oMathPara>
              <m:oMath>
                <m:r>
                  <w:rPr>
                    <w:rFonts w:ascii="Cambria Math" w:hAnsi="Cambria Math"/>
                  </w:rPr>
                  <m:t>E</m:t>
                </m:r>
                <m:d>
                  <m:dPr>
                    <m:ctrlPr>
                      <w:rPr>
                        <w:rFonts w:ascii="Cambria Math" w:hAnsi="Cambria Math"/>
                        <w:i/>
                        <w:iCs/>
                      </w:rPr>
                    </m:ctrlPr>
                  </m:dPr>
                  <m:e>
                    <m:r>
                      <w:rPr>
                        <w:rFonts w:ascii="Cambria Math" w:hAnsi="Cambria Math"/>
                      </w:rPr>
                      <m:t>x</m:t>
                    </m:r>
                  </m:e>
                </m:d>
                <m:r>
                  <w:rPr>
                    <w:rFonts w:ascii="Cambria Math" w:hAnsi="Cambria Math"/>
                  </w:rPr>
                  <m:t>=</m:t>
                </m:r>
                <m:acc>
                  <m:accPr>
                    <m:chr m:val="̅"/>
                    <m:ctrlPr>
                      <w:rPr>
                        <w:rFonts w:ascii="Cambria Math" w:eastAsiaTheme="minorHAnsi" w:hAnsi="Cambria Math"/>
                        <w:i/>
                        <w:iCs/>
                        <w:color w:val="auto"/>
                        <w:kern w:val="2"/>
                        <w:sz w:val="24"/>
                        <w:szCs w:val="24"/>
                        <w:lang w:val="en-IN"/>
                        <w14:ligatures w14:val="standardContextual"/>
                      </w:rPr>
                    </m:ctrlPr>
                  </m:accPr>
                  <m:e>
                    <m:r>
                      <w:rPr>
                        <w:rFonts w:ascii="Cambria Math" w:hAnsi="Cambria Math"/>
                      </w:rPr>
                      <m:t>σ</m:t>
                    </m:r>
                    <m:sSub>
                      <m:sSubPr>
                        <m:ctrlPr>
                          <w:rPr>
                            <w:rFonts w:ascii="Cambria Math" w:hAnsi="Cambria Math"/>
                            <w:i/>
                            <w:iCs/>
                          </w:rPr>
                        </m:ctrlPr>
                      </m:sSubPr>
                      <m:e>
                        <m:r>
                          <w:rPr>
                            <w:rFonts w:ascii="Cambria Math" w:hAnsi="Cambria Math"/>
                          </w:rPr>
                          <m:t>ϕ</m:t>
                        </m:r>
                      </m:e>
                      <m:sub>
                        <m:r>
                          <w:rPr>
                            <w:rFonts w:ascii="Cambria Math" w:hAnsi="Cambria Math"/>
                          </w:rPr>
                          <m:t>0</m:t>
                        </m:r>
                      </m:sub>
                    </m:sSub>
                  </m:e>
                </m:acc>
                <m:sSup>
                  <m:sSupPr>
                    <m:ctrlPr>
                      <w:rPr>
                        <w:rFonts w:ascii="Cambria Math" w:hAnsi="Cambria Math"/>
                        <w:i/>
                        <w:iCs/>
                      </w:rPr>
                    </m:ctrlPr>
                  </m:sSupPr>
                  <m:e>
                    <m:r>
                      <w:rPr>
                        <w:rFonts w:ascii="Cambria Math" w:hAnsi="Cambria Math"/>
                      </w:rPr>
                      <m:t>e</m:t>
                    </m:r>
                  </m:e>
                  <m:sup>
                    <m:r>
                      <w:rPr>
                        <w:rFonts w:ascii="Cambria Math" w:hAnsi="Cambria Math"/>
                      </w:rPr>
                      <m:t>-μx</m:t>
                    </m:r>
                  </m:sup>
                </m:sSup>
              </m:oMath>
            </m:oMathPara>
          </w:p>
        </w:tc>
        <w:tc>
          <w:tcPr>
            <w:tcW w:w="5395" w:type="dxa"/>
          </w:tcPr>
          <w:p w14:paraId="0AC255C2" w14:textId="28DF2999" w:rsidR="00890E7F" w:rsidRDefault="00890E7F" w:rsidP="00A625CB">
            <w:pPr>
              <w:rPr>
                <w:lang w:val="en-IN"/>
              </w:rPr>
            </w:pPr>
            <w:r>
              <w:rPr>
                <w:lang w:val="en-IN"/>
              </w:rPr>
              <w:t>(10)</w:t>
            </w:r>
          </w:p>
        </w:tc>
      </w:tr>
      <w:tr w:rsidR="00890E7F" w14:paraId="7E6C3811" w14:textId="77777777" w:rsidTr="00A625CB">
        <w:tc>
          <w:tcPr>
            <w:tcW w:w="5395" w:type="dxa"/>
          </w:tcPr>
          <w:p w14:paraId="20153C2E" w14:textId="720EF076" w:rsidR="00890E7F" w:rsidRDefault="00000000" w:rsidP="00A625CB">
            <w:pPr>
              <w:rPr>
                <w:lang w:val="en-IN"/>
              </w:rPr>
            </w:pPr>
            <m:oMathPara>
              <m:oMath>
                <m:acc>
                  <m:accPr>
                    <m:chr m:val="̅"/>
                    <m:ctrlPr>
                      <w:rPr>
                        <w:rFonts w:ascii="Cambria Math" w:hAnsi="Cambria Math"/>
                        <w:i/>
                        <w:iCs/>
                      </w:rPr>
                    </m:ctrlPr>
                  </m:accPr>
                  <m:e>
                    <m:r>
                      <w:rPr>
                        <w:rFonts w:ascii="Cambria Math" w:hAnsi="Cambria Math"/>
                      </w:rPr>
                      <m:t>n</m:t>
                    </m:r>
                  </m:e>
                </m:acc>
                <m:d>
                  <m:dPr>
                    <m:ctrlPr>
                      <w:rPr>
                        <w:rFonts w:ascii="Cambria Math" w:hAnsi="Cambria Math"/>
                        <w:i/>
                        <w:iCs/>
                      </w:rPr>
                    </m:ctrlPr>
                  </m:dPr>
                  <m:e>
                    <m:r>
                      <w:rPr>
                        <w:rFonts w:ascii="Cambria Math" w:hAnsi="Cambria Math"/>
                      </w:rPr>
                      <m:t>x,t</m:t>
                    </m:r>
                  </m:e>
                </m:d>
                <m:r>
                  <w:rPr>
                    <w:rFonts w:ascii="Cambria Math" w:hAnsi="Cambria Math"/>
                  </w:rPr>
                  <m:t>=</m:t>
                </m:r>
                <m:func>
                  <m:funcPr>
                    <m:ctrlPr>
                      <w:rPr>
                        <w:rFonts w:ascii="Cambria Math" w:hAnsi="Cambria Math"/>
                        <w:i/>
                        <w:iCs/>
                      </w:rPr>
                    </m:ctrlPr>
                  </m:funcPr>
                  <m:fName>
                    <m:r>
                      <w:rPr>
                        <w:rFonts w:ascii="Cambria Math" w:hAnsi="Cambria Math"/>
                      </w:rPr>
                      <m:t>exp</m:t>
                    </m:r>
                  </m:fName>
                  <m:e>
                    <m:d>
                      <m:dPr>
                        <m:ctrlPr>
                          <w:rPr>
                            <w:rFonts w:ascii="Cambria Math" w:hAnsi="Cambria Math"/>
                            <w:i/>
                            <w:iCs/>
                          </w:rPr>
                        </m:ctrlPr>
                      </m:dPr>
                      <m:e>
                        <m:r>
                          <w:rPr>
                            <w:rFonts w:ascii="Cambria Math" w:hAnsi="Cambria Math"/>
                          </w:rPr>
                          <m:t>-E</m:t>
                        </m:r>
                        <m:d>
                          <m:dPr>
                            <m:ctrlPr>
                              <w:rPr>
                                <w:rFonts w:ascii="Cambria Math" w:hAnsi="Cambria Math"/>
                                <w:i/>
                                <w:iCs/>
                              </w:rPr>
                            </m:ctrlPr>
                          </m:dPr>
                          <m:e>
                            <m:r>
                              <w:rPr>
                                <w:rFonts w:ascii="Cambria Math" w:hAnsi="Cambria Math"/>
                              </w:rPr>
                              <m:t>x</m:t>
                            </m:r>
                          </m:e>
                        </m:d>
                        <m:r>
                          <w:rPr>
                            <w:rFonts w:ascii="Cambria Math" w:hAnsi="Cambria Math"/>
                          </w:rPr>
                          <m:t> t</m:t>
                        </m:r>
                      </m:e>
                    </m:d>
                  </m:e>
                </m:func>
              </m:oMath>
            </m:oMathPara>
          </w:p>
        </w:tc>
        <w:tc>
          <w:tcPr>
            <w:tcW w:w="5395" w:type="dxa"/>
          </w:tcPr>
          <w:p w14:paraId="69B2762B" w14:textId="242403CB" w:rsidR="00890E7F" w:rsidRDefault="00890E7F" w:rsidP="00A625CB">
            <w:pPr>
              <w:rPr>
                <w:lang w:val="en-IN"/>
              </w:rPr>
            </w:pPr>
            <w:r>
              <w:rPr>
                <w:lang w:val="en-IN"/>
              </w:rPr>
              <w:t>(11)</w:t>
            </w:r>
          </w:p>
        </w:tc>
      </w:tr>
      <w:tr w:rsidR="00890E7F" w14:paraId="71C44511" w14:textId="77777777" w:rsidTr="00A625CB">
        <w:tc>
          <w:tcPr>
            <w:tcW w:w="5395" w:type="dxa"/>
          </w:tcPr>
          <w:p w14:paraId="5C697A33" w14:textId="54F4A5B9" w:rsidR="00890E7F" w:rsidRDefault="00000000" w:rsidP="00A625CB">
            <w:pPr>
              <w:rPr>
                <w:lang w:val="en-IN"/>
              </w:rPr>
            </w:pPr>
            <m:oMathPara>
              <m:oMath>
                <m:acc>
                  <m:accPr>
                    <m:chr m:val="̅"/>
                    <m:ctrlPr>
                      <w:rPr>
                        <w:rFonts w:ascii="Cambria Math" w:hAnsi="Cambria Math"/>
                        <w:i/>
                        <w:iCs/>
                      </w:rPr>
                    </m:ctrlPr>
                  </m:accPr>
                  <m:e>
                    <m:r>
                      <w:rPr>
                        <w:rFonts w:ascii="Cambria Math" w:hAnsi="Cambria Math"/>
                      </w:rPr>
                      <m:t>n</m:t>
                    </m:r>
                  </m:e>
                </m:acc>
                <m:d>
                  <m:dPr>
                    <m:ctrlPr>
                      <w:rPr>
                        <w:rFonts w:ascii="Cambria Math" w:hAnsi="Cambria Math"/>
                        <w:i/>
                        <w:iCs/>
                      </w:rPr>
                    </m:ctrlPr>
                  </m:dPr>
                  <m:e>
                    <m:r>
                      <w:rPr>
                        <w:rFonts w:ascii="Cambria Math" w:hAnsi="Cambria Math"/>
                      </w:rPr>
                      <m:t>x,t</m:t>
                    </m:r>
                  </m:e>
                </m:d>
                <m:r>
                  <w:rPr>
                    <w:rFonts w:ascii="Cambria Math" w:hAnsi="Cambria Math"/>
                  </w:rPr>
                  <m:t>=</m:t>
                </m:r>
                <m:func>
                  <m:funcPr>
                    <m:ctrlPr>
                      <w:rPr>
                        <w:rFonts w:ascii="Cambria Math" w:hAnsi="Cambria Math"/>
                        <w:i/>
                        <w:iCs/>
                      </w:rPr>
                    </m:ctrlPr>
                  </m:funcPr>
                  <m:fName>
                    <m:r>
                      <w:rPr>
                        <w:rFonts w:ascii="Cambria Math" w:hAnsi="Cambria Math"/>
                      </w:rPr>
                      <m:t>exp</m:t>
                    </m:r>
                  </m:fName>
                  <m:e>
                    <m:d>
                      <m:dPr>
                        <m:ctrlPr>
                          <w:rPr>
                            <w:rFonts w:ascii="Cambria Math" w:hAnsi="Cambria Math"/>
                            <w:i/>
                            <w:iCs/>
                          </w:rPr>
                        </m:ctrlPr>
                      </m:dPr>
                      <m:e>
                        <m:r>
                          <w:rPr>
                            <w:rFonts w:ascii="Cambria Math" w:hAnsi="Cambria Math"/>
                          </w:rPr>
                          <m:t>-</m:t>
                        </m:r>
                        <m:acc>
                          <m:accPr>
                            <m:chr m:val="̅"/>
                            <m:ctrlPr>
                              <w:rPr>
                                <w:rFonts w:ascii="Cambria Math" w:eastAsiaTheme="minorHAnsi" w:hAnsi="Cambria Math"/>
                                <w:i/>
                                <w:iCs/>
                                <w:color w:val="auto"/>
                                <w:kern w:val="2"/>
                                <w:sz w:val="24"/>
                                <w:szCs w:val="24"/>
                                <w:lang w:val="en-IN"/>
                                <w14:ligatures w14:val="standardContextual"/>
                              </w:rPr>
                            </m:ctrlPr>
                          </m:accPr>
                          <m:e>
                            <m:r>
                              <w:rPr>
                                <w:rFonts w:ascii="Cambria Math" w:hAnsi="Cambria Math"/>
                              </w:rPr>
                              <m:t>σ</m:t>
                            </m:r>
                            <m:sSub>
                              <m:sSubPr>
                                <m:ctrlPr>
                                  <w:rPr>
                                    <w:rFonts w:ascii="Cambria Math" w:hAnsi="Cambria Math"/>
                                    <w:i/>
                                    <w:iCs/>
                                  </w:rPr>
                                </m:ctrlPr>
                              </m:sSubPr>
                              <m:e>
                                <m:r>
                                  <w:rPr>
                                    <w:rFonts w:ascii="Cambria Math" w:hAnsi="Cambria Math"/>
                                  </w:rPr>
                                  <m:t>ϕ</m:t>
                                </m:r>
                              </m:e>
                              <m:sub>
                                <m:r>
                                  <w:rPr>
                                    <w:rFonts w:ascii="Cambria Math" w:hAnsi="Cambria Math"/>
                                  </w:rPr>
                                  <m:t>0</m:t>
                                </m:r>
                              </m:sub>
                            </m:sSub>
                          </m:e>
                        </m:acc>
                        <m:r>
                          <w:rPr>
                            <w:rFonts w:ascii="Cambria Math" w:hAnsi="Cambria Math"/>
                          </w:rPr>
                          <m:t>t </m:t>
                        </m:r>
                        <m:sSup>
                          <m:sSupPr>
                            <m:ctrlPr>
                              <w:rPr>
                                <w:rFonts w:ascii="Cambria Math" w:hAnsi="Cambria Math"/>
                                <w:i/>
                                <w:iCs/>
                              </w:rPr>
                            </m:ctrlPr>
                          </m:sSupPr>
                          <m:e>
                            <m:r>
                              <w:rPr>
                                <w:rFonts w:ascii="Cambria Math" w:hAnsi="Cambria Math"/>
                              </w:rPr>
                              <m:t>e</m:t>
                            </m:r>
                          </m:e>
                          <m:sup>
                            <m:r>
                              <w:rPr>
                                <w:rFonts w:ascii="Cambria Math" w:hAnsi="Cambria Math"/>
                              </w:rPr>
                              <m:t>-μx</m:t>
                            </m:r>
                          </m:sup>
                        </m:sSup>
                      </m:e>
                    </m:d>
                  </m:e>
                </m:func>
              </m:oMath>
            </m:oMathPara>
          </w:p>
        </w:tc>
        <w:tc>
          <w:tcPr>
            <w:tcW w:w="5395" w:type="dxa"/>
          </w:tcPr>
          <w:p w14:paraId="5581DB3B" w14:textId="3A4232DA" w:rsidR="00890E7F" w:rsidRDefault="00890E7F" w:rsidP="00A625CB">
            <w:pPr>
              <w:rPr>
                <w:lang w:val="en-IN"/>
              </w:rPr>
            </w:pPr>
            <w:r>
              <w:rPr>
                <w:lang w:val="en-IN"/>
              </w:rPr>
              <w:t>(12)</w:t>
            </w:r>
          </w:p>
        </w:tc>
      </w:tr>
      <w:tr w:rsidR="00890E7F" w14:paraId="400F0AA9" w14:textId="77777777" w:rsidTr="00A625CB">
        <w:tc>
          <w:tcPr>
            <w:tcW w:w="5395" w:type="dxa"/>
          </w:tcPr>
          <w:p w14:paraId="0992960C" w14:textId="301DAA8B" w:rsidR="00890E7F" w:rsidRDefault="00000000" w:rsidP="00A625CB">
            <w:pPr>
              <w:rPr>
                <w:lang w:val="en-IN"/>
              </w:rPr>
            </w:pPr>
            <m:oMathPara>
              <m:oMath>
                <m:func>
                  <m:funcPr>
                    <m:ctrlPr>
                      <w:rPr>
                        <w:rFonts w:ascii="Cambria Math" w:hAnsi="Cambria Math"/>
                        <w:i/>
                        <w:iCs/>
                      </w:rPr>
                    </m:ctrlPr>
                  </m:funcPr>
                  <m:fName>
                    <m:r>
                      <w:rPr>
                        <w:rFonts w:ascii="Cambria Math" w:hAnsi="Cambria Math"/>
                      </w:rPr>
                      <m:t>ln</m:t>
                    </m:r>
                  </m:fName>
                  <m:e>
                    <m:d>
                      <m:dPr>
                        <m:ctrlPr>
                          <w:rPr>
                            <w:rFonts w:ascii="Cambria Math" w:hAnsi="Cambria Math"/>
                            <w:i/>
                            <w:iCs/>
                          </w:rPr>
                        </m:ctrlPr>
                      </m:dPr>
                      <m:e>
                        <m:r>
                          <w:rPr>
                            <w:rFonts w:ascii="Cambria Math" w:hAnsi="Cambria Math"/>
                          </w:rPr>
                          <m:t>-</m:t>
                        </m:r>
                        <m:func>
                          <m:funcPr>
                            <m:ctrlPr>
                              <w:rPr>
                                <w:rFonts w:ascii="Cambria Math" w:hAnsi="Cambria Math"/>
                                <w:i/>
                                <w:iCs/>
                              </w:rPr>
                            </m:ctrlPr>
                          </m:funcPr>
                          <m:fName>
                            <m:r>
                              <w:rPr>
                                <w:rFonts w:ascii="Cambria Math" w:hAnsi="Cambria Math"/>
                              </w:rPr>
                              <m:t>ln</m:t>
                            </m:r>
                          </m:fName>
                          <m:e>
                            <m:d>
                              <m:dPr>
                                <m:ctrlPr>
                                  <w:rPr>
                                    <w:rFonts w:ascii="Cambria Math" w:hAnsi="Cambria Math"/>
                                    <w:i/>
                                    <w:iCs/>
                                  </w:rPr>
                                </m:ctrlPr>
                              </m:dPr>
                              <m:e>
                                <m:acc>
                                  <m:accPr>
                                    <m:chr m:val="̅"/>
                                    <m:ctrlPr>
                                      <w:rPr>
                                        <w:rFonts w:ascii="Cambria Math" w:hAnsi="Cambria Math"/>
                                        <w:i/>
                                        <w:iCs/>
                                      </w:rPr>
                                    </m:ctrlPr>
                                  </m:accPr>
                                  <m:e>
                                    <m:r>
                                      <w:rPr>
                                        <w:rFonts w:ascii="Cambria Math" w:hAnsi="Cambria Math"/>
                                      </w:rPr>
                                      <m:t>n</m:t>
                                    </m:r>
                                  </m:e>
                                </m:acc>
                                <m:d>
                                  <m:dPr>
                                    <m:ctrlPr>
                                      <w:rPr>
                                        <w:rFonts w:ascii="Cambria Math" w:hAnsi="Cambria Math"/>
                                        <w:i/>
                                        <w:iCs/>
                                      </w:rPr>
                                    </m:ctrlPr>
                                  </m:dPr>
                                  <m:e>
                                    <m:r>
                                      <w:rPr>
                                        <w:rFonts w:ascii="Cambria Math" w:hAnsi="Cambria Math"/>
                                      </w:rPr>
                                      <m:t>x,t</m:t>
                                    </m:r>
                                  </m:e>
                                </m:d>
                              </m:e>
                            </m:d>
                          </m:e>
                        </m:func>
                      </m:e>
                    </m:d>
                  </m:e>
                </m:func>
                <m:r>
                  <w:rPr>
                    <w:rFonts w:ascii="Cambria Math" w:hAnsi="Cambria Math"/>
                  </w:rPr>
                  <m:t>=</m:t>
                </m:r>
                <m:f>
                  <m:fPr>
                    <m:ctrlPr>
                      <w:rPr>
                        <w:rFonts w:ascii="Cambria Math" w:hAnsi="Cambria Math"/>
                        <w:i/>
                        <w:iCs/>
                      </w:rPr>
                    </m:ctrlPr>
                  </m:fPr>
                  <m:num>
                    <m:func>
                      <m:funcPr>
                        <m:ctrlPr>
                          <w:rPr>
                            <w:rFonts w:ascii="Cambria Math" w:hAnsi="Cambria Math"/>
                            <w:i/>
                            <w:iCs/>
                          </w:rPr>
                        </m:ctrlPr>
                      </m:funcPr>
                      <m:fName>
                        <m:r>
                          <w:rPr>
                            <w:rFonts w:ascii="Cambria Math" w:hAnsi="Cambria Math"/>
                          </w:rPr>
                          <m:t>ln</m:t>
                        </m:r>
                      </m:fName>
                      <m:e>
                        <m:d>
                          <m:dPr>
                            <m:ctrlPr>
                              <w:rPr>
                                <w:rFonts w:ascii="Cambria Math" w:hAnsi="Cambria Math"/>
                                <w:i/>
                                <w:iCs/>
                              </w:rPr>
                            </m:ctrlPr>
                          </m:dPr>
                          <m:e>
                            <m:acc>
                              <m:accPr>
                                <m:chr m:val="̅"/>
                                <m:ctrlPr>
                                  <w:rPr>
                                    <w:rFonts w:ascii="Cambria Math" w:eastAsiaTheme="minorHAnsi" w:hAnsi="Cambria Math"/>
                                    <w:i/>
                                    <w:iCs/>
                                    <w:color w:val="auto"/>
                                    <w:kern w:val="2"/>
                                    <w:sz w:val="24"/>
                                    <w:szCs w:val="24"/>
                                    <w:lang w:val="en-IN"/>
                                    <w14:ligatures w14:val="standardContextual"/>
                                  </w:rPr>
                                </m:ctrlPr>
                              </m:accPr>
                              <m:e>
                                <m:r>
                                  <w:rPr>
                                    <w:rFonts w:ascii="Cambria Math" w:hAnsi="Cambria Math"/>
                                  </w:rPr>
                                  <m:t>σ</m:t>
                                </m:r>
                                <m:sSub>
                                  <m:sSubPr>
                                    <m:ctrlPr>
                                      <w:rPr>
                                        <w:rFonts w:ascii="Cambria Math" w:hAnsi="Cambria Math"/>
                                        <w:i/>
                                        <w:iCs/>
                                      </w:rPr>
                                    </m:ctrlPr>
                                  </m:sSubPr>
                                  <m:e>
                                    <m:r>
                                      <w:rPr>
                                        <w:rFonts w:ascii="Cambria Math" w:hAnsi="Cambria Math"/>
                                      </w:rPr>
                                      <m:t>ϕ</m:t>
                                    </m:r>
                                  </m:e>
                                  <m:sub>
                                    <m:r>
                                      <w:rPr>
                                        <w:rFonts w:ascii="Cambria Math" w:hAnsi="Cambria Math"/>
                                      </w:rPr>
                                      <m:t>0</m:t>
                                    </m:r>
                                  </m:sub>
                                </m:sSub>
                              </m:e>
                            </m:acc>
                            <m:r>
                              <w:rPr>
                                <w:rFonts w:ascii="Cambria Math" w:hAnsi="Cambria Math"/>
                              </w:rPr>
                              <m:t>t</m:t>
                            </m:r>
                          </m:e>
                        </m:d>
                      </m:e>
                    </m:func>
                  </m:num>
                  <m:den>
                    <m:r>
                      <w:rPr>
                        <w:rFonts w:ascii="Cambria Math" w:hAnsi="Cambria Math"/>
                      </w:rPr>
                      <m:t>2.3</m:t>
                    </m:r>
                  </m:den>
                </m:f>
                <m:r>
                  <w:rPr>
                    <w:rFonts w:ascii="Cambria Math" w:hAnsi="Cambria Math"/>
                  </w:rPr>
                  <m:t>-μx</m:t>
                </m:r>
              </m:oMath>
            </m:oMathPara>
          </w:p>
        </w:tc>
        <w:tc>
          <w:tcPr>
            <w:tcW w:w="5395" w:type="dxa"/>
          </w:tcPr>
          <w:p w14:paraId="57931164" w14:textId="2B3ABEC1" w:rsidR="00890E7F" w:rsidRDefault="00890E7F" w:rsidP="00A625CB">
            <w:pPr>
              <w:rPr>
                <w:lang w:val="en-IN"/>
              </w:rPr>
            </w:pPr>
            <w:r>
              <w:rPr>
                <w:lang w:val="en-IN"/>
              </w:rPr>
              <w:t>(13)</w:t>
            </w:r>
          </w:p>
        </w:tc>
      </w:tr>
    </w:tbl>
    <w:p w14:paraId="002BFF54" w14:textId="06AD8A27" w:rsidR="00BA3F3D" w:rsidRPr="001207B8" w:rsidRDefault="005F01B1" w:rsidP="00BA3F3D">
      <w:r>
        <w:t xml:space="preserve"> This explains for the same double logarithmic values of </w:t>
      </w:r>
      <m:oMath>
        <m:acc>
          <m:accPr>
            <m:chr m:val="̅"/>
            <m:ctrlPr>
              <w:rPr>
                <w:rFonts w:ascii="Cambria Math" w:hAnsi="Cambria Math"/>
                <w:i/>
                <w:iCs/>
              </w:rPr>
            </m:ctrlPr>
          </m:accPr>
          <m:e>
            <m:r>
              <w:rPr>
                <w:rFonts w:ascii="Cambria Math" w:hAnsi="Cambria Math"/>
              </w:rPr>
              <m:t>n</m:t>
            </m:r>
          </m:e>
        </m:acc>
      </m:oMath>
      <w:r>
        <w:t xml:space="preserve"> </w:t>
      </w:r>
      <w:r w:rsidR="001207B8">
        <w:t>there</w:t>
      </w:r>
      <w:r>
        <w:t xml:space="preserve"> might be infinite combination of </w:t>
      </w:r>
      <m:oMath>
        <m:func>
          <m:funcPr>
            <m:ctrlPr>
              <w:rPr>
                <w:rFonts w:ascii="Cambria Math" w:hAnsi="Cambria Math"/>
                <w:i/>
                <w:iCs/>
              </w:rPr>
            </m:ctrlPr>
          </m:funcPr>
          <m:fName>
            <m:r>
              <w:rPr>
                <w:rFonts w:ascii="Cambria Math" w:hAnsi="Cambria Math"/>
              </w:rPr>
              <m:t>ln</m:t>
            </m:r>
          </m:fName>
          <m:e>
            <m:d>
              <m:dPr>
                <m:ctrlPr>
                  <w:rPr>
                    <w:rFonts w:ascii="Cambria Math" w:hAnsi="Cambria Math"/>
                    <w:i/>
                    <w:iCs/>
                  </w:rPr>
                </m:ctrlPr>
              </m:dPr>
              <m:e>
                <m:acc>
                  <m:accPr>
                    <m:chr m:val="̅"/>
                    <m:ctrlPr>
                      <w:rPr>
                        <w:rFonts w:ascii="Cambria Math" w:eastAsiaTheme="minorHAnsi" w:hAnsi="Cambria Math"/>
                        <w:i/>
                        <w:iCs/>
                        <w:color w:val="auto"/>
                        <w:kern w:val="2"/>
                        <w:sz w:val="24"/>
                        <w:szCs w:val="24"/>
                        <w:lang w:val="en-IN"/>
                        <w14:ligatures w14:val="standardContextual"/>
                      </w:rPr>
                    </m:ctrlPr>
                  </m:accPr>
                  <m:e>
                    <m:r>
                      <w:rPr>
                        <w:rFonts w:ascii="Cambria Math" w:hAnsi="Cambria Math"/>
                      </w:rPr>
                      <m:t>σ</m:t>
                    </m:r>
                    <m:sSub>
                      <m:sSubPr>
                        <m:ctrlPr>
                          <w:rPr>
                            <w:rFonts w:ascii="Cambria Math" w:hAnsi="Cambria Math"/>
                            <w:i/>
                            <w:iCs/>
                          </w:rPr>
                        </m:ctrlPr>
                      </m:sSubPr>
                      <m:e>
                        <m:r>
                          <w:rPr>
                            <w:rFonts w:ascii="Cambria Math" w:hAnsi="Cambria Math"/>
                          </w:rPr>
                          <m:t>ϕ</m:t>
                        </m:r>
                      </m:e>
                      <m:sub>
                        <m:r>
                          <w:rPr>
                            <w:rFonts w:ascii="Cambria Math" w:hAnsi="Cambria Math"/>
                          </w:rPr>
                          <m:t>0</m:t>
                        </m:r>
                      </m:sub>
                    </m:sSub>
                  </m:e>
                </m:acc>
              </m:e>
            </m:d>
          </m:e>
        </m:func>
      </m:oMath>
      <w:r w:rsidR="001207B8">
        <w:rPr>
          <w:iCs/>
        </w:rPr>
        <w:t xml:space="preserve"> and </w:t>
      </w:r>
      <m:oMath>
        <m:r>
          <m:rPr>
            <m:sty m:val="p"/>
          </m:rPr>
          <w:rPr>
            <w:rFonts w:ascii="Cambria Math" w:hAnsi="Cambria Math" w:cs="Times New Roman"/>
            <w:lang w:val="en-IN"/>
          </w:rPr>
          <m:t>µ</m:t>
        </m:r>
      </m:oMath>
      <w:r w:rsidR="001207B8">
        <w:rPr>
          <w:lang w:val="en-IN"/>
        </w:rPr>
        <w:t xml:space="preserve"> can be possible for same luminescence depth profile and constant exposure time value; and also there is inverse correlation between </w:t>
      </w:r>
      <m:oMath>
        <m:func>
          <m:funcPr>
            <m:ctrlPr>
              <w:rPr>
                <w:rFonts w:ascii="Cambria Math" w:hAnsi="Cambria Math"/>
                <w:i/>
                <w:iCs/>
              </w:rPr>
            </m:ctrlPr>
          </m:funcPr>
          <m:fName>
            <m:r>
              <w:rPr>
                <w:rFonts w:ascii="Cambria Math" w:hAnsi="Cambria Math"/>
              </w:rPr>
              <m:t>ln</m:t>
            </m:r>
          </m:fName>
          <m:e>
            <m:d>
              <m:dPr>
                <m:ctrlPr>
                  <w:rPr>
                    <w:rFonts w:ascii="Cambria Math" w:hAnsi="Cambria Math"/>
                    <w:i/>
                    <w:iCs/>
                  </w:rPr>
                </m:ctrlPr>
              </m:dPr>
              <m:e>
                <m:acc>
                  <m:accPr>
                    <m:chr m:val="̅"/>
                    <m:ctrlPr>
                      <w:rPr>
                        <w:rFonts w:ascii="Cambria Math" w:eastAsiaTheme="minorHAnsi" w:hAnsi="Cambria Math"/>
                        <w:i/>
                        <w:iCs/>
                        <w:color w:val="auto"/>
                        <w:kern w:val="2"/>
                        <w:sz w:val="24"/>
                        <w:szCs w:val="24"/>
                        <w:lang w:val="en-IN"/>
                        <w14:ligatures w14:val="standardContextual"/>
                      </w:rPr>
                    </m:ctrlPr>
                  </m:accPr>
                  <m:e>
                    <m:r>
                      <w:rPr>
                        <w:rFonts w:ascii="Cambria Math" w:hAnsi="Cambria Math"/>
                      </w:rPr>
                      <m:t>σ</m:t>
                    </m:r>
                    <m:sSub>
                      <m:sSubPr>
                        <m:ctrlPr>
                          <w:rPr>
                            <w:rFonts w:ascii="Cambria Math" w:hAnsi="Cambria Math"/>
                            <w:i/>
                            <w:iCs/>
                          </w:rPr>
                        </m:ctrlPr>
                      </m:sSubPr>
                      <m:e>
                        <m:r>
                          <w:rPr>
                            <w:rFonts w:ascii="Cambria Math" w:hAnsi="Cambria Math"/>
                          </w:rPr>
                          <m:t>ϕ</m:t>
                        </m:r>
                      </m:e>
                      <m:sub>
                        <m:r>
                          <w:rPr>
                            <w:rFonts w:ascii="Cambria Math" w:hAnsi="Cambria Math"/>
                          </w:rPr>
                          <m:t>0</m:t>
                        </m:r>
                      </m:sub>
                    </m:sSub>
                  </m:e>
                </m:acc>
              </m:e>
            </m:d>
          </m:e>
        </m:func>
      </m:oMath>
      <w:r w:rsidR="001207B8">
        <w:rPr>
          <w:iCs/>
        </w:rPr>
        <w:t xml:space="preserve"> and </w:t>
      </w:r>
      <m:oMath>
        <m:r>
          <m:rPr>
            <m:sty m:val="p"/>
          </m:rPr>
          <w:rPr>
            <w:rFonts w:ascii="Cambria Math" w:hAnsi="Cambria Math" w:cs="Times New Roman"/>
            <w:lang w:val="en-IN"/>
          </w:rPr>
          <m:t>µ</m:t>
        </m:r>
      </m:oMath>
      <w:r w:rsidR="001207B8">
        <w:rPr>
          <w:iCs/>
          <w:lang w:val="en-IN"/>
        </w:rPr>
        <w:t>.</w:t>
      </w:r>
      <w:r w:rsidR="003C189F">
        <w:rPr>
          <w:iCs/>
          <w:lang w:val="en-IN"/>
        </w:rPr>
        <w:t xml:space="preserve"> </w:t>
      </w:r>
    </w:p>
    <w:p w14:paraId="745E8626" w14:textId="453452BA" w:rsidR="00A84F4D" w:rsidRDefault="00A84F4D" w:rsidP="00A84F4D">
      <w:pPr>
        <w:pStyle w:val="Heading1"/>
      </w:pPr>
      <w:r>
        <w:t>References:</w:t>
      </w:r>
    </w:p>
    <w:p w14:paraId="0FE08A8E" w14:textId="77777777" w:rsidR="00055071" w:rsidRPr="00055071" w:rsidRDefault="009023B0" w:rsidP="00055071">
      <w:pPr>
        <w:pStyle w:val="EndNoteBibliography"/>
        <w:spacing w:after="0"/>
      </w:pPr>
      <w:r>
        <w:fldChar w:fldCharType="begin"/>
      </w:r>
      <w:r>
        <w:instrText xml:space="preserve"> ADDIN EN.REFLIST </w:instrText>
      </w:r>
      <w:r>
        <w:fldChar w:fldCharType="separate"/>
      </w:r>
      <w:r w:rsidR="00055071" w:rsidRPr="00055071">
        <w:t>Elkadi, J., King, G. E., Lehmann, B. and Herman, F.: Reducing variability in OSL rock surface dating profiles, Quaternary Geochronology, 64, 101169, 10.1016/j.quageo.2021.101169, 2021.</w:t>
      </w:r>
    </w:p>
    <w:p w14:paraId="5B9BBEB1" w14:textId="2F54900A" w:rsidR="00055071" w:rsidRPr="00055071" w:rsidRDefault="00055071" w:rsidP="00055071">
      <w:pPr>
        <w:pStyle w:val="EndNoteBibliography"/>
        <w:spacing w:after="0"/>
      </w:pPr>
      <w:r w:rsidRPr="00055071">
        <w:t xml:space="preserve">Jenkins, G. T. H., Duller, G. A. T., Roberts, H. M., Chiverrell, R. C. and Glasser, N. F.: A new approach for luminescence dating glaciofluvial deposits - High precision optical dating of cobbles, Quaternary Science Reviews, 192, 263–273, </w:t>
      </w:r>
      <w:hyperlink r:id="rId14" w:history="1">
        <w:r w:rsidRPr="00055071">
          <w:rPr>
            <w:rStyle w:val="Hyperlink"/>
          </w:rPr>
          <w:t>https://doi.org/10.1016/j.quascirev.2018.05.036</w:t>
        </w:r>
      </w:hyperlink>
      <w:r w:rsidRPr="00055071">
        <w:t>, 2018.</w:t>
      </w:r>
    </w:p>
    <w:p w14:paraId="0DA43F59" w14:textId="77777777" w:rsidR="00055071" w:rsidRPr="00055071" w:rsidRDefault="00055071" w:rsidP="00055071">
      <w:pPr>
        <w:pStyle w:val="EndNoteBibliography"/>
      </w:pPr>
      <w:r w:rsidRPr="00055071">
        <w:t>Sohbati, R., Liu, J., Jain, M., Murray, A., Egholm, D., Paris, R. and Guralnik, B.: Centennial- to millennial-scale hard rock erosion rates deduced from luminescence-depth profiles, Earth and Planetary Science Letters, 493, 218–230, 10.1016/j.epsl.2018.04.017, 2018.</w:t>
      </w:r>
    </w:p>
    <w:p w14:paraId="2455673B" w14:textId="7BC69DE4" w:rsidR="00CD5881" w:rsidRPr="00276F7C" w:rsidRDefault="009023B0" w:rsidP="00CD5881">
      <w:r>
        <w:rPr>
          <w:noProof/>
        </w:rPr>
        <w:fldChar w:fldCharType="end"/>
      </w:r>
    </w:p>
    <w:sectPr w:rsidR="00CD5881" w:rsidRPr="00276F7C" w:rsidSect="003B3662">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urier">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ptos Serif">
    <w:charset w:val="00"/>
    <w:family w:val="roman"/>
    <w:pitch w:val="variable"/>
    <w:sig w:usb0="A11526FF" w:usb1="C000ECFB" w:usb2="0001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0154834"/>
    <w:multiLevelType w:val="multilevel"/>
    <w:tmpl w:val="76586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0A99411"/>
    <w:multiLevelType w:val="multilevel"/>
    <w:tmpl w:val="D644AAA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00EF03E6"/>
    <w:multiLevelType w:val="multilevel"/>
    <w:tmpl w:val="6C1A7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2650350"/>
    <w:multiLevelType w:val="multilevel"/>
    <w:tmpl w:val="805CE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9A23772"/>
    <w:multiLevelType w:val="multilevel"/>
    <w:tmpl w:val="B4A84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A9C2C14"/>
    <w:multiLevelType w:val="multilevel"/>
    <w:tmpl w:val="79926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E94A7A"/>
    <w:multiLevelType w:val="multilevel"/>
    <w:tmpl w:val="F6FE3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E9C167B"/>
    <w:multiLevelType w:val="multilevel"/>
    <w:tmpl w:val="4650D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2377182"/>
    <w:multiLevelType w:val="multilevel"/>
    <w:tmpl w:val="B6546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4F774E0"/>
    <w:multiLevelType w:val="multilevel"/>
    <w:tmpl w:val="00C84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8AE0166"/>
    <w:multiLevelType w:val="multilevel"/>
    <w:tmpl w:val="9DAC3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AF55C04"/>
    <w:multiLevelType w:val="multilevel"/>
    <w:tmpl w:val="B1827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A36295"/>
    <w:multiLevelType w:val="multilevel"/>
    <w:tmpl w:val="79762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BBB1667"/>
    <w:multiLevelType w:val="multilevel"/>
    <w:tmpl w:val="5956C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CD72A8D"/>
    <w:multiLevelType w:val="multilevel"/>
    <w:tmpl w:val="49BC2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0423815"/>
    <w:multiLevelType w:val="multilevel"/>
    <w:tmpl w:val="706AF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13515D6"/>
    <w:multiLevelType w:val="multilevel"/>
    <w:tmpl w:val="43D4A6F8"/>
    <w:lvl w:ilvl="0">
      <w:start w:val="1"/>
      <w:numFmt w:val="decimal"/>
      <w:pStyle w:val="Heading1"/>
      <w:lvlText w:val="S%1"/>
      <w:lvlJc w:val="left"/>
      <w:pPr>
        <w:ind w:left="432" w:hanging="432"/>
      </w:pPr>
      <w:rPr>
        <w:rFonts w:hint="default"/>
      </w:rPr>
    </w:lvl>
    <w:lvl w:ilvl="1">
      <w:start w:val="1"/>
      <w:numFmt w:val="decimal"/>
      <w:pStyle w:val="Heading2"/>
      <w:lvlText w:val="S%1.%2"/>
      <w:lvlJc w:val="left"/>
      <w:pPr>
        <w:ind w:left="576" w:hanging="576"/>
      </w:pPr>
      <w:rPr>
        <w:rFonts w:hint="default"/>
      </w:rPr>
    </w:lvl>
    <w:lvl w:ilvl="2">
      <w:start w:val="1"/>
      <w:numFmt w:val="decimal"/>
      <w:pStyle w:val="Heading3"/>
      <w:lvlText w:val="S%1.%2.%3"/>
      <w:lvlJc w:val="left"/>
      <w:pPr>
        <w:ind w:left="720" w:hanging="720"/>
      </w:pPr>
      <w:rPr>
        <w:rFonts w:hint="default"/>
      </w:rPr>
    </w:lvl>
    <w:lvl w:ilvl="3">
      <w:start w:val="1"/>
      <w:numFmt w:val="decimal"/>
      <w:pStyle w:val="Heading4"/>
      <w:lvlText w:val="S%1.%2.%3.%4"/>
      <w:lvlJc w:val="left"/>
      <w:pPr>
        <w:ind w:left="864" w:hanging="864"/>
      </w:pPr>
      <w:rPr>
        <w:rFonts w:hint="default"/>
      </w:rPr>
    </w:lvl>
    <w:lvl w:ilvl="4">
      <w:start w:val="1"/>
      <w:numFmt w:val="decimal"/>
      <w:pStyle w:val="Heading5"/>
      <w:lvlText w:val="S%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27A9361E"/>
    <w:multiLevelType w:val="hybridMultilevel"/>
    <w:tmpl w:val="ED0A475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28661C26"/>
    <w:multiLevelType w:val="multilevel"/>
    <w:tmpl w:val="436C1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87E2F6F"/>
    <w:multiLevelType w:val="multilevel"/>
    <w:tmpl w:val="F88CB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D484F14"/>
    <w:multiLevelType w:val="multilevel"/>
    <w:tmpl w:val="EB98E0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DA25946"/>
    <w:multiLevelType w:val="multilevel"/>
    <w:tmpl w:val="36BC4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ECC7C26"/>
    <w:multiLevelType w:val="multilevel"/>
    <w:tmpl w:val="3926D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14D26FD"/>
    <w:multiLevelType w:val="multilevel"/>
    <w:tmpl w:val="FC6E9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5054781"/>
    <w:multiLevelType w:val="multilevel"/>
    <w:tmpl w:val="AC98E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903687F"/>
    <w:multiLevelType w:val="multilevel"/>
    <w:tmpl w:val="16B43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9C27EF9"/>
    <w:multiLevelType w:val="multilevel"/>
    <w:tmpl w:val="E3640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BC93FD5"/>
    <w:multiLevelType w:val="multilevel"/>
    <w:tmpl w:val="14041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C7225F0"/>
    <w:multiLevelType w:val="multilevel"/>
    <w:tmpl w:val="36303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DDE3FFA"/>
    <w:multiLevelType w:val="multilevel"/>
    <w:tmpl w:val="207ED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1B74CD1"/>
    <w:multiLevelType w:val="multilevel"/>
    <w:tmpl w:val="4F5A9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4AA70C7"/>
    <w:multiLevelType w:val="multilevel"/>
    <w:tmpl w:val="BA7A8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6957407"/>
    <w:multiLevelType w:val="multilevel"/>
    <w:tmpl w:val="03401A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6D346F6"/>
    <w:multiLevelType w:val="multilevel"/>
    <w:tmpl w:val="073CE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6FA2BD0"/>
    <w:multiLevelType w:val="multilevel"/>
    <w:tmpl w:val="23328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7490BFD"/>
    <w:multiLevelType w:val="multilevel"/>
    <w:tmpl w:val="111A6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7BB04E7"/>
    <w:multiLevelType w:val="multilevel"/>
    <w:tmpl w:val="9E607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4817512F"/>
    <w:multiLevelType w:val="multilevel"/>
    <w:tmpl w:val="9CD4F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CF80D65"/>
    <w:multiLevelType w:val="multilevel"/>
    <w:tmpl w:val="192E5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4656433"/>
    <w:multiLevelType w:val="multilevel"/>
    <w:tmpl w:val="65280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64F4A57"/>
    <w:multiLevelType w:val="multilevel"/>
    <w:tmpl w:val="8604B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6582E37"/>
    <w:multiLevelType w:val="multilevel"/>
    <w:tmpl w:val="5844B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75A682E"/>
    <w:multiLevelType w:val="multilevel"/>
    <w:tmpl w:val="0A3C0C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57743D94"/>
    <w:multiLevelType w:val="multilevel"/>
    <w:tmpl w:val="5358C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80D3762"/>
    <w:multiLevelType w:val="multilevel"/>
    <w:tmpl w:val="F28EE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B3139FB"/>
    <w:multiLevelType w:val="multilevel"/>
    <w:tmpl w:val="08EA4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BDE0ACE"/>
    <w:multiLevelType w:val="multilevel"/>
    <w:tmpl w:val="5F0CC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D7066E9"/>
    <w:multiLevelType w:val="multilevel"/>
    <w:tmpl w:val="6ACEE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DEA29D2"/>
    <w:multiLevelType w:val="multilevel"/>
    <w:tmpl w:val="0AE68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25A6736"/>
    <w:multiLevelType w:val="multilevel"/>
    <w:tmpl w:val="85EC4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26A46F9"/>
    <w:multiLevelType w:val="multilevel"/>
    <w:tmpl w:val="17127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2A52767"/>
    <w:multiLevelType w:val="multilevel"/>
    <w:tmpl w:val="BC00D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81244D0"/>
    <w:multiLevelType w:val="multilevel"/>
    <w:tmpl w:val="461C2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FB66AAB"/>
    <w:multiLevelType w:val="multilevel"/>
    <w:tmpl w:val="CA9C5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2724152"/>
    <w:multiLevelType w:val="multilevel"/>
    <w:tmpl w:val="5388F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37D6229"/>
    <w:multiLevelType w:val="hybridMultilevel"/>
    <w:tmpl w:val="044AF896"/>
    <w:lvl w:ilvl="0" w:tplc="4009000F">
      <w:start w:val="1"/>
      <w:numFmt w:val="decimal"/>
      <w:lvlText w:val="%1."/>
      <w:lvlJc w:val="left"/>
      <w:pPr>
        <w:ind w:left="766" w:hanging="360"/>
      </w:pPr>
    </w:lvl>
    <w:lvl w:ilvl="1" w:tplc="40090019" w:tentative="1">
      <w:start w:val="1"/>
      <w:numFmt w:val="lowerLetter"/>
      <w:lvlText w:val="%2."/>
      <w:lvlJc w:val="left"/>
      <w:pPr>
        <w:ind w:left="1486" w:hanging="360"/>
      </w:pPr>
    </w:lvl>
    <w:lvl w:ilvl="2" w:tplc="4009001B" w:tentative="1">
      <w:start w:val="1"/>
      <w:numFmt w:val="lowerRoman"/>
      <w:lvlText w:val="%3."/>
      <w:lvlJc w:val="right"/>
      <w:pPr>
        <w:ind w:left="2206" w:hanging="180"/>
      </w:pPr>
    </w:lvl>
    <w:lvl w:ilvl="3" w:tplc="4009000F" w:tentative="1">
      <w:start w:val="1"/>
      <w:numFmt w:val="decimal"/>
      <w:lvlText w:val="%4."/>
      <w:lvlJc w:val="left"/>
      <w:pPr>
        <w:ind w:left="2926" w:hanging="360"/>
      </w:pPr>
    </w:lvl>
    <w:lvl w:ilvl="4" w:tplc="40090019" w:tentative="1">
      <w:start w:val="1"/>
      <w:numFmt w:val="lowerLetter"/>
      <w:lvlText w:val="%5."/>
      <w:lvlJc w:val="left"/>
      <w:pPr>
        <w:ind w:left="3646" w:hanging="360"/>
      </w:pPr>
    </w:lvl>
    <w:lvl w:ilvl="5" w:tplc="4009001B" w:tentative="1">
      <w:start w:val="1"/>
      <w:numFmt w:val="lowerRoman"/>
      <w:lvlText w:val="%6."/>
      <w:lvlJc w:val="right"/>
      <w:pPr>
        <w:ind w:left="4366" w:hanging="180"/>
      </w:pPr>
    </w:lvl>
    <w:lvl w:ilvl="6" w:tplc="4009000F" w:tentative="1">
      <w:start w:val="1"/>
      <w:numFmt w:val="decimal"/>
      <w:lvlText w:val="%7."/>
      <w:lvlJc w:val="left"/>
      <w:pPr>
        <w:ind w:left="5086" w:hanging="360"/>
      </w:pPr>
    </w:lvl>
    <w:lvl w:ilvl="7" w:tplc="40090019" w:tentative="1">
      <w:start w:val="1"/>
      <w:numFmt w:val="lowerLetter"/>
      <w:lvlText w:val="%8."/>
      <w:lvlJc w:val="left"/>
      <w:pPr>
        <w:ind w:left="5806" w:hanging="360"/>
      </w:pPr>
    </w:lvl>
    <w:lvl w:ilvl="8" w:tplc="4009001B" w:tentative="1">
      <w:start w:val="1"/>
      <w:numFmt w:val="lowerRoman"/>
      <w:lvlText w:val="%9."/>
      <w:lvlJc w:val="right"/>
      <w:pPr>
        <w:ind w:left="6526" w:hanging="180"/>
      </w:pPr>
    </w:lvl>
  </w:abstractNum>
  <w:abstractNum w:abstractNumId="62" w15:restartNumberingAfterBreak="0">
    <w:nsid w:val="774B4F28"/>
    <w:multiLevelType w:val="multilevel"/>
    <w:tmpl w:val="CAA0F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780379E"/>
    <w:multiLevelType w:val="multilevel"/>
    <w:tmpl w:val="B8368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8B9332E"/>
    <w:multiLevelType w:val="multilevel"/>
    <w:tmpl w:val="2F1CA6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AB3736E"/>
    <w:multiLevelType w:val="multilevel"/>
    <w:tmpl w:val="2D543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AB41217"/>
    <w:multiLevelType w:val="hybridMultilevel"/>
    <w:tmpl w:val="8196FF1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16cid:durableId="860316326">
    <w:abstractNumId w:val="5"/>
  </w:num>
  <w:num w:numId="2" w16cid:durableId="596905548">
    <w:abstractNumId w:val="3"/>
  </w:num>
  <w:num w:numId="3" w16cid:durableId="373968914">
    <w:abstractNumId w:val="2"/>
  </w:num>
  <w:num w:numId="4" w16cid:durableId="750006542">
    <w:abstractNumId w:val="4"/>
  </w:num>
  <w:num w:numId="5" w16cid:durableId="42564986">
    <w:abstractNumId w:val="1"/>
  </w:num>
  <w:num w:numId="6" w16cid:durableId="2000307034">
    <w:abstractNumId w:val="0"/>
  </w:num>
  <w:num w:numId="7" w16cid:durableId="1730229416">
    <w:abstractNumId w:val="40"/>
  </w:num>
  <w:num w:numId="8" w16cid:durableId="290593560">
    <w:abstractNumId w:val="54"/>
  </w:num>
  <w:num w:numId="9" w16cid:durableId="132448617">
    <w:abstractNumId w:val="21"/>
  </w:num>
  <w:num w:numId="10" w16cid:durableId="1167860353">
    <w:abstractNumId w:val="45"/>
  </w:num>
  <w:num w:numId="11" w16cid:durableId="330181217">
    <w:abstractNumId w:val="58"/>
  </w:num>
  <w:num w:numId="12" w16cid:durableId="923338920">
    <w:abstractNumId w:val="65"/>
  </w:num>
  <w:num w:numId="13" w16cid:durableId="1028607956">
    <w:abstractNumId w:val="36"/>
  </w:num>
  <w:num w:numId="14" w16cid:durableId="325476605">
    <w:abstractNumId w:val="38"/>
  </w:num>
  <w:num w:numId="15" w16cid:durableId="1260407416">
    <w:abstractNumId w:val="12"/>
  </w:num>
  <w:num w:numId="16" w16cid:durableId="707418185">
    <w:abstractNumId w:val="28"/>
  </w:num>
  <w:num w:numId="17" w16cid:durableId="1873348590">
    <w:abstractNumId w:val="29"/>
  </w:num>
  <w:num w:numId="18" w16cid:durableId="606738786">
    <w:abstractNumId w:val="13"/>
  </w:num>
  <w:num w:numId="19" w16cid:durableId="1323584894">
    <w:abstractNumId w:val="10"/>
  </w:num>
  <w:num w:numId="20" w16cid:durableId="1659188134">
    <w:abstractNumId w:val="18"/>
  </w:num>
  <w:num w:numId="21" w16cid:durableId="638652185">
    <w:abstractNumId w:val="19"/>
  </w:num>
  <w:num w:numId="22" w16cid:durableId="1901137782">
    <w:abstractNumId w:val="51"/>
  </w:num>
  <w:num w:numId="23" w16cid:durableId="651563988">
    <w:abstractNumId w:val="37"/>
  </w:num>
  <w:num w:numId="24" w16cid:durableId="1510758548">
    <w:abstractNumId w:val="41"/>
  </w:num>
  <w:num w:numId="25" w16cid:durableId="1103258082">
    <w:abstractNumId w:val="6"/>
  </w:num>
  <w:num w:numId="26" w16cid:durableId="32535320">
    <w:abstractNumId w:val="48"/>
  </w:num>
  <w:num w:numId="27" w16cid:durableId="1644188670">
    <w:abstractNumId w:val="24"/>
  </w:num>
  <w:num w:numId="28" w16cid:durableId="963195582">
    <w:abstractNumId w:val="63"/>
  </w:num>
  <w:num w:numId="29" w16cid:durableId="1149325298">
    <w:abstractNumId w:val="57"/>
  </w:num>
  <w:num w:numId="30" w16cid:durableId="1917089310">
    <w:abstractNumId w:val="42"/>
  </w:num>
  <w:num w:numId="31" w16cid:durableId="950012032">
    <w:abstractNumId w:val="60"/>
  </w:num>
  <w:num w:numId="32" w16cid:durableId="210768932">
    <w:abstractNumId w:val="50"/>
  </w:num>
  <w:num w:numId="33" w16cid:durableId="1779906516">
    <w:abstractNumId w:val="44"/>
  </w:num>
  <w:num w:numId="34" w16cid:durableId="784883039">
    <w:abstractNumId w:val="11"/>
  </w:num>
  <w:num w:numId="35" w16cid:durableId="1770853384">
    <w:abstractNumId w:val="53"/>
  </w:num>
  <w:num w:numId="36" w16cid:durableId="1741899727">
    <w:abstractNumId w:val="17"/>
  </w:num>
  <w:num w:numId="37" w16cid:durableId="1589576836">
    <w:abstractNumId w:val="9"/>
  </w:num>
  <w:num w:numId="38" w16cid:durableId="271790800">
    <w:abstractNumId w:val="59"/>
  </w:num>
  <w:num w:numId="39" w16cid:durableId="1288462524">
    <w:abstractNumId w:val="16"/>
  </w:num>
  <w:num w:numId="40" w16cid:durableId="1153831188">
    <w:abstractNumId w:val="39"/>
  </w:num>
  <w:num w:numId="41" w16cid:durableId="1693873297">
    <w:abstractNumId w:val="52"/>
  </w:num>
  <w:num w:numId="42" w16cid:durableId="1771002200">
    <w:abstractNumId w:val="34"/>
  </w:num>
  <w:num w:numId="43" w16cid:durableId="2030445046">
    <w:abstractNumId w:val="49"/>
  </w:num>
  <w:num w:numId="44" w16cid:durableId="1440293559">
    <w:abstractNumId w:val="31"/>
  </w:num>
  <w:num w:numId="45" w16cid:durableId="1246695055">
    <w:abstractNumId w:val="64"/>
  </w:num>
  <w:num w:numId="46" w16cid:durableId="1370447637">
    <w:abstractNumId w:val="30"/>
  </w:num>
  <w:num w:numId="47" w16cid:durableId="1096171241">
    <w:abstractNumId w:val="8"/>
  </w:num>
  <w:num w:numId="48" w16cid:durableId="783697841">
    <w:abstractNumId w:val="56"/>
  </w:num>
  <w:num w:numId="49" w16cid:durableId="700059129">
    <w:abstractNumId w:val="15"/>
  </w:num>
  <w:num w:numId="50" w16cid:durableId="1440443806">
    <w:abstractNumId w:val="27"/>
  </w:num>
  <w:num w:numId="51" w16cid:durableId="1384597413">
    <w:abstractNumId w:val="25"/>
  </w:num>
  <w:num w:numId="52" w16cid:durableId="959799432">
    <w:abstractNumId w:val="35"/>
  </w:num>
  <w:num w:numId="53" w16cid:durableId="1166288750">
    <w:abstractNumId w:val="43"/>
  </w:num>
  <w:num w:numId="54" w16cid:durableId="1227766411">
    <w:abstractNumId w:val="47"/>
  </w:num>
  <w:num w:numId="55" w16cid:durableId="1688824902">
    <w:abstractNumId w:val="20"/>
  </w:num>
  <w:num w:numId="56" w16cid:durableId="1121194965">
    <w:abstractNumId w:val="14"/>
  </w:num>
  <w:num w:numId="57" w16cid:durableId="848560656">
    <w:abstractNumId w:val="33"/>
  </w:num>
  <w:num w:numId="58" w16cid:durableId="1217624531">
    <w:abstractNumId w:val="46"/>
  </w:num>
  <w:num w:numId="59" w16cid:durableId="67852448">
    <w:abstractNumId w:val="55"/>
  </w:num>
  <w:num w:numId="60" w16cid:durableId="1527330822">
    <w:abstractNumId w:val="32"/>
  </w:num>
  <w:num w:numId="61" w16cid:durableId="1219053493">
    <w:abstractNumId w:val="26"/>
  </w:num>
  <w:num w:numId="62" w16cid:durableId="1499416637">
    <w:abstractNumId w:val="22"/>
  </w:num>
  <w:num w:numId="63" w16cid:durableId="2141069667">
    <w:abstractNumId w:val="62"/>
  </w:num>
  <w:num w:numId="64" w16cid:durableId="1140264132">
    <w:abstractNumId w:val="61"/>
  </w:num>
  <w:num w:numId="65" w16cid:durableId="5858433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656500695">
    <w:abstractNumId w:val="23"/>
  </w:num>
  <w:num w:numId="67" w16cid:durableId="1559365791">
    <w:abstractNumId w:val="66"/>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DIzsDS3MDEwsTSzMDNX0lEKTi0uzszPAykwNKoFABhS+9ctAAAA"/>
    <w:docVar w:name="EN.Layout" w:val="&lt;ENLayout&gt;&lt;Style&gt;Copernicus style &lt;/Style&gt;&lt;LeftDelim&gt;{&lt;/LeftDelim&gt;&lt;RightDelim&gt;}&lt;/RightDelim&gt;&lt;FontName&gt;Times New Roman&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wrzspea0tafares9davtfey2srv5ssdxdfd&quot;&gt;My EndNote Library&lt;record-ids&gt;&lt;item&gt;11&lt;/item&gt;&lt;item&gt;22&lt;/item&gt;&lt;item&gt;296&lt;/item&gt;&lt;/record-ids&gt;&lt;/item&gt;&lt;/Libraries&gt;"/>
  </w:docVars>
  <w:rsids>
    <w:rsidRoot w:val="00B47730"/>
    <w:rsid w:val="00034616"/>
    <w:rsid w:val="0004204E"/>
    <w:rsid w:val="00055071"/>
    <w:rsid w:val="0006063C"/>
    <w:rsid w:val="000C1FCB"/>
    <w:rsid w:val="000D2FE6"/>
    <w:rsid w:val="000D7E87"/>
    <w:rsid w:val="001207B8"/>
    <w:rsid w:val="00131DDC"/>
    <w:rsid w:val="0015074B"/>
    <w:rsid w:val="00164AF7"/>
    <w:rsid w:val="001751BE"/>
    <w:rsid w:val="0018798D"/>
    <w:rsid w:val="001966B5"/>
    <w:rsid w:val="001C0CA4"/>
    <w:rsid w:val="001F63AA"/>
    <w:rsid w:val="00223102"/>
    <w:rsid w:val="00276F7C"/>
    <w:rsid w:val="00291F69"/>
    <w:rsid w:val="0029639D"/>
    <w:rsid w:val="002E7A09"/>
    <w:rsid w:val="002F4C1E"/>
    <w:rsid w:val="002F5B1A"/>
    <w:rsid w:val="00301192"/>
    <w:rsid w:val="003100F4"/>
    <w:rsid w:val="00310A7C"/>
    <w:rsid w:val="00326F90"/>
    <w:rsid w:val="00344532"/>
    <w:rsid w:val="00364E0A"/>
    <w:rsid w:val="00365E56"/>
    <w:rsid w:val="0036667E"/>
    <w:rsid w:val="003836E9"/>
    <w:rsid w:val="00395631"/>
    <w:rsid w:val="003A4071"/>
    <w:rsid w:val="003B0D58"/>
    <w:rsid w:val="003B3662"/>
    <w:rsid w:val="003C01BA"/>
    <w:rsid w:val="003C189F"/>
    <w:rsid w:val="00406CCE"/>
    <w:rsid w:val="00417C6B"/>
    <w:rsid w:val="00422214"/>
    <w:rsid w:val="00425EC3"/>
    <w:rsid w:val="00450078"/>
    <w:rsid w:val="00474515"/>
    <w:rsid w:val="00496A77"/>
    <w:rsid w:val="004C2886"/>
    <w:rsid w:val="004F6D87"/>
    <w:rsid w:val="004F7FC5"/>
    <w:rsid w:val="00503340"/>
    <w:rsid w:val="00526658"/>
    <w:rsid w:val="005303CA"/>
    <w:rsid w:val="00564BC4"/>
    <w:rsid w:val="005B36D3"/>
    <w:rsid w:val="005B38D9"/>
    <w:rsid w:val="005C1E8B"/>
    <w:rsid w:val="005F01B1"/>
    <w:rsid w:val="006033A8"/>
    <w:rsid w:val="00607791"/>
    <w:rsid w:val="006119A4"/>
    <w:rsid w:val="00614F40"/>
    <w:rsid w:val="006158CB"/>
    <w:rsid w:val="006B2EFA"/>
    <w:rsid w:val="006F3E0B"/>
    <w:rsid w:val="006F3E7E"/>
    <w:rsid w:val="007110C0"/>
    <w:rsid w:val="00717D35"/>
    <w:rsid w:val="00734013"/>
    <w:rsid w:val="007678FA"/>
    <w:rsid w:val="007B6F1A"/>
    <w:rsid w:val="007E3F85"/>
    <w:rsid w:val="007E5FA1"/>
    <w:rsid w:val="007E6610"/>
    <w:rsid w:val="007F28FC"/>
    <w:rsid w:val="00834C21"/>
    <w:rsid w:val="00847C2B"/>
    <w:rsid w:val="00857B6B"/>
    <w:rsid w:val="00870D98"/>
    <w:rsid w:val="0088526C"/>
    <w:rsid w:val="00890E7F"/>
    <w:rsid w:val="008B17B3"/>
    <w:rsid w:val="008F267B"/>
    <w:rsid w:val="008F6B83"/>
    <w:rsid w:val="009023B0"/>
    <w:rsid w:val="00931B34"/>
    <w:rsid w:val="0093633A"/>
    <w:rsid w:val="00937091"/>
    <w:rsid w:val="00944658"/>
    <w:rsid w:val="009527FE"/>
    <w:rsid w:val="009605C1"/>
    <w:rsid w:val="009C6873"/>
    <w:rsid w:val="009E3820"/>
    <w:rsid w:val="00A57CBF"/>
    <w:rsid w:val="00A84F4D"/>
    <w:rsid w:val="00A90552"/>
    <w:rsid w:val="00A95F8E"/>
    <w:rsid w:val="00AA1D8D"/>
    <w:rsid w:val="00AA313F"/>
    <w:rsid w:val="00AB3FEF"/>
    <w:rsid w:val="00AB50EE"/>
    <w:rsid w:val="00AC4941"/>
    <w:rsid w:val="00AE73A1"/>
    <w:rsid w:val="00B31DFE"/>
    <w:rsid w:val="00B3391D"/>
    <w:rsid w:val="00B46E80"/>
    <w:rsid w:val="00B47730"/>
    <w:rsid w:val="00B83F1F"/>
    <w:rsid w:val="00B96592"/>
    <w:rsid w:val="00BA3F3D"/>
    <w:rsid w:val="00BA4240"/>
    <w:rsid w:val="00BB4768"/>
    <w:rsid w:val="00BC45D3"/>
    <w:rsid w:val="00C45DA0"/>
    <w:rsid w:val="00C46B04"/>
    <w:rsid w:val="00C5241C"/>
    <w:rsid w:val="00C7559B"/>
    <w:rsid w:val="00C851AB"/>
    <w:rsid w:val="00CA1FB6"/>
    <w:rsid w:val="00CA30E8"/>
    <w:rsid w:val="00CB0664"/>
    <w:rsid w:val="00CD3DB8"/>
    <w:rsid w:val="00CD5881"/>
    <w:rsid w:val="00CE42FD"/>
    <w:rsid w:val="00D16122"/>
    <w:rsid w:val="00D56000"/>
    <w:rsid w:val="00D61DCE"/>
    <w:rsid w:val="00D727C2"/>
    <w:rsid w:val="00D87801"/>
    <w:rsid w:val="00DA50CC"/>
    <w:rsid w:val="00DB7991"/>
    <w:rsid w:val="00DF1284"/>
    <w:rsid w:val="00E14EA8"/>
    <w:rsid w:val="00E2791B"/>
    <w:rsid w:val="00E41904"/>
    <w:rsid w:val="00E50D0E"/>
    <w:rsid w:val="00E57D42"/>
    <w:rsid w:val="00E63D81"/>
    <w:rsid w:val="00E8706B"/>
    <w:rsid w:val="00ED5CB5"/>
    <w:rsid w:val="00F00466"/>
    <w:rsid w:val="00FC317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979C847"/>
  <w14:defaultImageDpi w14:val="330"/>
  <w15:docId w15:val="{5C68A16F-90A4-4743-B05A-2E69DF44E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0D58"/>
    <w:pPr>
      <w:spacing w:line="360" w:lineRule="auto"/>
      <w:jc w:val="both"/>
    </w:pPr>
    <w:rPr>
      <w:rFonts w:ascii="Times New Roman" w:hAnsi="Times New Roman"/>
      <w:color w:val="000000" w:themeColor="text1"/>
      <w:sz w:val="20"/>
    </w:rPr>
  </w:style>
  <w:style w:type="paragraph" w:styleId="Heading1">
    <w:name w:val="heading 1"/>
    <w:basedOn w:val="Normal"/>
    <w:next w:val="Normal"/>
    <w:link w:val="Heading1Char"/>
    <w:uiPriority w:val="9"/>
    <w:qFormat/>
    <w:rsid w:val="00055071"/>
    <w:pPr>
      <w:keepNext/>
      <w:keepLines/>
      <w:numPr>
        <w:numId w:val="62"/>
      </w:numPr>
      <w:spacing w:before="400" w:after="40"/>
      <w:outlineLvl w:val="0"/>
    </w:pPr>
    <w:rPr>
      <w:rFonts w:eastAsiaTheme="majorEastAsia" w:cstheme="majorBidi"/>
      <w:sz w:val="36"/>
      <w:szCs w:val="36"/>
    </w:rPr>
  </w:style>
  <w:style w:type="paragraph" w:styleId="Heading2">
    <w:name w:val="heading 2"/>
    <w:basedOn w:val="Normal"/>
    <w:next w:val="Normal"/>
    <w:link w:val="Heading2Char"/>
    <w:uiPriority w:val="9"/>
    <w:unhideWhenUsed/>
    <w:qFormat/>
    <w:rsid w:val="00055071"/>
    <w:pPr>
      <w:keepNext/>
      <w:keepLines/>
      <w:numPr>
        <w:ilvl w:val="1"/>
        <w:numId w:val="62"/>
      </w:numPr>
      <w:spacing w:before="40" w:after="0" w:line="480" w:lineRule="auto"/>
      <w:outlineLvl w:val="1"/>
    </w:pPr>
    <w:rPr>
      <w:rFonts w:eastAsiaTheme="majorEastAsia" w:cstheme="majorBidi"/>
      <w:sz w:val="32"/>
      <w:szCs w:val="32"/>
    </w:rPr>
  </w:style>
  <w:style w:type="paragraph" w:styleId="Heading3">
    <w:name w:val="heading 3"/>
    <w:basedOn w:val="Normal"/>
    <w:next w:val="Normal"/>
    <w:link w:val="Heading3Char"/>
    <w:uiPriority w:val="9"/>
    <w:unhideWhenUsed/>
    <w:qFormat/>
    <w:rsid w:val="00055071"/>
    <w:pPr>
      <w:keepNext/>
      <w:keepLines/>
      <w:numPr>
        <w:ilvl w:val="2"/>
        <w:numId w:val="62"/>
      </w:numPr>
      <w:spacing w:before="40" w:after="0"/>
      <w:outlineLvl w:val="2"/>
    </w:pPr>
    <w:rPr>
      <w:rFonts w:eastAsiaTheme="majorEastAsia" w:cstheme="majorBidi"/>
      <w:sz w:val="28"/>
      <w:szCs w:val="28"/>
    </w:rPr>
  </w:style>
  <w:style w:type="paragraph" w:styleId="Heading4">
    <w:name w:val="heading 4"/>
    <w:basedOn w:val="Normal"/>
    <w:next w:val="Normal"/>
    <w:link w:val="Heading4Char"/>
    <w:uiPriority w:val="9"/>
    <w:unhideWhenUsed/>
    <w:qFormat/>
    <w:rsid w:val="00310A7C"/>
    <w:pPr>
      <w:keepNext/>
      <w:keepLines/>
      <w:numPr>
        <w:ilvl w:val="3"/>
        <w:numId w:val="62"/>
      </w:numPr>
      <w:spacing w:before="40" w:after="0"/>
      <w:outlineLvl w:val="3"/>
    </w:pPr>
    <w:rPr>
      <w:rFonts w:eastAsiaTheme="majorEastAsia" w:cstheme="majorBidi"/>
      <w:sz w:val="24"/>
      <w:szCs w:val="24"/>
    </w:rPr>
  </w:style>
  <w:style w:type="paragraph" w:styleId="Heading5">
    <w:name w:val="heading 5"/>
    <w:basedOn w:val="Normal"/>
    <w:next w:val="Normal"/>
    <w:link w:val="Heading5Char"/>
    <w:uiPriority w:val="9"/>
    <w:semiHidden/>
    <w:unhideWhenUsed/>
    <w:qFormat/>
    <w:rsid w:val="00310A7C"/>
    <w:pPr>
      <w:keepNext/>
      <w:keepLines/>
      <w:numPr>
        <w:ilvl w:val="4"/>
        <w:numId w:val="62"/>
      </w:numPr>
      <w:spacing w:before="40" w:after="0"/>
      <w:outlineLvl w:val="4"/>
    </w:pPr>
    <w:rPr>
      <w:rFonts w:asciiTheme="majorHAnsi" w:eastAsiaTheme="majorEastAsia" w:hAnsiTheme="majorHAnsi" w:cstheme="majorBidi"/>
      <w:caps/>
      <w:color w:val="365F91" w:themeColor="accent1" w:themeShade="BF"/>
    </w:rPr>
  </w:style>
  <w:style w:type="paragraph" w:styleId="Heading6">
    <w:name w:val="heading 6"/>
    <w:basedOn w:val="Normal"/>
    <w:next w:val="Normal"/>
    <w:link w:val="Heading6Char"/>
    <w:uiPriority w:val="9"/>
    <w:semiHidden/>
    <w:unhideWhenUsed/>
    <w:qFormat/>
    <w:rsid w:val="00310A7C"/>
    <w:pPr>
      <w:keepNext/>
      <w:keepLines/>
      <w:numPr>
        <w:ilvl w:val="5"/>
        <w:numId w:val="62"/>
      </w:numPr>
      <w:spacing w:before="40" w:after="0"/>
      <w:outlineLvl w:val="5"/>
    </w:pPr>
    <w:rPr>
      <w:rFonts w:asciiTheme="majorHAnsi" w:eastAsiaTheme="majorEastAsia" w:hAnsiTheme="majorHAnsi" w:cstheme="majorBidi"/>
      <w:i/>
      <w:iCs/>
      <w:caps/>
      <w:color w:val="244061" w:themeColor="accent1" w:themeShade="80"/>
    </w:rPr>
  </w:style>
  <w:style w:type="paragraph" w:styleId="Heading7">
    <w:name w:val="heading 7"/>
    <w:basedOn w:val="Normal"/>
    <w:next w:val="Normal"/>
    <w:link w:val="Heading7Char"/>
    <w:uiPriority w:val="9"/>
    <w:semiHidden/>
    <w:unhideWhenUsed/>
    <w:qFormat/>
    <w:rsid w:val="00310A7C"/>
    <w:pPr>
      <w:keepNext/>
      <w:keepLines/>
      <w:numPr>
        <w:ilvl w:val="6"/>
        <w:numId w:val="62"/>
      </w:numPr>
      <w:spacing w:before="40" w:after="0"/>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semiHidden/>
    <w:unhideWhenUsed/>
    <w:qFormat/>
    <w:rsid w:val="00310A7C"/>
    <w:pPr>
      <w:keepNext/>
      <w:keepLines/>
      <w:numPr>
        <w:ilvl w:val="7"/>
        <w:numId w:val="62"/>
      </w:numPr>
      <w:spacing w:before="40" w:after="0"/>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semiHidden/>
    <w:unhideWhenUsed/>
    <w:qFormat/>
    <w:rsid w:val="00310A7C"/>
    <w:pPr>
      <w:keepNext/>
      <w:keepLines/>
      <w:numPr>
        <w:ilvl w:val="8"/>
        <w:numId w:val="62"/>
      </w:numPr>
      <w:spacing w:before="40" w:after="0"/>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310A7C"/>
    <w:pPr>
      <w:spacing w:after="0" w:line="240" w:lineRule="auto"/>
    </w:pPr>
    <w:rPr>
      <w:rFonts w:ascii="Times New Roman" w:hAnsi="Times New Roman"/>
    </w:rPr>
  </w:style>
  <w:style w:type="character" w:customStyle="1" w:styleId="Heading1Char">
    <w:name w:val="Heading 1 Char"/>
    <w:basedOn w:val="DefaultParagraphFont"/>
    <w:link w:val="Heading1"/>
    <w:uiPriority w:val="9"/>
    <w:rsid w:val="00055071"/>
    <w:rPr>
      <w:rFonts w:ascii="Times New Roman" w:eastAsiaTheme="majorEastAsia" w:hAnsi="Times New Roman" w:cstheme="majorBidi"/>
      <w:color w:val="000000" w:themeColor="text1"/>
      <w:sz w:val="36"/>
      <w:szCs w:val="36"/>
    </w:rPr>
  </w:style>
  <w:style w:type="character" w:customStyle="1" w:styleId="Heading2Char">
    <w:name w:val="Heading 2 Char"/>
    <w:basedOn w:val="DefaultParagraphFont"/>
    <w:link w:val="Heading2"/>
    <w:uiPriority w:val="9"/>
    <w:rsid w:val="00055071"/>
    <w:rPr>
      <w:rFonts w:ascii="Times New Roman" w:eastAsiaTheme="majorEastAsia" w:hAnsi="Times New Roman" w:cstheme="majorBidi"/>
      <w:color w:val="000000" w:themeColor="text1"/>
      <w:sz w:val="32"/>
      <w:szCs w:val="32"/>
    </w:rPr>
  </w:style>
  <w:style w:type="character" w:customStyle="1" w:styleId="Heading3Char">
    <w:name w:val="Heading 3 Char"/>
    <w:basedOn w:val="DefaultParagraphFont"/>
    <w:link w:val="Heading3"/>
    <w:uiPriority w:val="9"/>
    <w:rsid w:val="00055071"/>
    <w:rPr>
      <w:rFonts w:ascii="Times New Roman" w:eastAsiaTheme="majorEastAsia" w:hAnsi="Times New Roman" w:cstheme="majorBidi"/>
      <w:color w:val="000000" w:themeColor="text1"/>
      <w:sz w:val="28"/>
      <w:szCs w:val="28"/>
    </w:rPr>
  </w:style>
  <w:style w:type="paragraph" w:styleId="Title">
    <w:name w:val="Title"/>
    <w:basedOn w:val="Normal"/>
    <w:next w:val="Normal"/>
    <w:link w:val="TitleChar"/>
    <w:uiPriority w:val="10"/>
    <w:qFormat/>
    <w:rsid w:val="00310A7C"/>
    <w:pPr>
      <w:spacing w:after="0" w:line="204" w:lineRule="auto"/>
      <w:contextualSpacing/>
      <w:jc w:val="center"/>
    </w:pPr>
    <w:rPr>
      <w:rFonts w:eastAsiaTheme="majorEastAsia" w:cstheme="majorBidi"/>
      <w:caps/>
      <w:spacing w:val="-15"/>
      <w:sz w:val="72"/>
      <w:szCs w:val="72"/>
    </w:rPr>
  </w:style>
  <w:style w:type="character" w:customStyle="1" w:styleId="TitleChar">
    <w:name w:val="Title Char"/>
    <w:basedOn w:val="DefaultParagraphFont"/>
    <w:link w:val="Title"/>
    <w:uiPriority w:val="10"/>
    <w:rsid w:val="00310A7C"/>
    <w:rPr>
      <w:rFonts w:ascii="Times New Roman" w:eastAsiaTheme="majorEastAsia" w:hAnsi="Times New Roman" w:cstheme="majorBidi"/>
      <w:caps/>
      <w:spacing w:val="-15"/>
      <w:sz w:val="72"/>
      <w:szCs w:val="72"/>
    </w:rPr>
  </w:style>
  <w:style w:type="paragraph" w:styleId="Subtitle">
    <w:name w:val="Subtitle"/>
    <w:basedOn w:val="Normal"/>
    <w:next w:val="Normal"/>
    <w:link w:val="SubtitleChar"/>
    <w:uiPriority w:val="11"/>
    <w:qFormat/>
    <w:rsid w:val="00310A7C"/>
    <w:pPr>
      <w:numPr>
        <w:ilvl w:val="1"/>
      </w:numPr>
      <w:spacing w:after="240" w:line="240" w:lineRule="auto"/>
    </w:pPr>
    <w:rPr>
      <w:rFonts w:asciiTheme="majorHAnsi" w:eastAsiaTheme="majorEastAsia" w:hAnsiTheme="majorHAnsi" w:cstheme="majorBidi"/>
      <w:color w:val="4F81BD" w:themeColor="accent1"/>
      <w:sz w:val="28"/>
      <w:szCs w:val="28"/>
    </w:rPr>
  </w:style>
  <w:style w:type="character" w:customStyle="1" w:styleId="SubtitleChar">
    <w:name w:val="Subtitle Char"/>
    <w:basedOn w:val="DefaultParagraphFont"/>
    <w:link w:val="Subtitle"/>
    <w:uiPriority w:val="11"/>
    <w:rsid w:val="00310A7C"/>
    <w:rPr>
      <w:rFonts w:asciiTheme="majorHAnsi" w:eastAsiaTheme="majorEastAsia" w:hAnsiTheme="majorHAnsi" w:cstheme="majorBidi"/>
      <w:color w:val="4F81BD" w:themeColor="accent1"/>
      <w:sz w:val="28"/>
      <w:szCs w:val="28"/>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4"/>
      </w:numPr>
      <w:contextualSpacing/>
    </w:pPr>
  </w:style>
  <w:style w:type="paragraph" w:styleId="ListNumber2">
    <w:name w:val="List Number 2"/>
    <w:basedOn w:val="Normal"/>
    <w:uiPriority w:val="99"/>
    <w:unhideWhenUsed/>
    <w:rsid w:val="0029639D"/>
    <w:pPr>
      <w:numPr>
        <w:numId w:val="5"/>
      </w:numPr>
      <w:contextualSpacing/>
    </w:pPr>
  </w:style>
  <w:style w:type="paragraph" w:styleId="ListNumber3">
    <w:name w:val="List Number 3"/>
    <w:basedOn w:val="Normal"/>
    <w:uiPriority w:val="99"/>
    <w:unhideWhenUsed/>
    <w:rsid w:val="0029639D"/>
    <w:pPr>
      <w:numPr>
        <w:numId w:val="6"/>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310A7C"/>
    <w:pPr>
      <w:spacing w:before="120" w:after="120"/>
      <w:ind w:left="720"/>
    </w:pPr>
    <w:rPr>
      <w:color w:val="1F497D" w:themeColor="text2"/>
      <w:sz w:val="24"/>
      <w:szCs w:val="24"/>
    </w:rPr>
  </w:style>
  <w:style w:type="character" w:customStyle="1" w:styleId="QuoteChar">
    <w:name w:val="Quote Char"/>
    <w:basedOn w:val="DefaultParagraphFont"/>
    <w:link w:val="Quote"/>
    <w:uiPriority w:val="29"/>
    <w:rsid w:val="00310A7C"/>
    <w:rPr>
      <w:color w:val="1F497D" w:themeColor="text2"/>
      <w:sz w:val="24"/>
      <w:szCs w:val="24"/>
    </w:rPr>
  </w:style>
  <w:style w:type="character" w:customStyle="1" w:styleId="Heading4Char">
    <w:name w:val="Heading 4 Char"/>
    <w:basedOn w:val="DefaultParagraphFont"/>
    <w:link w:val="Heading4"/>
    <w:uiPriority w:val="9"/>
    <w:rsid w:val="00310A7C"/>
    <w:rPr>
      <w:rFonts w:ascii="Times New Roman" w:eastAsiaTheme="majorEastAsia" w:hAnsi="Times New Roman" w:cstheme="majorBidi"/>
      <w:sz w:val="24"/>
      <w:szCs w:val="24"/>
    </w:rPr>
  </w:style>
  <w:style w:type="character" w:customStyle="1" w:styleId="Heading5Char">
    <w:name w:val="Heading 5 Char"/>
    <w:basedOn w:val="DefaultParagraphFont"/>
    <w:link w:val="Heading5"/>
    <w:uiPriority w:val="9"/>
    <w:semiHidden/>
    <w:rsid w:val="00310A7C"/>
    <w:rPr>
      <w:rFonts w:asciiTheme="majorHAnsi" w:eastAsiaTheme="majorEastAsia" w:hAnsiTheme="majorHAnsi" w:cstheme="majorBidi"/>
      <w:caps/>
      <w:color w:val="365F91" w:themeColor="accent1" w:themeShade="BF"/>
    </w:rPr>
  </w:style>
  <w:style w:type="character" w:customStyle="1" w:styleId="Heading6Char">
    <w:name w:val="Heading 6 Char"/>
    <w:basedOn w:val="DefaultParagraphFont"/>
    <w:link w:val="Heading6"/>
    <w:uiPriority w:val="9"/>
    <w:semiHidden/>
    <w:rsid w:val="00310A7C"/>
    <w:rPr>
      <w:rFonts w:asciiTheme="majorHAnsi" w:eastAsiaTheme="majorEastAsia" w:hAnsiTheme="majorHAnsi" w:cstheme="majorBidi"/>
      <w:i/>
      <w:iCs/>
      <w:caps/>
      <w:color w:val="244061" w:themeColor="accent1" w:themeShade="80"/>
    </w:rPr>
  </w:style>
  <w:style w:type="character" w:customStyle="1" w:styleId="Heading7Char">
    <w:name w:val="Heading 7 Char"/>
    <w:basedOn w:val="DefaultParagraphFont"/>
    <w:link w:val="Heading7"/>
    <w:uiPriority w:val="9"/>
    <w:semiHidden/>
    <w:rsid w:val="00310A7C"/>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semiHidden/>
    <w:rsid w:val="00310A7C"/>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semiHidden/>
    <w:rsid w:val="00310A7C"/>
    <w:rPr>
      <w:rFonts w:asciiTheme="majorHAnsi" w:eastAsiaTheme="majorEastAsia" w:hAnsiTheme="majorHAnsi" w:cstheme="majorBidi"/>
      <w:i/>
      <w:iCs/>
      <w:color w:val="244061" w:themeColor="accent1" w:themeShade="80"/>
    </w:rPr>
  </w:style>
  <w:style w:type="paragraph" w:styleId="Caption">
    <w:name w:val="caption"/>
    <w:basedOn w:val="Normal"/>
    <w:next w:val="Normal"/>
    <w:uiPriority w:val="35"/>
    <w:semiHidden/>
    <w:unhideWhenUsed/>
    <w:qFormat/>
    <w:rsid w:val="00310A7C"/>
    <w:pPr>
      <w:spacing w:line="240" w:lineRule="auto"/>
    </w:pPr>
    <w:rPr>
      <w:b/>
      <w:bCs/>
      <w:smallCaps/>
      <w:color w:val="1F497D" w:themeColor="text2"/>
    </w:rPr>
  </w:style>
  <w:style w:type="character" w:styleId="Strong">
    <w:name w:val="Strong"/>
    <w:basedOn w:val="DefaultParagraphFont"/>
    <w:uiPriority w:val="22"/>
    <w:qFormat/>
    <w:rsid w:val="00310A7C"/>
    <w:rPr>
      <w:b/>
      <w:bCs/>
    </w:rPr>
  </w:style>
  <w:style w:type="character" w:styleId="Emphasis">
    <w:name w:val="Emphasis"/>
    <w:basedOn w:val="DefaultParagraphFont"/>
    <w:uiPriority w:val="20"/>
    <w:qFormat/>
    <w:rsid w:val="00310A7C"/>
    <w:rPr>
      <w:i/>
      <w:iCs/>
    </w:rPr>
  </w:style>
  <w:style w:type="paragraph" w:styleId="IntenseQuote">
    <w:name w:val="Intense Quote"/>
    <w:basedOn w:val="Normal"/>
    <w:next w:val="Normal"/>
    <w:link w:val="IntenseQuoteChar"/>
    <w:uiPriority w:val="30"/>
    <w:qFormat/>
    <w:rsid w:val="00310A7C"/>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310A7C"/>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310A7C"/>
    <w:rPr>
      <w:i/>
      <w:iCs/>
      <w:color w:val="595959" w:themeColor="text1" w:themeTint="A6"/>
    </w:rPr>
  </w:style>
  <w:style w:type="character" w:styleId="IntenseEmphasis">
    <w:name w:val="Intense Emphasis"/>
    <w:basedOn w:val="DefaultParagraphFont"/>
    <w:uiPriority w:val="21"/>
    <w:qFormat/>
    <w:rsid w:val="00310A7C"/>
    <w:rPr>
      <w:b/>
      <w:bCs/>
      <w:i/>
      <w:iCs/>
    </w:rPr>
  </w:style>
  <w:style w:type="character" w:styleId="SubtleReference">
    <w:name w:val="Subtle Reference"/>
    <w:basedOn w:val="DefaultParagraphFont"/>
    <w:uiPriority w:val="31"/>
    <w:qFormat/>
    <w:rsid w:val="00310A7C"/>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10A7C"/>
    <w:rPr>
      <w:b/>
      <w:bCs/>
      <w:smallCaps/>
      <w:color w:val="1F497D" w:themeColor="text2"/>
      <w:u w:val="single"/>
    </w:rPr>
  </w:style>
  <w:style w:type="character" w:styleId="BookTitle">
    <w:name w:val="Book Title"/>
    <w:basedOn w:val="DefaultParagraphFont"/>
    <w:uiPriority w:val="33"/>
    <w:qFormat/>
    <w:rsid w:val="00310A7C"/>
    <w:rPr>
      <w:b/>
      <w:bCs/>
      <w:smallCaps/>
      <w:spacing w:val="10"/>
    </w:rPr>
  </w:style>
  <w:style w:type="paragraph" w:styleId="TOCHeading">
    <w:name w:val="TOC Heading"/>
    <w:basedOn w:val="Heading1"/>
    <w:next w:val="Normal"/>
    <w:uiPriority w:val="39"/>
    <w:semiHidden/>
    <w:unhideWhenUsed/>
    <w:qFormat/>
    <w:rsid w:val="00310A7C"/>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ormalWeb">
    <w:name w:val="Normal (Web)"/>
    <w:basedOn w:val="Normal"/>
    <w:uiPriority w:val="99"/>
    <w:unhideWhenUsed/>
    <w:rsid w:val="005B38D9"/>
    <w:rPr>
      <w:rFonts w:cs="Times New Roman"/>
      <w:sz w:val="24"/>
      <w:szCs w:val="24"/>
    </w:rPr>
  </w:style>
  <w:style w:type="character" w:customStyle="1" w:styleId="katex-mathml">
    <w:name w:val="katex-mathml"/>
    <w:basedOn w:val="DefaultParagraphFont"/>
    <w:rsid w:val="00276F7C"/>
  </w:style>
  <w:style w:type="character" w:customStyle="1" w:styleId="mord">
    <w:name w:val="mord"/>
    <w:basedOn w:val="DefaultParagraphFont"/>
    <w:rsid w:val="00276F7C"/>
  </w:style>
  <w:style w:type="character" w:customStyle="1" w:styleId="mopen">
    <w:name w:val="mopen"/>
    <w:basedOn w:val="DefaultParagraphFont"/>
    <w:rsid w:val="00276F7C"/>
  </w:style>
  <w:style w:type="character" w:customStyle="1" w:styleId="mclose">
    <w:name w:val="mclose"/>
    <w:basedOn w:val="DefaultParagraphFont"/>
    <w:rsid w:val="00276F7C"/>
  </w:style>
  <w:style w:type="character" w:customStyle="1" w:styleId="mrel">
    <w:name w:val="mrel"/>
    <w:basedOn w:val="DefaultParagraphFont"/>
    <w:rsid w:val="00276F7C"/>
  </w:style>
  <w:style w:type="character" w:customStyle="1" w:styleId="mbin">
    <w:name w:val="mbin"/>
    <w:basedOn w:val="DefaultParagraphFont"/>
    <w:rsid w:val="00276F7C"/>
  </w:style>
  <w:style w:type="character" w:customStyle="1" w:styleId="vlist-s">
    <w:name w:val="vlist-s"/>
    <w:basedOn w:val="DefaultParagraphFont"/>
    <w:rsid w:val="00276F7C"/>
  </w:style>
  <w:style w:type="character" w:styleId="PlaceholderText">
    <w:name w:val="Placeholder Text"/>
    <w:basedOn w:val="DefaultParagraphFont"/>
    <w:uiPriority w:val="99"/>
    <w:semiHidden/>
    <w:rsid w:val="00276F7C"/>
    <w:rPr>
      <w:color w:val="666666"/>
    </w:rPr>
  </w:style>
  <w:style w:type="paragraph" w:customStyle="1" w:styleId="MStitle">
    <w:name w:val="MS title"/>
    <w:basedOn w:val="Normal"/>
    <w:link w:val="MStitleChar"/>
    <w:qFormat/>
    <w:rsid w:val="00310A7C"/>
    <w:pPr>
      <w:spacing w:before="360" w:after="0" w:line="440" w:lineRule="exact"/>
      <w:contextualSpacing/>
    </w:pPr>
    <w:rPr>
      <w:rFonts w:eastAsia="Times New Roman" w:cs="Times New Roman"/>
      <w:b/>
      <w:sz w:val="34"/>
      <w:szCs w:val="24"/>
      <w:lang w:val="en-GB" w:eastAsia="de-DE"/>
    </w:rPr>
  </w:style>
  <w:style w:type="character" w:customStyle="1" w:styleId="MStitleChar">
    <w:name w:val="MS title Char"/>
    <w:basedOn w:val="DefaultParagraphFont"/>
    <w:link w:val="MStitle"/>
    <w:rsid w:val="00310A7C"/>
    <w:rPr>
      <w:rFonts w:ascii="Times New Roman" w:eastAsia="Times New Roman" w:hAnsi="Times New Roman" w:cs="Times New Roman"/>
      <w:b/>
      <w:sz w:val="34"/>
      <w:szCs w:val="24"/>
      <w:lang w:val="en-GB" w:eastAsia="de-DE"/>
    </w:rPr>
  </w:style>
  <w:style w:type="character" w:styleId="Hyperlink">
    <w:name w:val="Hyperlink"/>
    <w:basedOn w:val="DefaultParagraphFont"/>
    <w:uiPriority w:val="99"/>
    <w:unhideWhenUsed/>
    <w:rsid w:val="00310A7C"/>
    <w:rPr>
      <w:color w:val="0000FF" w:themeColor="hyperlink"/>
      <w:u w:val="single"/>
    </w:rPr>
  </w:style>
  <w:style w:type="character" w:styleId="UnresolvedMention">
    <w:name w:val="Unresolved Mention"/>
    <w:basedOn w:val="DefaultParagraphFont"/>
    <w:uiPriority w:val="99"/>
    <w:semiHidden/>
    <w:unhideWhenUsed/>
    <w:rsid w:val="00310A7C"/>
    <w:rPr>
      <w:color w:val="605E5C"/>
      <w:shd w:val="clear" w:color="auto" w:fill="E1DFDD"/>
    </w:rPr>
  </w:style>
  <w:style w:type="paragraph" w:customStyle="1" w:styleId="EndNoteBibliographyTitle">
    <w:name w:val="EndNote Bibliography Title"/>
    <w:basedOn w:val="Normal"/>
    <w:link w:val="EndNoteBibliographyTitleChar"/>
    <w:rsid w:val="009023B0"/>
    <w:pPr>
      <w:spacing w:after="0"/>
      <w:jc w:val="center"/>
    </w:pPr>
    <w:rPr>
      <w:rFonts w:cs="Times New Roman"/>
      <w:noProof/>
    </w:rPr>
  </w:style>
  <w:style w:type="character" w:customStyle="1" w:styleId="EndNoteBibliographyTitleChar">
    <w:name w:val="EndNote Bibliography Title Char"/>
    <w:basedOn w:val="DefaultParagraphFont"/>
    <w:link w:val="EndNoteBibliographyTitle"/>
    <w:rsid w:val="009023B0"/>
    <w:rPr>
      <w:rFonts w:ascii="Times New Roman" w:hAnsi="Times New Roman" w:cs="Times New Roman"/>
      <w:noProof/>
      <w:color w:val="000000" w:themeColor="text1"/>
      <w:sz w:val="20"/>
    </w:rPr>
  </w:style>
  <w:style w:type="paragraph" w:customStyle="1" w:styleId="EndNoteBibliography">
    <w:name w:val="EndNote Bibliography"/>
    <w:basedOn w:val="Normal"/>
    <w:link w:val="EndNoteBibliographyChar"/>
    <w:rsid w:val="009023B0"/>
    <w:pPr>
      <w:spacing w:line="240" w:lineRule="auto"/>
    </w:pPr>
    <w:rPr>
      <w:rFonts w:cs="Times New Roman"/>
      <w:noProof/>
    </w:rPr>
  </w:style>
  <w:style w:type="character" w:customStyle="1" w:styleId="EndNoteBibliographyChar">
    <w:name w:val="EndNote Bibliography Char"/>
    <w:basedOn w:val="DefaultParagraphFont"/>
    <w:link w:val="EndNoteBibliography"/>
    <w:rsid w:val="009023B0"/>
    <w:rPr>
      <w:rFonts w:ascii="Times New Roman" w:hAnsi="Times New Roman" w:cs="Times New Roman"/>
      <w:noProof/>
      <w:color w:val="000000" w:themeColor="text1"/>
      <w:sz w:val="20"/>
    </w:rPr>
  </w:style>
  <w:style w:type="character" w:styleId="CommentReference">
    <w:name w:val="annotation reference"/>
    <w:basedOn w:val="DefaultParagraphFont"/>
    <w:uiPriority w:val="99"/>
    <w:semiHidden/>
    <w:unhideWhenUsed/>
    <w:rsid w:val="00CE42FD"/>
    <w:rPr>
      <w:sz w:val="16"/>
      <w:szCs w:val="16"/>
    </w:rPr>
  </w:style>
  <w:style w:type="paragraph" w:styleId="CommentText">
    <w:name w:val="annotation text"/>
    <w:basedOn w:val="Normal"/>
    <w:link w:val="CommentTextChar"/>
    <w:uiPriority w:val="99"/>
    <w:unhideWhenUsed/>
    <w:rsid w:val="00CE42FD"/>
    <w:pPr>
      <w:spacing w:line="240" w:lineRule="auto"/>
    </w:pPr>
    <w:rPr>
      <w:szCs w:val="20"/>
    </w:rPr>
  </w:style>
  <w:style w:type="character" w:customStyle="1" w:styleId="CommentTextChar">
    <w:name w:val="Comment Text Char"/>
    <w:basedOn w:val="DefaultParagraphFont"/>
    <w:link w:val="CommentText"/>
    <w:uiPriority w:val="99"/>
    <w:rsid w:val="00CE42FD"/>
    <w:rPr>
      <w:rFonts w:ascii="Times New Roman" w:hAnsi="Times New Roman"/>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CE42FD"/>
    <w:rPr>
      <w:b/>
      <w:bCs/>
    </w:rPr>
  </w:style>
  <w:style w:type="character" w:customStyle="1" w:styleId="CommentSubjectChar">
    <w:name w:val="Comment Subject Char"/>
    <w:basedOn w:val="CommentTextChar"/>
    <w:link w:val="CommentSubject"/>
    <w:uiPriority w:val="99"/>
    <w:semiHidden/>
    <w:rsid w:val="00CE42FD"/>
    <w:rPr>
      <w:rFonts w:ascii="Times New Roman" w:hAnsi="Times New Roman"/>
      <w:b/>
      <w:bCs/>
      <w:color w:val="000000" w:themeColor="text1"/>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96209">
      <w:bodyDiv w:val="1"/>
      <w:marLeft w:val="0"/>
      <w:marRight w:val="0"/>
      <w:marTop w:val="0"/>
      <w:marBottom w:val="0"/>
      <w:divBdr>
        <w:top w:val="none" w:sz="0" w:space="0" w:color="auto"/>
        <w:left w:val="none" w:sz="0" w:space="0" w:color="auto"/>
        <w:bottom w:val="none" w:sz="0" w:space="0" w:color="auto"/>
        <w:right w:val="none" w:sz="0" w:space="0" w:color="auto"/>
      </w:divBdr>
    </w:div>
    <w:div w:id="141122762">
      <w:bodyDiv w:val="1"/>
      <w:marLeft w:val="0"/>
      <w:marRight w:val="0"/>
      <w:marTop w:val="0"/>
      <w:marBottom w:val="0"/>
      <w:divBdr>
        <w:top w:val="none" w:sz="0" w:space="0" w:color="auto"/>
        <w:left w:val="none" w:sz="0" w:space="0" w:color="auto"/>
        <w:bottom w:val="none" w:sz="0" w:space="0" w:color="auto"/>
        <w:right w:val="none" w:sz="0" w:space="0" w:color="auto"/>
      </w:divBdr>
    </w:div>
    <w:div w:id="173106376">
      <w:bodyDiv w:val="1"/>
      <w:marLeft w:val="0"/>
      <w:marRight w:val="0"/>
      <w:marTop w:val="0"/>
      <w:marBottom w:val="0"/>
      <w:divBdr>
        <w:top w:val="none" w:sz="0" w:space="0" w:color="auto"/>
        <w:left w:val="none" w:sz="0" w:space="0" w:color="auto"/>
        <w:bottom w:val="none" w:sz="0" w:space="0" w:color="auto"/>
        <w:right w:val="none" w:sz="0" w:space="0" w:color="auto"/>
      </w:divBdr>
    </w:div>
    <w:div w:id="184833286">
      <w:bodyDiv w:val="1"/>
      <w:marLeft w:val="0"/>
      <w:marRight w:val="0"/>
      <w:marTop w:val="0"/>
      <w:marBottom w:val="0"/>
      <w:divBdr>
        <w:top w:val="none" w:sz="0" w:space="0" w:color="auto"/>
        <w:left w:val="none" w:sz="0" w:space="0" w:color="auto"/>
        <w:bottom w:val="none" w:sz="0" w:space="0" w:color="auto"/>
        <w:right w:val="none" w:sz="0" w:space="0" w:color="auto"/>
      </w:divBdr>
    </w:div>
    <w:div w:id="254290023">
      <w:bodyDiv w:val="1"/>
      <w:marLeft w:val="0"/>
      <w:marRight w:val="0"/>
      <w:marTop w:val="0"/>
      <w:marBottom w:val="0"/>
      <w:divBdr>
        <w:top w:val="none" w:sz="0" w:space="0" w:color="auto"/>
        <w:left w:val="none" w:sz="0" w:space="0" w:color="auto"/>
        <w:bottom w:val="none" w:sz="0" w:space="0" w:color="auto"/>
        <w:right w:val="none" w:sz="0" w:space="0" w:color="auto"/>
      </w:divBdr>
    </w:div>
    <w:div w:id="311912637">
      <w:bodyDiv w:val="1"/>
      <w:marLeft w:val="0"/>
      <w:marRight w:val="0"/>
      <w:marTop w:val="0"/>
      <w:marBottom w:val="0"/>
      <w:divBdr>
        <w:top w:val="none" w:sz="0" w:space="0" w:color="auto"/>
        <w:left w:val="none" w:sz="0" w:space="0" w:color="auto"/>
        <w:bottom w:val="none" w:sz="0" w:space="0" w:color="auto"/>
        <w:right w:val="none" w:sz="0" w:space="0" w:color="auto"/>
      </w:divBdr>
    </w:div>
    <w:div w:id="402875000">
      <w:bodyDiv w:val="1"/>
      <w:marLeft w:val="0"/>
      <w:marRight w:val="0"/>
      <w:marTop w:val="0"/>
      <w:marBottom w:val="0"/>
      <w:divBdr>
        <w:top w:val="none" w:sz="0" w:space="0" w:color="auto"/>
        <w:left w:val="none" w:sz="0" w:space="0" w:color="auto"/>
        <w:bottom w:val="none" w:sz="0" w:space="0" w:color="auto"/>
        <w:right w:val="none" w:sz="0" w:space="0" w:color="auto"/>
      </w:divBdr>
    </w:div>
    <w:div w:id="523441972">
      <w:bodyDiv w:val="1"/>
      <w:marLeft w:val="0"/>
      <w:marRight w:val="0"/>
      <w:marTop w:val="0"/>
      <w:marBottom w:val="0"/>
      <w:divBdr>
        <w:top w:val="none" w:sz="0" w:space="0" w:color="auto"/>
        <w:left w:val="none" w:sz="0" w:space="0" w:color="auto"/>
        <w:bottom w:val="none" w:sz="0" w:space="0" w:color="auto"/>
        <w:right w:val="none" w:sz="0" w:space="0" w:color="auto"/>
      </w:divBdr>
    </w:div>
    <w:div w:id="527568825">
      <w:bodyDiv w:val="1"/>
      <w:marLeft w:val="0"/>
      <w:marRight w:val="0"/>
      <w:marTop w:val="0"/>
      <w:marBottom w:val="0"/>
      <w:divBdr>
        <w:top w:val="none" w:sz="0" w:space="0" w:color="auto"/>
        <w:left w:val="none" w:sz="0" w:space="0" w:color="auto"/>
        <w:bottom w:val="none" w:sz="0" w:space="0" w:color="auto"/>
        <w:right w:val="none" w:sz="0" w:space="0" w:color="auto"/>
      </w:divBdr>
    </w:div>
    <w:div w:id="533470464">
      <w:bodyDiv w:val="1"/>
      <w:marLeft w:val="0"/>
      <w:marRight w:val="0"/>
      <w:marTop w:val="0"/>
      <w:marBottom w:val="0"/>
      <w:divBdr>
        <w:top w:val="none" w:sz="0" w:space="0" w:color="auto"/>
        <w:left w:val="none" w:sz="0" w:space="0" w:color="auto"/>
        <w:bottom w:val="none" w:sz="0" w:space="0" w:color="auto"/>
        <w:right w:val="none" w:sz="0" w:space="0" w:color="auto"/>
      </w:divBdr>
    </w:div>
    <w:div w:id="541986807">
      <w:bodyDiv w:val="1"/>
      <w:marLeft w:val="0"/>
      <w:marRight w:val="0"/>
      <w:marTop w:val="0"/>
      <w:marBottom w:val="0"/>
      <w:divBdr>
        <w:top w:val="none" w:sz="0" w:space="0" w:color="auto"/>
        <w:left w:val="none" w:sz="0" w:space="0" w:color="auto"/>
        <w:bottom w:val="none" w:sz="0" w:space="0" w:color="auto"/>
        <w:right w:val="none" w:sz="0" w:space="0" w:color="auto"/>
      </w:divBdr>
    </w:div>
    <w:div w:id="562571111">
      <w:bodyDiv w:val="1"/>
      <w:marLeft w:val="0"/>
      <w:marRight w:val="0"/>
      <w:marTop w:val="0"/>
      <w:marBottom w:val="0"/>
      <w:divBdr>
        <w:top w:val="none" w:sz="0" w:space="0" w:color="auto"/>
        <w:left w:val="none" w:sz="0" w:space="0" w:color="auto"/>
        <w:bottom w:val="none" w:sz="0" w:space="0" w:color="auto"/>
        <w:right w:val="none" w:sz="0" w:space="0" w:color="auto"/>
      </w:divBdr>
    </w:div>
    <w:div w:id="577597353">
      <w:bodyDiv w:val="1"/>
      <w:marLeft w:val="0"/>
      <w:marRight w:val="0"/>
      <w:marTop w:val="0"/>
      <w:marBottom w:val="0"/>
      <w:divBdr>
        <w:top w:val="none" w:sz="0" w:space="0" w:color="auto"/>
        <w:left w:val="none" w:sz="0" w:space="0" w:color="auto"/>
        <w:bottom w:val="none" w:sz="0" w:space="0" w:color="auto"/>
        <w:right w:val="none" w:sz="0" w:space="0" w:color="auto"/>
      </w:divBdr>
    </w:div>
    <w:div w:id="578058552">
      <w:bodyDiv w:val="1"/>
      <w:marLeft w:val="0"/>
      <w:marRight w:val="0"/>
      <w:marTop w:val="0"/>
      <w:marBottom w:val="0"/>
      <w:divBdr>
        <w:top w:val="none" w:sz="0" w:space="0" w:color="auto"/>
        <w:left w:val="none" w:sz="0" w:space="0" w:color="auto"/>
        <w:bottom w:val="none" w:sz="0" w:space="0" w:color="auto"/>
        <w:right w:val="none" w:sz="0" w:space="0" w:color="auto"/>
      </w:divBdr>
      <w:divsChild>
        <w:div w:id="1550192031">
          <w:marLeft w:val="0"/>
          <w:marRight w:val="0"/>
          <w:marTop w:val="0"/>
          <w:marBottom w:val="0"/>
          <w:divBdr>
            <w:top w:val="none" w:sz="0" w:space="0" w:color="auto"/>
            <w:left w:val="none" w:sz="0" w:space="0" w:color="auto"/>
            <w:bottom w:val="none" w:sz="0" w:space="0" w:color="auto"/>
            <w:right w:val="none" w:sz="0" w:space="0" w:color="auto"/>
          </w:divBdr>
        </w:div>
        <w:div w:id="367337038">
          <w:marLeft w:val="0"/>
          <w:marRight w:val="0"/>
          <w:marTop w:val="0"/>
          <w:marBottom w:val="0"/>
          <w:divBdr>
            <w:top w:val="none" w:sz="0" w:space="0" w:color="auto"/>
            <w:left w:val="none" w:sz="0" w:space="0" w:color="auto"/>
            <w:bottom w:val="none" w:sz="0" w:space="0" w:color="auto"/>
            <w:right w:val="none" w:sz="0" w:space="0" w:color="auto"/>
          </w:divBdr>
        </w:div>
      </w:divsChild>
    </w:div>
    <w:div w:id="610822559">
      <w:bodyDiv w:val="1"/>
      <w:marLeft w:val="0"/>
      <w:marRight w:val="0"/>
      <w:marTop w:val="0"/>
      <w:marBottom w:val="0"/>
      <w:divBdr>
        <w:top w:val="none" w:sz="0" w:space="0" w:color="auto"/>
        <w:left w:val="none" w:sz="0" w:space="0" w:color="auto"/>
        <w:bottom w:val="none" w:sz="0" w:space="0" w:color="auto"/>
        <w:right w:val="none" w:sz="0" w:space="0" w:color="auto"/>
      </w:divBdr>
    </w:div>
    <w:div w:id="668145321">
      <w:bodyDiv w:val="1"/>
      <w:marLeft w:val="0"/>
      <w:marRight w:val="0"/>
      <w:marTop w:val="0"/>
      <w:marBottom w:val="0"/>
      <w:divBdr>
        <w:top w:val="none" w:sz="0" w:space="0" w:color="auto"/>
        <w:left w:val="none" w:sz="0" w:space="0" w:color="auto"/>
        <w:bottom w:val="none" w:sz="0" w:space="0" w:color="auto"/>
        <w:right w:val="none" w:sz="0" w:space="0" w:color="auto"/>
      </w:divBdr>
    </w:div>
    <w:div w:id="801187996">
      <w:bodyDiv w:val="1"/>
      <w:marLeft w:val="0"/>
      <w:marRight w:val="0"/>
      <w:marTop w:val="0"/>
      <w:marBottom w:val="0"/>
      <w:divBdr>
        <w:top w:val="none" w:sz="0" w:space="0" w:color="auto"/>
        <w:left w:val="none" w:sz="0" w:space="0" w:color="auto"/>
        <w:bottom w:val="none" w:sz="0" w:space="0" w:color="auto"/>
        <w:right w:val="none" w:sz="0" w:space="0" w:color="auto"/>
      </w:divBdr>
    </w:div>
    <w:div w:id="994650114">
      <w:bodyDiv w:val="1"/>
      <w:marLeft w:val="0"/>
      <w:marRight w:val="0"/>
      <w:marTop w:val="0"/>
      <w:marBottom w:val="0"/>
      <w:divBdr>
        <w:top w:val="none" w:sz="0" w:space="0" w:color="auto"/>
        <w:left w:val="none" w:sz="0" w:space="0" w:color="auto"/>
        <w:bottom w:val="none" w:sz="0" w:space="0" w:color="auto"/>
        <w:right w:val="none" w:sz="0" w:space="0" w:color="auto"/>
      </w:divBdr>
    </w:div>
    <w:div w:id="1011950660">
      <w:bodyDiv w:val="1"/>
      <w:marLeft w:val="0"/>
      <w:marRight w:val="0"/>
      <w:marTop w:val="0"/>
      <w:marBottom w:val="0"/>
      <w:divBdr>
        <w:top w:val="none" w:sz="0" w:space="0" w:color="auto"/>
        <w:left w:val="none" w:sz="0" w:space="0" w:color="auto"/>
        <w:bottom w:val="none" w:sz="0" w:space="0" w:color="auto"/>
        <w:right w:val="none" w:sz="0" w:space="0" w:color="auto"/>
      </w:divBdr>
      <w:divsChild>
        <w:div w:id="878009638">
          <w:marLeft w:val="0"/>
          <w:marRight w:val="0"/>
          <w:marTop w:val="0"/>
          <w:marBottom w:val="0"/>
          <w:divBdr>
            <w:top w:val="none" w:sz="0" w:space="0" w:color="auto"/>
            <w:left w:val="none" w:sz="0" w:space="0" w:color="auto"/>
            <w:bottom w:val="none" w:sz="0" w:space="0" w:color="auto"/>
            <w:right w:val="none" w:sz="0" w:space="0" w:color="auto"/>
          </w:divBdr>
        </w:div>
        <w:div w:id="437720274">
          <w:marLeft w:val="0"/>
          <w:marRight w:val="0"/>
          <w:marTop w:val="0"/>
          <w:marBottom w:val="0"/>
          <w:divBdr>
            <w:top w:val="none" w:sz="0" w:space="0" w:color="auto"/>
            <w:left w:val="none" w:sz="0" w:space="0" w:color="auto"/>
            <w:bottom w:val="none" w:sz="0" w:space="0" w:color="auto"/>
            <w:right w:val="none" w:sz="0" w:space="0" w:color="auto"/>
          </w:divBdr>
        </w:div>
      </w:divsChild>
    </w:div>
    <w:div w:id="1022053969">
      <w:bodyDiv w:val="1"/>
      <w:marLeft w:val="0"/>
      <w:marRight w:val="0"/>
      <w:marTop w:val="0"/>
      <w:marBottom w:val="0"/>
      <w:divBdr>
        <w:top w:val="none" w:sz="0" w:space="0" w:color="auto"/>
        <w:left w:val="none" w:sz="0" w:space="0" w:color="auto"/>
        <w:bottom w:val="none" w:sz="0" w:space="0" w:color="auto"/>
        <w:right w:val="none" w:sz="0" w:space="0" w:color="auto"/>
      </w:divBdr>
    </w:div>
    <w:div w:id="1040785062">
      <w:bodyDiv w:val="1"/>
      <w:marLeft w:val="0"/>
      <w:marRight w:val="0"/>
      <w:marTop w:val="0"/>
      <w:marBottom w:val="0"/>
      <w:divBdr>
        <w:top w:val="none" w:sz="0" w:space="0" w:color="auto"/>
        <w:left w:val="none" w:sz="0" w:space="0" w:color="auto"/>
        <w:bottom w:val="none" w:sz="0" w:space="0" w:color="auto"/>
        <w:right w:val="none" w:sz="0" w:space="0" w:color="auto"/>
      </w:divBdr>
    </w:div>
    <w:div w:id="1148136474">
      <w:bodyDiv w:val="1"/>
      <w:marLeft w:val="0"/>
      <w:marRight w:val="0"/>
      <w:marTop w:val="0"/>
      <w:marBottom w:val="0"/>
      <w:divBdr>
        <w:top w:val="none" w:sz="0" w:space="0" w:color="auto"/>
        <w:left w:val="none" w:sz="0" w:space="0" w:color="auto"/>
        <w:bottom w:val="none" w:sz="0" w:space="0" w:color="auto"/>
        <w:right w:val="none" w:sz="0" w:space="0" w:color="auto"/>
      </w:divBdr>
    </w:div>
    <w:div w:id="1163007597">
      <w:bodyDiv w:val="1"/>
      <w:marLeft w:val="0"/>
      <w:marRight w:val="0"/>
      <w:marTop w:val="0"/>
      <w:marBottom w:val="0"/>
      <w:divBdr>
        <w:top w:val="none" w:sz="0" w:space="0" w:color="auto"/>
        <w:left w:val="none" w:sz="0" w:space="0" w:color="auto"/>
        <w:bottom w:val="none" w:sz="0" w:space="0" w:color="auto"/>
        <w:right w:val="none" w:sz="0" w:space="0" w:color="auto"/>
      </w:divBdr>
    </w:div>
    <w:div w:id="1206059777">
      <w:bodyDiv w:val="1"/>
      <w:marLeft w:val="0"/>
      <w:marRight w:val="0"/>
      <w:marTop w:val="0"/>
      <w:marBottom w:val="0"/>
      <w:divBdr>
        <w:top w:val="none" w:sz="0" w:space="0" w:color="auto"/>
        <w:left w:val="none" w:sz="0" w:space="0" w:color="auto"/>
        <w:bottom w:val="none" w:sz="0" w:space="0" w:color="auto"/>
        <w:right w:val="none" w:sz="0" w:space="0" w:color="auto"/>
      </w:divBdr>
    </w:div>
    <w:div w:id="1326595673">
      <w:bodyDiv w:val="1"/>
      <w:marLeft w:val="0"/>
      <w:marRight w:val="0"/>
      <w:marTop w:val="0"/>
      <w:marBottom w:val="0"/>
      <w:divBdr>
        <w:top w:val="none" w:sz="0" w:space="0" w:color="auto"/>
        <w:left w:val="none" w:sz="0" w:space="0" w:color="auto"/>
        <w:bottom w:val="none" w:sz="0" w:space="0" w:color="auto"/>
        <w:right w:val="none" w:sz="0" w:space="0" w:color="auto"/>
      </w:divBdr>
    </w:div>
    <w:div w:id="1402799678">
      <w:bodyDiv w:val="1"/>
      <w:marLeft w:val="0"/>
      <w:marRight w:val="0"/>
      <w:marTop w:val="0"/>
      <w:marBottom w:val="0"/>
      <w:divBdr>
        <w:top w:val="none" w:sz="0" w:space="0" w:color="auto"/>
        <w:left w:val="none" w:sz="0" w:space="0" w:color="auto"/>
        <w:bottom w:val="none" w:sz="0" w:space="0" w:color="auto"/>
        <w:right w:val="none" w:sz="0" w:space="0" w:color="auto"/>
      </w:divBdr>
    </w:div>
    <w:div w:id="1593392880">
      <w:bodyDiv w:val="1"/>
      <w:marLeft w:val="0"/>
      <w:marRight w:val="0"/>
      <w:marTop w:val="0"/>
      <w:marBottom w:val="0"/>
      <w:divBdr>
        <w:top w:val="none" w:sz="0" w:space="0" w:color="auto"/>
        <w:left w:val="none" w:sz="0" w:space="0" w:color="auto"/>
        <w:bottom w:val="none" w:sz="0" w:space="0" w:color="auto"/>
        <w:right w:val="none" w:sz="0" w:space="0" w:color="auto"/>
      </w:divBdr>
    </w:div>
    <w:div w:id="1823502630">
      <w:bodyDiv w:val="1"/>
      <w:marLeft w:val="0"/>
      <w:marRight w:val="0"/>
      <w:marTop w:val="0"/>
      <w:marBottom w:val="0"/>
      <w:divBdr>
        <w:top w:val="none" w:sz="0" w:space="0" w:color="auto"/>
        <w:left w:val="none" w:sz="0" w:space="0" w:color="auto"/>
        <w:bottom w:val="none" w:sz="0" w:space="0" w:color="auto"/>
        <w:right w:val="none" w:sz="0" w:space="0" w:color="auto"/>
      </w:divBdr>
    </w:div>
    <w:div w:id="1824083457">
      <w:bodyDiv w:val="1"/>
      <w:marLeft w:val="0"/>
      <w:marRight w:val="0"/>
      <w:marTop w:val="0"/>
      <w:marBottom w:val="0"/>
      <w:divBdr>
        <w:top w:val="none" w:sz="0" w:space="0" w:color="auto"/>
        <w:left w:val="none" w:sz="0" w:space="0" w:color="auto"/>
        <w:bottom w:val="none" w:sz="0" w:space="0" w:color="auto"/>
        <w:right w:val="none" w:sz="0" w:space="0" w:color="auto"/>
      </w:divBdr>
    </w:div>
    <w:div w:id="1945922159">
      <w:bodyDiv w:val="1"/>
      <w:marLeft w:val="0"/>
      <w:marRight w:val="0"/>
      <w:marTop w:val="0"/>
      <w:marBottom w:val="0"/>
      <w:divBdr>
        <w:top w:val="none" w:sz="0" w:space="0" w:color="auto"/>
        <w:left w:val="none" w:sz="0" w:space="0" w:color="auto"/>
        <w:bottom w:val="none" w:sz="0" w:space="0" w:color="auto"/>
        <w:right w:val="none" w:sz="0" w:space="0" w:color="auto"/>
      </w:divBdr>
    </w:div>
    <w:div w:id="1960793806">
      <w:bodyDiv w:val="1"/>
      <w:marLeft w:val="0"/>
      <w:marRight w:val="0"/>
      <w:marTop w:val="0"/>
      <w:marBottom w:val="0"/>
      <w:divBdr>
        <w:top w:val="none" w:sz="0" w:space="0" w:color="auto"/>
        <w:left w:val="none" w:sz="0" w:space="0" w:color="auto"/>
        <w:bottom w:val="none" w:sz="0" w:space="0" w:color="auto"/>
        <w:right w:val="none" w:sz="0" w:space="0" w:color="auto"/>
      </w:divBdr>
    </w:div>
    <w:div w:id="1999773016">
      <w:bodyDiv w:val="1"/>
      <w:marLeft w:val="0"/>
      <w:marRight w:val="0"/>
      <w:marTop w:val="0"/>
      <w:marBottom w:val="0"/>
      <w:divBdr>
        <w:top w:val="none" w:sz="0" w:space="0" w:color="auto"/>
        <w:left w:val="none" w:sz="0" w:space="0" w:color="auto"/>
        <w:bottom w:val="none" w:sz="0" w:space="0" w:color="auto"/>
        <w:right w:val="none" w:sz="0" w:space="0" w:color="auto"/>
      </w:divBdr>
    </w:div>
    <w:div w:id="2007436364">
      <w:bodyDiv w:val="1"/>
      <w:marLeft w:val="0"/>
      <w:marRight w:val="0"/>
      <w:marTop w:val="0"/>
      <w:marBottom w:val="0"/>
      <w:divBdr>
        <w:top w:val="none" w:sz="0" w:space="0" w:color="auto"/>
        <w:left w:val="none" w:sz="0" w:space="0" w:color="auto"/>
        <w:bottom w:val="none" w:sz="0" w:space="0" w:color="auto"/>
        <w:right w:val="none" w:sz="0" w:space="0" w:color="auto"/>
      </w:divBdr>
    </w:div>
    <w:div w:id="20284832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mailto:akp20@iitk.ac.in" TargetMode="External"/><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s://doi.org/10.1016/j.quascirev.2018.05.03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605</TotalTime>
  <Pages>16</Pages>
  <Words>5657</Words>
  <Characters>30834</Characters>
  <Application>Microsoft Office Word</Application>
  <DocSecurity>0</DocSecurity>
  <Lines>474</Lines>
  <Paragraphs>262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36229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Arbaz Pathan</cp:lastModifiedBy>
  <cp:revision>43</cp:revision>
  <cp:lastPrinted>2026-01-30T18:37:00Z</cp:lastPrinted>
  <dcterms:created xsi:type="dcterms:W3CDTF">2026-01-28T08:20:00Z</dcterms:created>
  <dcterms:modified xsi:type="dcterms:W3CDTF">2026-03-09T11:34:00Z</dcterms:modified>
  <cp:category/>
</cp:coreProperties>
</file>