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3C6C" w14:textId="6375F0E9" w:rsidR="00846CEB" w:rsidRPr="00965426" w:rsidRDefault="00965426" w:rsidP="001B5B83">
      <w:pPr>
        <w:rPr>
          <w:b/>
          <w:bCs/>
          <w:lang w:val="en-GB"/>
        </w:rPr>
      </w:pPr>
      <w:r w:rsidRPr="00965426">
        <w:rPr>
          <w:b/>
          <w:bCs/>
          <w:lang w:val="en-GB"/>
        </w:rPr>
        <w:t>Post-review adjustments</w:t>
      </w:r>
    </w:p>
    <w:p w14:paraId="5157514C" w14:textId="77777777" w:rsidR="00965426" w:rsidRDefault="00965426" w:rsidP="001B5B83">
      <w:pPr>
        <w:rPr>
          <w:lang w:val="en-GB"/>
        </w:rPr>
      </w:pPr>
    </w:p>
    <w:p w14:paraId="6C3C1A04" w14:textId="07B21227" w:rsidR="00965426" w:rsidRPr="00965426" w:rsidRDefault="00965426" w:rsidP="00965426">
      <w:pPr>
        <w:rPr>
          <w:b/>
          <w:bCs/>
          <w:lang w:val="en-GB"/>
        </w:rPr>
      </w:pPr>
      <w:r w:rsidRPr="00965426">
        <w:rPr>
          <w:b/>
          <w:bCs/>
          <w:lang w:val="en-GB"/>
        </w:rPr>
        <w:t>Abstract</w:t>
      </w:r>
    </w:p>
    <w:p w14:paraId="58BEF301" w14:textId="77777777" w:rsidR="00965426" w:rsidRPr="00965426" w:rsidRDefault="00965426" w:rsidP="00965426">
      <w:pPr>
        <w:rPr>
          <w:lang w:val="en-GB"/>
        </w:rPr>
      </w:pPr>
      <w:r w:rsidRPr="00965426">
        <w:rPr>
          <w:lang w:val="en-GB"/>
        </w:rPr>
        <w:t>Current text:</w:t>
      </w:r>
      <w:r w:rsidRPr="00965426">
        <w:rPr>
          <w:lang w:val="en-GB"/>
        </w:rPr>
        <w:br/>
        <w:t>“The noncancer hazard index (HI) would reach 3.0, meaning substantially elevated acute risks during high-smoke periods.”</w:t>
      </w:r>
    </w:p>
    <w:p w14:paraId="307D4867" w14:textId="77777777" w:rsidR="00965426" w:rsidRPr="00965426" w:rsidRDefault="00965426" w:rsidP="00965426">
      <w:pPr>
        <w:rPr>
          <w:lang w:val="en-GB"/>
        </w:rPr>
      </w:pPr>
      <w:r w:rsidRPr="00965426">
        <w:rPr>
          <w:lang w:val="en-GB"/>
        </w:rPr>
        <w:t>Requested text:</w:t>
      </w:r>
      <w:r w:rsidRPr="00965426">
        <w:rPr>
          <w:lang w:val="en-GB"/>
        </w:rPr>
        <w:br/>
        <w:t>“The chronic non-cancer hazard index (HI) would reach 3.0, indicating appreciable potential for chronic non-cancer effects.”</w:t>
      </w:r>
    </w:p>
    <w:p w14:paraId="514F657E" w14:textId="77777777" w:rsidR="00965426" w:rsidRPr="00965426" w:rsidRDefault="00965426" w:rsidP="00965426">
      <w:pPr>
        <w:rPr>
          <w:lang w:val="en-GB"/>
        </w:rPr>
      </w:pPr>
      <w:r w:rsidRPr="00965426">
        <w:rPr>
          <w:lang w:val="en-GB"/>
        </w:rPr>
        <w:t>Reason:</w:t>
      </w:r>
      <w:r w:rsidRPr="00965426">
        <w:rPr>
          <w:lang w:val="en-GB"/>
        </w:rPr>
        <w:br/>
        <w:t>The reported HI of 3.0 is the chronic non-cancer HI. Acute non-cancer risk is evaluated separately using the 1 h and 8 h HIs. This correction makes the abstract consistent with Sect. 7 and Fig. 7.</w:t>
      </w:r>
    </w:p>
    <w:p w14:paraId="2095B883" w14:textId="77777777" w:rsidR="00965426" w:rsidRDefault="00965426" w:rsidP="00965426">
      <w:pPr>
        <w:rPr>
          <w:lang w:val="en-GB"/>
        </w:rPr>
      </w:pPr>
    </w:p>
    <w:p w14:paraId="2DD3BD2B" w14:textId="77777777" w:rsidR="00965426" w:rsidRDefault="00965426" w:rsidP="00965426">
      <w:pPr>
        <w:rPr>
          <w:lang w:val="en-GB"/>
        </w:rPr>
      </w:pPr>
    </w:p>
    <w:p w14:paraId="6DF576F3" w14:textId="5E0F6281" w:rsidR="00965426" w:rsidRPr="00965426" w:rsidRDefault="00965426" w:rsidP="00965426">
      <w:pPr>
        <w:rPr>
          <w:b/>
          <w:bCs/>
          <w:lang w:val="en-GB"/>
        </w:rPr>
      </w:pPr>
      <w:r w:rsidRPr="00965426">
        <w:rPr>
          <w:b/>
          <w:bCs/>
          <w:lang w:val="en-GB"/>
        </w:rPr>
        <w:t>Section 7</w:t>
      </w:r>
    </w:p>
    <w:p w14:paraId="7CE142DB" w14:textId="77777777" w:rsidR="00965426" w:rsidRPr="00965426" w:rsidRDefault="00965426" w:rsidP="00965426">
      <w:pPr>
        <w:rPr>
          <w:lang w:val="en-GB"/>
        </w:rPr>
      </w:pPr>
      <w:r w:rsidRPr="00965426">
        <w:rPr>
          <w:lang w:val="en-GB"/>
        </w:rPr>
        <w:t>Current text:</w:t>
      </w:r>
      <w:r w:rsidRPr="00965426">
        <w:rPr>
          <w:lang w:val="en-GB"/>
        </w:rPr>
        <w:br/>
        <w:t>“Figure 7 summarizes the upper-limit chronic inhalation risks from wildfire smoke, assuming that a 2020-style wildfire season were to recur annually over the next century.”</w:t>
      </w:r>
    </w:p>
    <w:p w14:paraId="68CED20D" w14:textId="77777777" w:rsidR="00965426" w:rsidRPr="00965426" w:rsidRDefault="00965426" w:rsidP="00965426">
      <w:pPr>
        <w:rPr>
          <w:lang w:val="en-GB"/>
        </w:rPr>
      </w:pPr>
      <w:r w:rsidRPr="00965426">
        <w:rPr>
          <w:lang w:val="en-GB"/>
        </w:rPr>
        <w:t>Requested text:</w:t>
      </w:r>
      <w:r w:rsidRPr="00965426">
        <w:rPr>
          <w:lang w:val="en-GB"/>
        </w:rPr>
        <w:br/>
        <w:t>“Figure 7 summarizes the upper-limit chronic inhalation risks from wildfire smoke, assuming that a 2020-style wildfire season were to recur annually over a 70-year lifetime.”</w:t>
      </w:r>
    </w:p>
    <w:p w14:paraId="615D3EB9" w14:textId="77777777" w:rsidR="00965426" w:rsidRPr="00965426" w:rsidRDefault="00965426" w:rsidP="00965426">
      <w:pPr>
        <w:rPr>
          <w:lang w:val="en-GB"/>
        </w:rPr>
      </w:pPr>
      <w:r w:rsidRPr="00965426">
        <w:rPr>
          <w:lang w:val="en-GB"/>
        </w:rPr>
        <w:t>Reason:</w:t>
      </w:r>
      <w:r w:rsidRPr="00965426">
        <w:rPr>
          <w:lang w:val="en-GB"/>
        </w:rPr>
        <w:br/>
        <w:t xml:space="preserve">The lifetime-risk calculation uses a 70-year exposure duration, as stated later in Sect. 7 and in the Supplement. The correction therefore states the exposure period </w:t>
      </w:r>
      <w:proofErr w:type="gramStart"/>
      <w:r w:rsidRPr="00965426">
        <w:rPr>
          <w:lang w:val="en-GB"/>
        </w:rPr>
        <w:t>actually used</w:t>
      </w:r>
      <w:proofErr w:type="gramEnd"/>
      <w:r w:rsidRPr="00965426">
        <w:rPr>
          <w:lang w:val="en-GB"/>
        </w:rPr>
        <w:t>.</w:t>
      </w:r>
    </w:p>
    <w:p w14:paraId="5104FC0D" w14:textId="77777777" w:rsidR="00965426" w:rsidRPr="00662EBA" w:rsidRDefault="00965426" w:rsidP="001B5B83">
      <w:pPr>
        <w:rPr>
          <w:lang w:val="en-GB"/>
        </w:rPr>
      </w:pPr>
    </w:p>
    <w:sectPr w:rsidR="00965426" w:rsidRPr="00662EBA" w:rsidSect="003F075A">
      <w:headerReference w:type="first" r:id="rId7"/>
      <w:pgSz w:w="11906" w:h="16838" w:code="9"/>
      <w:pgMar w:top="3056" w:right="2552" w:bottom="1979" w:left="1418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2153" w14:textId="77777777" w:rsidR="0067646F" w:rsidRDefault="0067646F">
      <w:r>
        <w:separator/>
      </w:r>
    </w:p>
  </w:endnote>
  <w:endnote w:type="continuationSeparator" w:id="0">
    <w:p w14:paraId="4B34A909" w14:textId="77777777" w:rsidR="0067646F" w:rsidRDefault="0067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46C6" w14:textId="77777777" w:rsidR="0067646F" w:rsidRDefault="0067646F">
      <w:r>
        <w:separator/>
      </w:r>
    </w:p>
  </w:footnote>
  <w:footnote w:type="continuationSeparator" w:id="0">
    <w:p w14:paraId="3339A158" w14:textId="77777777" w:rsidR="0067646F" w:rsidRDefault="00676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B730" w14:textId="77777777" w:rsidR="004A3B6F" w:rsidRDefault="006434E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203440" cy="10452735"/>
          <wp:effectExtent l="0" t="0" r="0" b="5715"/>
          <wp:wrapNone/>
          <wp:docPr id="16" name="Picture 16" descr="bb-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b-hintergr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40" cy="1045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4A96D7" w14:textId="77777777" w:rsidR="004A3B6F" w:rsidRDefault="004A3B6F">
    <w:pPr>
      <w:pStyle w:val="Header"/>
    </w:pPr>
  </w:p>
  <w:p w14:paraId="198966E3" w14:textId="77777777" w:rsidR="004A3B6F" w:rsidRDefault="004A3B6F">
    <w:pPr>
      <w:pStyle w:val="Header"/>
    </w:pPr>
  </w:p>
  <w:p w14:paraId="473CCF75" w14:textId="77777777" w:rsidR="004A3B6F" w:rsidRDefault="004A3B6F">
    <w:pPr>
      <w:pStyle w:val="Header"/>
    </w:pPr>
  </w:p>
  <w:p w14:paraId="02EF8FCD" w14:textId="77777777" w:rsidR="005B4DCB" w:rsidRDefault="005B4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C02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22E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527C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7C1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0BA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0481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10A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10A8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8A4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A4E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995624">
    <w:abstractNumId w:val="9"/>
  </w:num>
  <w:num w:numId="2" w16cid:durableId="1864858489">
    <w:abstractNumId w:val="7"/>
  </w:num>
  <w:num w:numId="3" w16cid:durableId="131219589">
    <w:abstractNumId w:val="6"/>
  </w:num>
  <w:num w:numId="4" w16cid:durableId="787965906">
    <w:abstractNumId w:val="5"/>
  </w:num>
  <w:num w:numId="5" w16cid:durableId="1671057922">
    <w:abstractNumId w:val="4"/>
  </w:num>
  <w:num w:numId="6" w16cid:durableId="1152022589">
    <w:abstractNumId w:val="8"/>
  </w:num>
  <w:num w:numId="7" w16cid:durableId="1855995750">
    <w:abstractNumId w:val="3"/>
  </w:num>
  <w:num w:numId="8" w16cid:durableId="1807356498">
    <w:abstractNumId w:val="2"/>
  </w:num>
  <w:num w:numId="9" w16cid:durableId="872427146">
    <w:abstractNumId w:val="1"/>
  </w:num>
  <w:num w:numId="10" w16cid:durableId="1126969731">
    <w:abstractNumId w:val="0"/>
  </w:num>
  <w:num w:numId="11" w16cid:durableId="1460301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74CC7"/>
    <w:rsid w:val="00002EA0"/>
    <w:rsid w:val="00016A0D"/>
    <w:rsid w:val="0004043C"/>
    <w:rsid w:val="00041F09"/>
    <w:rsid w:val="0005089E"/>
    <w:rsid w:val="00096859"/>
    <w:rsid w:val="000A4407"/>
    <w:rsid w:val="00166591"/>
    <w:rsid w:val="00196F3C"/>
    <w:rsid w:val="001B5B83"/>
    <w:rsid w:val="001B6454"/>
    <w:rsid w:val="002222B6"/>
    <w:rsid w:val="00236CBF"/>
    <w:rsid w:val="0024335E"/>
    <w:rsid w:val="00250C52"/>
    <w:rsid w:val="0026391B"/>
    <w:rsid w:val="00301233"/>
    <w:rsid w:val="00311D44"/>
    <w:rsid w:val="00366CB7"/>
    <w:rsid w:val="00370C22"/>
    <w:rsid w:val="00371BC1"/>
    <w:rsid w:val="00373971"/>
    <w:rsid w:val="003863C2"/>
    <w:rsid w:val="003B6168"/>
    <w:rsid w:val="003C20CD"/>
    <w:rsid w:val="003C4A59"/>
    <w:rsid w:val="003E1C91"/>
    <w:rsid w:val="003F075A"/>
    <w:rsid w:val="00434DAF"/>
    <w:rsid w:val="004351CC"/>
    <w:rsid w:val="00443B33"/>
    <w:rsid w:val="00451E6F"/>
    <w:rsid w:val="004678F0"/>
    <w:rsid w:val="004768CF"/>
    <w:rsid w:val="00485B5A"/>
    <w:rsid w:val="00487496"/>
    <w:rsid w:val="0049716F"/>
    <w:rsid w:val="004A3B6F"/>
    <w:rsid w:val="004E57C3"/>
    <w:rsid w:val="0050624F"/>
    <w:rsid w:val="0052656B"/>
    <w:rsid w:val="00533DF1"/>
    <w:rsid w:val="005617AB"/>
    <w:rsid w:val="00587AAC"/>
    <w:rsid w:val="005B4DCB"/>
    <w:rsid w:val="00600A5A"/>
    <w:rsid w:val="00613A64"/>
    <w:rsid w:val="006172A2"/>
    <w:rsid w:val="00631979"/>
    <w:rsid w:val="00631BB6"/>
    <w:rsid w:val="006434E0"/>
    <w:rsid w:val="00662EBA"/>
    <w:rsid w:val="0066787D"/>
    <w:rsid w:val="00670486"/>
    <w:rsid w:val="00670BBF"/>
    <w:rsid w:val="0067646F"/>
    <w:rsid w:val="00681B51"/>
    <w:rsid w:val="006A0BC5"/>
    <w:rsid w:val="006A6A47"/>
    <w:rsid w:val="006B3297"/>
    <w:rsid w:val="006D1EDD"/>
    <w:rsid w:val="006F3744"/>
    <w:rsid w:val="00746729"/>
    <w:rsid w:val="007724E1"/>
    <w:rsid w:val="00780B27"/>
    <w:rsid w:val="007F2A12"/>
    <w:rsid w:val="00803ACF"/>
    <w:rsid w:val="008400AF"/>
    <w:rsid w:val="00846CEB"/>
    <w:rsid w:val="008B1E7D"/>
    <w:rsid w:val="008C21BB"/>
    <w:rsid w:val="009144B4"/>
    <w:rsid w:val="009174D8"/>
    <w:rsid w:val="00921B4E"/>
    <w:rsid w:val="00921B94"/>
    <w:rsid w:val="00964F05"/>
    <w:rsid w:val="00965426"/>
    <w:rsid w:val="00974B5A"/>
    <w:rsid w:val="0098521F"/>
    <w:rsid w:val="009938B5"/>
    <w:rsid w:val="009B20C3"/>
    <w:rsid w:val="009C7583"/>
    <w:rsid w:val="00A36A2E"/>
    <w:rsid w:val="00A42408"/>
    <w:rsid w:val="00A52AAA"/>
    <w:rsid w:val="00A66C04"/>
    <w:rsid w:val="00AA0EF4"/>
    <w:rsid w:val="00AB0476"/>
    <w:rsid w:val="00AC2363"/>
    <w:rsid w:val="00AF56D1"/>
    <w:rsid w:val="00B01532"/>
    <w:rsid w:val="00B60B85"/>
    <w:rsid w:val="00B66241"/>
    <w:rsid w:val="00B66D84"/>
    <w:rsid w:val="00B82D9C"/>
    <w:rsid w:val="00B97579"/>
    <w:rsid w:val="00BE5131"/>
    <w:rsid w:val="00C139C5"/>
    <w:rsid w:val="00C21C4B"/>
    <w:rsid w:val="00C32320"/>
    <w:rsid w:val="00C66F91"/>
    <w:rsid w:val="00C71812"/>
    <w:rsid w:val="00C765D8"/>
    <w:rsid w:val="00CB6F3F"/>
    <w:rsid w:val="00CC0D3F"/>
    <w:rsid w:val="00CC58EB"/>
    <w:rsid w:val="00CE64AD"/>
    <w:rsid w:val="00D21B28"/>
    <w:rsid w:val="00D3647E"/>
    <w:rsid w:val="00D720D8"/>
    <w:rsid w:val="00D8319F"/>
    <w:rsid w:val="00D839AC"/>
    <w:rsid w:val="00D952C8"/>
    <w:rsid w:val="00DA3618"/>
    <w:rsid w:val="00DB5BAB"/>
    <w:rsid w:val="00DC0D59"/>
    <w:rsid w:val="00DC373F"/>
    <w:rsid w:val="00DF5EA0"/>
    <w:rsid w:val="00DF62E9"/>
    <w:rsid w:val="00E207D3"/>
    <w:rsid w:val="00E74CC7"/>
    <w:rsid w:val="00EC6CAC"/>
    <w:rsid w:val="00F2359B"/>
    <w:rsid w:val="00F42621"/>
    <w:rsid w:val="00F9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5EE04"/>
  <w15:chartTrackingRefBased/>
  <w15:docId w15:val="{E7A80FD1-D8A9-4E71-96D4-9BC724DE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5D8"/>
    <w:pPr>
      <w:spacing w:line="260" w:lineRule="exact"/>
    </w:pPr>
    <w:rPr>
      <w:rFonts w:ascii="Verdana" w:hAnsi="Verdana"/>
      <w:sz w:val="19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9144B4"/>
    <w:pPr>
      <w:keepNext/>
      <w:spacing w:before="240" w:after="360" w:line="240" w:lineRule="auto"/>
      <w:outlineLvl w:val="0"/>
    </w:pPr>
    <w:rPr>
      <w:rFonts w:cs="Arial"/>
      <w:b/>
      <w:bCs/>
      <w:color w:val="00000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222B6"/>
    <w:pPr>
      <w:keepNext/>
      <w:pBdr>
        <w:bottom w:val="single" w:sz="4" w:space="1" w:color="808080"/>
      </w:pBdr>
      <w:spacing w:before="240" w:after="260" w:line="240" w:lineRule="auto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144B4"/>
    <w:pPr>
      <w:keepNext/>
      <w:spacing w:before="240" w:after="2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803AC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74C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74C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74C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74C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74C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DC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qFormat/>
    <w:rsid w:val="005B4DCB"/>
    <w:pPr>
      <w:tabs>
        <w:tab w:val="center" w:pos="4536"/>
        <w:tab w:val="right" w:pos="9072"/>
      </w:tabs>
    </w:pPr>
  </w:style>
  <w:style w:type="paragraph" w:customStyle="1" w:styleId="Kontakt">
    <w:name w:val="Kontakt"/>
    <w:basedOn w:val="Normal"/>
    <w:qFormat/>
    <w:rsid w:val="00C66F91"/>
    <w:pPr>
      <w:spacing w:line="160" w:lineRule="exact"/>
    </w:pPr>
    <w:rPr>
      <w:color w:val="808080"/>
      <w:sz w:val="13"/>
    </w:rPr>
  </w:style>
  <w:style w:type="paragraph" w:customStyle="1" w:styleId="Betreff">
    <w:name w:val="Betreff"/>
    <w:basedOn w:val="Normal"/>
    <w:next w:val="Normal"/>
    <w:qFormat/>
    <w:rsid w:val="007724E1"/>
    <w:rPr>
      <w:b/>
    </w:rPr>
  </w:style>
  <w:style w:type="character" w:styleId="Hyperlink">
    <w:name w:val="Hyperlink"/>
    <w:rsid w:val="00AA0EF4"/>
    <w:rPr>
      <w:color w:val="0000FF"/>
      <w:u w:val="single"/>
    </w:rPr>
  </w:style>
  <w:style w:type="table" w:styleId="TableGrid">
    <w:name w:val="Table Grid"/>
    <w:basedOn w:val="TableNormal"/>
    <w:rsid w:val="009938B5"/>
    <w:pPr>
      <w:spacing w:line="260" w:lineRule="exact"/>
    </w:pPr>
    <w:tblPr>
      <w:tblCellMar>
        <w:left w:w="0" w:type="dxa"/>
        <w:right w:w="0" w:type="dxa"/>
      </w:tblCellMar>
    </w:tblPr>
  </w:style>
  <w:style w:type="paragraph" w:customStyle="1" w:styleId="Name">
    <w:name w:val="Name"/>
    <w:basedOn w:val="Normal"/>
    <w:qFormat/>
    <w:rsid w:val="00A42408"/>
    <w:pPr>
      <w:spacing w:before="160" w:after="80"/>
    </w:pPr>
    <w:rPr>
      <w:rFonts w:ascii="Book Antiqua" w:hAnsi="Book Antiqua"/>
      <w:color w:val="808080"/>
      <w:sz w:val="22"/>
    </w:rPr>
  </w:style>
  <w:style w:type="paragraph" w:styleId="BalloonText">
    <w:name w:val="Balloon Text"/>
    <w:basedOn w:val="Normal"/>
    <w:semiHidden/>
    <w:rsid w:val="00B82D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87AA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Copernicus">
    <w:name w:val="Copernicus"/>
    <w:basedOn w:val="TableNormal"/>
    <w:rsid w:val="003E1C91"/>
    <w:rPr>
      <w:rFonts w:ascii="Verdana" w:hAnsi="Verdana"/>
      <w:sz w:val="19"/>
      <w:lang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customStyle="1" w:styleId="Bullets">
    <w:name w:val="Bullets"/>
    <w:basedOn w:val="Normal"/>
    <w:link w:val="BulletsChar"/>
    <w:qFormat/>
    <w:rsid w:val="003E1C91"/>
    <w:pPr>
      <w:numPr>
        <w:numId w:val="11"/>
      </w:numPr>
    </w:pPr>
    <w:rPr>
      <w:lang w:val="en-GB"/>
    </w:rPr>
  </w:style>
  <w:style w:type="character" w:customStyle="1" w:styleId="BulletsChar">
    <w:name w:val="Bullets Char"/>
    <w:link w:val="Bullets"/>
    <w:rsid w:val="003E1C91"/>
    <w:rPr>
      <w:rFonts w:ascii="Verdana" w:hAnsi="Verdana"/>
      <w:sz w:val="19"/>
      <w:szCs w:val="24"/>
      <w:lang w:eastAsia="de-DE"/>
    </w:rPr>
  </w:style>
  <w:style w:type="character" w:customStyle="1" w:styleId="FooterChar">
    <w:name w:val="Footer Char"/>
    <w:link w:val="Footer"/>
    <w:rsid w:val="00921B4E"/>
    <w:rPr>
      <w:rFonts w:ascii="Verdana" w:hAnsi="Verdana"/>
      <w:sz w:val="19"/>
      <w:szCs w:val="24"/>
      <w:lang w:val="de-DE" w:eastAsia="de-DE"/>
    </w:rPr>
  </w:style>
  <w:style w:type="character" w:customStyle="1" w:styleId="Heading5Char">
    <w:name w:val="Heading 5 Char"/>
    <w:basedOn w:val="DefaultParagraphFont"/>
    <w:link w:val="Heading5"/>
    <w:semiHidden/>
    <w:rsid w:val="00E74CC7"/>
    <w:rPr>
      <w:rFonts w:asciiTheme="minorHAnsi" w:eastAsiaTheme="majorEastAsia" w:hAnsiTheme="minorHAnsi" w:cstheme="majorBidi"/>
      <w:color w:val="365F91" w:themeColor="accent1" w:themeShade="BF"/>
      <w:sz w:val="19"/>
      <w:szCs w:val="24"/>
      <w:lang w:val="de-DE" w:eastAsia="de-DE"/>
    </w:rPr>
  </w:style>
  <w:style w:type="character" w:customStyle="1" w:styleId="Heading6Char">
    <w:name w:val="Heading 6 Char"/>
    <w:basedOn w:val="DefaultParagraphFont"/>
    <w:link w:val="Heading6"/>
    <w:semiHidden/>
    <w:rsid w:val="00E74CC7"/>
    <w:rPr>
      <w:rFonts w:asciiTheme="minorHAnsi" w:eastAsiaTheme="majorEastAsia" w:hAnsiTheme="minorHAnsi" w:cstheme="majorBidi"/>
      <w:i/>
      <w:iCs/>
      <w:color w:val="595959" w:themeColor="text1" w:themeTint="A6"/>
      <w:sz w:val="19"/>
      <w:szCs w:val="24"/>
      <w:lang w:val="de-DE" w:eastAsia="de-DE"/>
    </w:rPr>
  </w:style>
  <w:style w:type="character" w:customStyle="1" w:styleId="Heading7Char">
    <w:name w:val="Heading 7 Char"/>
    <w:basedOn w:val="DefaultParagraphFont"/>
    <w:link w:val="Heading7"/>
    <w:semiHidden/>
    <w:rsid w:val="00E74CC7"/>
    <w:rPr>
      <w:rFonts w:asciiTheme="minorHAnsi" w:eastAsiaTheme="majorEastAsia" w:hAnsiTheme="minorHAnsi" w:cstheme="majorBidi"/>
      <w:color w:val="595959" w:themeColor="text1" w:themeTint="A6"/>
      <w:sz w:val="19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semiHidden/>
    <w:rsid w:val="00E74CC7"/>
    <w:rPr>
      <w:rFonts w:asciiTheme="minorHAnsi" w:eastAsiaTheme="majorEastAsia" w:hAnsiTheme="minorHAnsi" w:cstheme="majorBidi"/>
      <w:i/>
      <w:iCs/>
      <w:color w:val="272727" w:themeColor="text1" w:themeTint="D8"/>
      <w:sz w:val="19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semiHidden/>
    <w:rsid w:val="00E74CC7"/>
    <w:rPr>
      <w:rFonts w:asciiTheme="minorHAnsi" w:eastAsiaTheme="majorEastAsia" w:hAnsiTheme="minorHAnsi" w:cstheme="majorBidi"/>
      <w:color w:val="272727" w:themeColor="text1" w:themeTint="D8"/>
      <w:sz w:val="19"/>
      <w:szCs w:val="24"/>
      <w:lang w:val="de-DE" w:eastAsia="de-DE"/>
    </w:rPr>
  </w:style>
  <w:style w:type="paragraph" w:styleId="Title">
    <w:name w:val="Title"/>
    <w:basedOn w:val="Normal"/>
    <w:next w:val="Normal"/>
    <w:link w:val="TitleChar"/>
    <w:rsid w:val="00E74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74CC7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  <w:style w:type="paragraph" w:styleId="Subtitle">
    <w:name w:val="Subtitle"/>
    <w:basedOn w:val="Normal"/>
    <w:next w:val="Normal"/>
    <w:link w:val="SubtitleChar"/>
    <w:rsid w:val="00E74C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E74C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rsid w:val="00E74C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CC7"/>
    <w:rPr>
      <w:rFonts w:ascii="Verdana" w:hAnsi="Verdana"/>
      <w:i/>
      <w:iCs/>
      <w:color w:val="404040" w:themeColor="text1" w:themeTint="BF"/>
      <w:sz w:val="19"/>
      <w:szCs w:val="24"/>
      <w:lang w:val="de-DE" w:eastAsia="de-DE"/>
    </w:rPr>
  </w:style>
  <w:style w:type="paragraph" w:styleId="ListParagraph">
    <w:name w:val="List Paragraph"/>
    <w:basedOn w:val="Normal"/>
    <w:uiPriority w:val="34"/>
    <w:rsid w:val="00E74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E74CC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74C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CC7"/>
    <w:rPr>
      <w:rFonts w:ascii="Verdana" w:hAnsi="Verdana"/>
      <w:i/>
      <w:iCs/>
      <w:color w:val="365F91" w:themeColor="accent1" w:themeShade="BF"/>
      <w:sz w:val="19"/>
      <w:szCs w:val="24"/>
      <w:lang w:val="de-DE" w:eastAsia="de-DE"/>
    </w:rPr>
  </w:style>
  <w:style w:type="character" w:styleId="IntenseReference">
    <w:name w:val="Intense Reference"/>
    <w:basedOn w:val="DefaultParagraphFont"/>
    <w:uiPriority w:val="32"/>
    <w:rsid w:val="00E74CC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Publications_DigiPrint</dc:title>
  <dc:subject>Copernicus Publications Document</dc:subject>
  <dc:creator>Meike Volle</dc:creator>
  <cp:keywords/>
  <dc:description/>
  <cp:lastModifiedBy>Meike Volle</cp:lastModifiedBy>
  <cp:revision>2</cp:revision>
  <cp:lastPrinted>2008-10-22T16:29:00Z</cp:lastPrinted>
  <dcterms:created xsi:type="dcterms:W3CDTF">2026-08-04T06:11:00Z</dcterms:created>
  <dcterms:modified xsi:type="dcterms:W3CDTF">2026-08-04T06:12:00Z</dcterms:modified>
</cp:coreProperties>
</file>