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CEC" w:rsidRDefault="00695890" w:rsidP="00695890">
      <w:pPr>
        <w:rPr>
          <w:b/>
        </w:rPr>
      </w:pPr>
      <w:r>
        <w:rPr>
          <w:b/>
        </w:rPr>
        <w:t>Reviewer#1</w:t>
      </w:r>
    </w:p>
    <w:p w:rsidR="00B2598A" w:rsidRPr="008A1534" w:rsidRDefault="00365CEC" w:rsidP="00A74D83">
      <w:pPr>
        <w:jc w:val="both"/>
      </w:pPr>
      <w:r>
        <w:rPr>
          <w:b/>
        </w:rPr>
        <w:t xml:space="preserve">Highlight Status: </w:t>
      </w:r>
      <w:r w:rsidRPr="00365CEC">
        <w:t>I think that this paper is of particular interest due to some issues related to: - its significance and influence on people’s lives, particularly those living in Stromboli usually or during summertime (thousands of people more tha</w:t>
      </w:r>
      <w:r w:rsidR="00CA7975">
        <w:t>n</w:t>
      </w:r>
      <w:r w:rsidRPr="00365CEC">
        <w:t xml:space="preserve"> in fall-winter), as the knowledge gained from it would help save lives and limit material damage; - the relevance of its arguments with respect to the problem of natural disasters and future volcanic eruptions</w:t>
      </w:r>
      <w:r w:rsidR="00321E7B">
        <w:t xml:space="preserve">. </w:t>
      </w:r>
      <w:r w:rsidR="00B2598A" w:rsidRPr="00B2598A">
        <w:rPr>
          <w:color w:val="FF0000"/>
        </w:rPr>
        <w:t>Thank you very much for the appreciation.</w:t>
      </w:r>
    </w:p>
    <w:p w:rsidR="00B2598A" w:rsidRPr="008A1534" w:rsidRDefault="001F50D3" w:rsidP="00A74D83">
      <w:pPr>
        <w:jc w:val="both"/>
      </w:pPr>
      <w:r w:rsidRPr="001F50D3">
        <w:rPr>
          <w:b/>
        </w:rPr>
        <w:t>Review report:</w:t>
      </w:r>
      <w:r>
        <w:t xml:space="preserve"> </w:t>
      </w:r>
      <w:r w:rsidR="00695890" w:rsidRPr="00C6455B">
        <w:t xml:space="preserve">Finally, we have a paper with probability maps on this specific hazard (ballistic projectile) that is of considerable importance on Stromboli Island. And it's especially important for Stromboli citizens and tourists. After the reading, I think that the English used seems solid and structurally rigorous to me (but I'm not a native speaker). </w:t>
      </w:r>
      <w:r w:rsidR="00B2598A" w:rsidRPr="00B2598A">
        <w:rPr>
          <w:color w:val="FF0000"/>
        </w:rPr>
        <w:t>Thanks.</w:t>
      </w:r>
    </w:p>
    <w:p w:rsidR="003832AF" w:rsidRDefault="00695890" w:rsidP="00A74D83">
      <w:pPr>
        <w:jc w:val="both"/>
      </w:pPr>
      <w:r w:rsidRPr="00C6455B">
        <w:t xml:space="preserve">The paper has some limits </w:t>
      </w:r>
      <w:r w:rsidR="00B2598A" w:rsidRPr="00C6455B">
        <w:t>intrinsically</w:t>
      </w:r>
      <w:r w:rsidRPr="00C6455B">
        <w:t xml:space="preserve"> related to the collected data and the methodological approach. However, the Authors of the article themselves clearly highlight their presence or some weaknesses. This is indicative of transparency and reliability. </w:t>
      </w:r>
      <w:proofErr w:type="gramStart"/>
      <w:r w:rsidRPr="00C6455B">
        <w:t>Very commendable and not really common among scientists.</w:t>
      </w:r>
      <w:proofErr w:type="gramEnd"/>
      <w:r w:rsidRPr="00C6455B">
        <w:t xml:space="preserve"> Anyway, these limits need to be re-considered and possibly reduced. </w:t>
      </w:r>
    </w:p>
    <w:p w:rsidR="00B2598A" w:rsidRPr="00B2598A" w:rsidRDefault="00B2598A" w:rsidP="00A74D83">
      <w:pPr>
        <w:jc w:val="both"/>
        <w:rPr>
          <w:color w:val="FF0000"/>
        </w:rPr>
      </w:pPr>
      <w:r w:rsidRPr="00B2598A">
        <w:rPr>
          <w:color w:val="FF0000"/>
        </w:rPr>
        <w:t xml:space="preserve">Thanks. </w:t>
      </w:r>
      <w:r w:rsidR="003832AF" w:rsidRPr="003832AF">
        <w:rPr>
          <w:color w:val="FF0000"/>
        </w:rPr>
        <w:t>As you will see, we have addressed all the points raised and tried to quantify the effect of some of these limitations, although some others need to be address</w:t>
      </w:r>
      <w:r w:rsidR="00706BED">
        <w:rPr>
          <w:color w:val="FF0000"/>
        </w:rPr>
        <w:t>ed</w:t>
      </w:r>
      <w:r w:rsidR="003832AF" w:rsidRPr="003832AF">
        <w:rPr>
          <w:color w:val="FF0000"/>
        </w:rPr>
        <w:t xml:space="preserve"> in future studies</w:t>
      </w:r>
    </w:p>
    <w:p w:rsidR="00695890" w:rsidRPr="00C6455B" w:rsidRDefault="00695890" w:rsidP="00A74D83">
      <w:pPr>
        <w:jc w:val="both"/>
      </w:pPr>
      <w:r w:rsidRPr="00C6455B">
        <w:t>In my opinion, they are the following:</w:t>
      </w:r>
    </w:p>
    <w:p w:rsidR="00E5635B" w:rsidRDefault="00695890" w:rsidP="00A74D83">
      <w:pPr>
        <w:jc w:val="both"/>
      </w:pPr>
      <w:r w:rsidRPr="00C6455B">
        <w:rPr>
          <w:b/>
          <w:bCs/>
        </w:rPr>
        <w:t>a)</w:t>
      </w:r>
      <w:r w:rsidRPr="00C6455B">
        <w:t xml:space="preserve"> Ineffectiveness in providing the areal density of projectiles, since the study simply calculates the probability that a given area will be hit by ballistic fallout in the event of a Major Explosion (ME) or paroxysm, but does not analyze the number of projectiles per unit area (areal density). Therefore, the results do not provide a direct measure of the probability that a person or a structure can be actually targeted or hit. This shortcoming is justified through the fact that the exact number of projectiles on the ground is rarely documented in historical accounts. The fact that another "companion paper" is cited as the main source from which these data are extracted doesn't allow me to fully understand the consistency of these assumptions and the breadth of sources consulted. In other words, may be, this point can be better clarified or more field-data could be considered. </w:t>
      </w:r>
      <w:r w:rsidRPr="00695890">
        <w:rPr>
          <w:lang w:val="it-IT"/>
        </w:rPr>
        <w:t xml:space="preserve">In addition, I ask if Andronico et al. (2021), Giordano and De Astis (2021), Bisson et al. (2023), Voloschina et </w:t>
      </w:r>
      <w:r w:rsidR="00B2598A">
        <w:rPr>
          <w:lang w:val="it-IT"/>
        </w:rPr>
        <w:t>a</w:t>
      </w:r>
      <w:r w:rsidRPr="00695890">
        <w:rPr>
          <w:lang w:val="it-IT"/>
        </w:rPr>
        <w:t xml:space="preserve">l. </w:t>
      </w:r>
      <w:r w:rsidRPr="00C6455B">
        <w:t xml:space="preserve">(2023) have deeply and very carefully considered? They are the most recent field-works done on major explosions and paroxysms, so… If not, please improve this topic. Also </w:t>
      </w:r>
      <w:proofErr w:type="spellStart"/>
      <w:r w:rsidRPr="00C6455B">
        <w:t>Pioli</w:t>
      </w:r>
      <w:proofErr w:type="spellEnd"/>
      <w:r w:rsidRPr="00C6455B">
        <w:t xml:space="preserve"> et </w:t>
      </w:r>
      <w:r w:rsidR="00B2598A">
        <w:t>a</w:t>
      </w:r>
      <w:r w:rsidRPr="00C6455B">
        <w:t>l. (2014) Geology 42(10), which is not present in the References, should be considered.</w:t>
      </w:r>
      <w:r w:rsidR="00E5635B">
        <w:t xml:space="preserve"> </w:t>
      </w:r>
    </w:p>
    <w:p w:rsidR="003832AF" w:rsidRDefault="003832AF" w:rsidP="00A74D83">
      <w:pPr>
        <w:jc w:val="both"/>
        <w:rPr>
          <w:color w:val="FF0000"/>
        </w:rPr>
      </w:pPr>
      <w:r>
        <w:rPr>
          <w:color w:val="FF0000"/>
        </w:rPr>
        <w:t>T</w:t>
      </w:r>
      <w:r w:rsidR="00BB0477">
        <w:rPr>
          <w:color w:val="FF0000"/>
        </w:rPr>
        <w:t xml:space="preserve">he </w:t>
      </w:r>
      <w:r w:rsidR="00290993">
        <w:rPr>
          <w:color w:val="FF0000"/>
        </w:rPr>
        <w:t>areal</w:t>
      </w:r>
      <w:r w:rsidR="00BB0477">
        <w:rPr>
          <w:color w:val="FF0000"/>
        </w:rPr>
        <w:t xml:space="preserve"> density </w:t>
      </w:r>
      <w:r w:rsidR="00C15532">
        <w:rPr>
          <w:color w:val="FF0000"/>
        </w:rPr>
        <w:t>of ballistic projectiles</w:t>
      </w:r>
      <w:r>
        <w:rPr>
          <w:color w:val="FF0000"/>
        </w:rPr>
        <w:t xml:space="preserve"> </w:t>
      </w:r>
      <w:r w:rsidR="00BB0477">
        <w:rPr>
          <w:color w:val="FF0000"/>
        </w:rPr>
        <w:t xml:space="preserve">represents an important physical variable </w:t>
      </w:r>
      <w:r>
        <w:rPr>
          <w:color w:val="FF0000"/>
        </w:rPr>
        <w:t>to estimate the impact of this phenomenon. Nevertheless, please note that assuming a</w:t>
      </w:r>
      <w:r w:rsidR="00290993">
        <w:rPr>
          <w:color w:val="FF0000"/>
        </w:rPr>
        <w:t>n</w:t>
      </w:r>
      <w:r>
        <w:rPr>
          <w:color w:val="FF0000"/>
        </w:rPr>
        <w:t xml:space="preserve"> </w:t>
      </w:r>
      <w:r w:rsidR="00290993">
        <w:rPr>
          <w:color w:val="FF0000"/>
        </w:rPr>
        <w:t>areal</w:t>
      </w:r>
      <w:r>
        <w:rPr>
          <w:color w:val="FF0000"/>
        </w:rPr>
        <w:t xml:space="preserve"> density </w:t>
      </w:r>
      <w:r w:rsidR="00C15532">
        <w:rPr>
          <w:color w:val="FF0000"/>
        </w:rPr>
        <w:t xml:space="preserve">of </w:t>
      </w:r>
      <w:proofErr w:type="spellStart"/>
      <w:r w:rsidR="00C15532">
        <w:rPr>
          <w:color w:val="FF0000"/>
        </w:rPr>
        <w:t>clasts</w:t>
      </w:r>
      <w:proofErr w:type="spellEnd"/>
      <w:r w:rsidR="00C15532">
        <w:rPr>
          <w:color w:val="FF0000"/>
        </w:rPr>
        <w:t xml:space="preserve"> </w:t>
      </w:r>
      <w:r>
        <w:rPr>
          <w:color w:val="FF0000"/>
        </w:rPr>
        <w:t>would not be sufficient to determine the actual ballistic impact of an individual target, because of its significant dependency on the volume, mass, trajectory of the projectiles, and because of the documented emission of fragments upon impact with the ground. This is the main reason why we focused our analysis on the estimation of the areas potentially affected by ballistics.</w:t>
      </w:r>
    </w:p>
    <w:p w:rsidR="003B49B5" w:rsidRDefault="00ED52D2" w:rsidP="003832AF">
      <w:pPr>
        <w:jc w:val="both"/>
        <w:rPr>
          <w:color w:val="FF0000"/>
        </w:rPr>
      </w:pPr>
      <w:r>
        <w:rPr>
          <w:color w:val="FF0000"/>
        </w:rPr>
        <w:lastRenderedPageBreak/>
        <w:t>However</w:t>
      </w:r>
      <w:r w:rsidR="003832AF">
        <w:rPr>
          <w:color w:val="FF0000"/>
        </w:rPr>
        <w:t>, we improved the clarity of this point by adding to</w:t>
      </w:r>
      <w:r w:rsidR="006C59F7">
        <w:rPr>
          <w:color w:val="FF0000"/>
        </w:rPr>
        <w:t xml:space="preserve"> Table </w:t>
      </w:r>
      <w:r w:rsidR="003832AF">
        <w:rPr>
          <w:color w:val="FF0000"/>
        </w:rPr>
        <w:t>S</w:t>
      </w:r>
      <w:r w:rsidR="007F0D60">
        <w:rPr>
          <w:color w:val="FF0000"/>
        </w:rPr>
        <w:t>2</w:t>
      </w:r>
      <w:r w:rsidR="006C59F7">
        <w:rPr>
          <w:color w:val="FF0000"/>
        </w:rPr>
        <w:t xml:space="preserve"> </w:t>
      </w:r>
      <w:r w:rsidR="005941F7">
        <w:rPr>
          <w:color w:val="FF0000"/>
        </w:rPr>
        <w:t xml:space="preserve">in Supporting Material </w:t>
      </w:r>
      <w:r w:rsidR="006C59F7">
        <w:rPr>
          <w:color w:val="FF0000"/>
        </w:rPr>
        <w:t xml:space="preserve">a </w:t>
      </w:r>
      <w:r w:rsidR="00F365CB">
        <w:rPr>
          <w:color w:val="FF0000"/>
        </w:rPr>
        <w:t xml:space="preserve">new </w:t>
      </w:r>
      <w:r w:rsidR="006C59F7">
        <w:rPr>
          <w:color w:val="FF0000"/>
        </w:rPr>
        <w:t xml:space="preserve">column </w:t>
      </w:r>
      <w:r w:rsidR="005941F7">
        <w:rPr>
          <w:color w:val="FF0000"/>
        </w:rPr>
        <w:t>with</w:t>
      </w:r>
      <w:r w:rsidR="006C59F7">
        <w:rPr>
          <w:color w:val="FF0000"/>
        </w:rPr>
        <w:t xml:space="preserve"> the </w:t>
      </w:r>
      <w:r w:rsidR="0095065E">
        <w:rPr>
          <w:color w:val="FF0000"/>
        </w:rPr>
        <w:t>reference</w:t>
      </w:r>
      <w:r w:rsidR="00F365CB">
        <w:rPr>
          <w:color w:val="FF0000"/>
        </w:rPr>
        <w:t>s</w:t>
      </w:r>
      <w:r w:rsidR="0095065E">
        <w:rPr>
          <w:color w:val="FF0000"/>
        </w:rPr>
        <w:t xml:space="preserve"> of the </w:t>
      </w:r>
      <w:r w:rsidR="008872A5">
        <w:rPr>
          <w:color w:val="FF0000"/>
        </w:rPr>
        <w:t>reported pieces of data and</w:t>
      </w:r>
      <w:r w:rsidR="005941F7">
        <w:rPr>
          <w:color w:val="FF0000"/>
        </w:rPr>
        <w:t xml:space="preserve"> a new </w:t>
      </w:r>
      <w:r w:rsidR="008872A5">
        <w:rPr>
          <w:color w:val="FF0000"/>
        </w:rPr>
        <w:t>sentence</w:t>
      </w:r>
      <w:r w:rsidR="005941F7">
        <w:rPr>
          <w:color w:val="FF0000"/>
        </w:rPr>
        <w:t xml:space="preserve"> in the </w:t>
      </w:r>
      <w:r w:rsidR="008872A5">
        <w:rPr>
          <w:color w:val="FF0000"/>
        </w:rPr>
        <w:t>caption</w:t>
      </w:r>
      <w:r w:rsidR="005941F7">
        <w:rPr>
          <w:color w:val="FF0000"/>
        </w:rPr>
        <w:t xml:space="preserve"> to explain</w:t>
      </w:r>
      <w:r w:rsidR="003832AF">
        <w:rPr>
          <w:color w:val="FF0000"/>
        </w:rPr>
        <w:t xml:space="preserve"> the</w:t>
      </w:r>
      <w:r w:rsidR="0095065E">
        <w:rPr>
          <w:color w:val="FF0000"/>
        </w:rPr>
        <w:t xml:space="preserve"> conversion of the inter-</w:t>
      </w:r>
      <w:proofErr w:type="spellStart"/>
      <w:r w:rsidR="0095065E">
        <w:rPr>
          <w:color w:val="FF0000"/>
        </w:rPr>
        <w:t>clast</w:t>
      </w:r>
      <w:proofErr w:type="spellEnd"/>
      <w:r w:rsidR="0095065E">
        <w:rPr>
          <w:color w:val="FF0000"/>
        </w:rPr>
        <w:t xml:space="preserve"> distances into </w:t>
      </w:r>
      <w:proofErr w:type="spellStart"/>
      <w:r w:rsidR="00B66E44">
        <w:rPr>
          <w:color w:val="FF0000"/>
        </w:rPr>
        <w:t>clasts</w:t>
      </w:r>
      <w:proofErr w:type="spellEnd"/>
      <w:r w:rsidR="00B66E44">
        <w:rPr>
          <w:color w:val="FF0000"/>
        </w:rPr>
        <w:t>/m</w:t>
      </w:r>
      <w:r w:rsidR="00B66E44" w:rsidRPr="00F350C9">
        <w:rPr>
          <w:color w:val="FF0000"/>
          <w:vertAlign w:val="superscript"/>
        </w:rPr>
        <w:t>2</w:t>
      </w:r>
      <w:r w:rsidR="008872A5">
        <w:rPr>
          <w:color w:val="FF0000"/>
        </w:rPr>
        <w:t>, according to a regular</w:t>
      </w:r>
      <w:r w:rsidR="0095065E">
        <w:rPr>
          <w:color w:val="FF0000"/>
        </w:rPr>
        <w:t xml:space="preserve"> </w:t>
      </w:r>
      <w:r w:rsidR="00B66E44">
        <w:rPr>
          <w:color w:val="FF0000"/>
        </w:rPr>
        <w:t>equidistant</w:t>
      </w:r>
      <w:r w:rsidR="0095065E">
        <w:rPr>
          <w:color w:val="FF0000"/>
        </w:rPr>
        <w:t xml:space="preserve"> pattern: </w:t>
      </w:r>
    </w:p>
    <w:p w:rsidR="003B49B5" w:rsidRPr="00BE1ED7" w:rsidRDefault="003B49B5" w:rsidP="003B49B5">
      <w:pPr>
        <w:jc w:val="both"/>
        <w:rPr>
          <w:i/>
          <w:color w:val="FF0000"/>
        </w:rPr>
      </w:pPr>
      <w:r w:rsidRPr="00BE1ED7">
        <w:rPr>
          <w:b/>
          <w:i/>
          <w:color w:val="FF0000"/>
        </w:rPr>
        <w:t xml:space="preserve">Table </w:t>
      </w:r>
      <w:r w:rsidR="003832AF">
        <w:rPr>
          <w:b/>
          <w:i/>
          <w:color w:val="FF0000"/>
        </w:rPr>
        <w:t>S</w:t>
      </w:r>
      <w:r w:rsidR="007F0D60">
        <w:rPr>
          <w:b/>
          <w:i/>
          <w:color w:val="FF0000"/>
        </w:rPr>
        <w:t>2</w:t>
      </w:r>
      <w:r w:rsidRPr="00BE1ED7">
        <w:rPr>
          <w:b/>
          <w:i/>
          <w:color w:val="FF0000"/>
        </w:rPr>
        <w:t xml:space="preserve">. </w:t>
      </w:r>
      <w:r w:rsidR="008872A5" w:rsidRPr="008872A5">
        <w:rPr>
          <w:bCs/>
          <w:i/>
          <w:color w:val="FF0000"/>
        </w:rPr>
        <w:t>Summary of the considered information on the recorded number of projectiles per meter square during major explosions at Stromboli. The observations originally reported in terms of the inter-</w:t>
      </w:r>
      <w:proofErr w:type="spellStart"/>
      <w:r w:rsidR="008872A5" w:rsidRPr="008872A5">
        <w:rPr>
          <w:bCs/>
          <w:i/>
          <w:color w:val="FF0000"/>
        </w:rPr>
        <w:t>clast</w:t>
      </w:r>
      <w:proofErr w:type="spellEnd"/>
      <w:r w:rsidR="008872A5" w:rsidRPr="008872A5">
        <w:rPr>
          <w:bCs/>
          <w:i/>
          <w:color w:val="FF0000"/>
        </w:rPr>
        <w:t xml:space="preserve"> distance, d, are converted to a</w:t>
      </w:r>
      <w:r w:rsidR="00290993">
        <w:rPr>
          <w:bCs/>
          <w:i/>
          <w:color w:val="FF0000"/>
        </w:rPr>
        <w:t>n areal</w:t>
      </w:r>
      <w:r w:rsidR="0058335B">
        <w:rPr>
          <w:bCs/>
          <w:i/>
          <w:color w:val="FF0000"/>
        </w:rPr>
        <w:t xml:space="preserve"> </w:t>
      </w:r>
      <w:r w:rsidR="008872A5" w:rsidRPr="008872A5">
        <w:rPr>
          <w:bCs/>
          <w:i/>
          <w:color w:val="FF0000"/>
        </w:rPr>
        <w:t xml:space="preserve">density σ by assuming a regular hexagonal pattern. This pattern uniformly represents the number of </w:t>
      </w:r>
      <w:proofErr w:type="spellStart"/>
      <w:r w:rsidR="008872A5" w:rsidRPr="008872A5">
        <w:rPr>
          <w:bCs/>
          <w:i/>
          <w:color w:val="FF0000"/>
        </w:rPr>
        <w:t>clasts</w:t>
      </w:r>
      <w:proofErr w:type="spellEnd"/>
      <w:r w:rsidR="008872A5" w:rsidRPr="008872A5">
        <w:rPr>
          <w:bCs/>
          <w:i/>
          <w:color w:val="FF0000"/>
        </w:rPr>
        <w:t>/m</w:t>
      </w:r>
      <w:r w:rsidR="008872A5" w:rsidRPr="008872A5">
        <w:rPr>
          <w:bCs/>
          <w:i/>
          <w:color w:val="FF0000"/>
          <w:vertAlign w:val="superscript"/>
        </w:rPr>
        <w:t>2</w:t>
      </w:r>
      <w:r w:rsidR="008872A5" w:rsidRPr="008872A5">
        <w:rPr>
          <w:bCs/>
          <w:i/>
          <w:color w:val="FF0000"/>
        </w:rPr>
        <w:t xml:space="preserve"> for a given inter-</w:t>
      </w:r>
      <w:proofErr w:type="spellStart"/>
      <w:r w:rsidR="008872A5" w:rsidRPr="008872A5">
        <w:rPr>
          <w:bCs/>
          <w:i/>
          <w:color w:val="FF0000"/>
        </w:rPr>
        <w:t>clast</w:t>
      </w:r>
      <w:proofErr w:type="spellEnd"/>
      <w:r w:rsidR="008872A5" w:rsidRPr="008872A5">
        <w:rPr>
          <w:bCs/>
          <w:i/>
          <w:color w:val="FF0000"/>
        </w:rPr>
        <w:t xml:space="preserve"> distance: σ = 2</w:t>
      </w:r>
      <w:proofErr w:type="gramStart"/>
      <w:r w:rsidR="008872A5" w:rsidRPr="008872A5">
        <w:rPr>
          <w:bCs/>
          <w:i/>
          <w:color w:val="FF0000"/>
        </w:rPr>
        <w:t>/(</w:t>
      </w:r>
      <w:proofErr w:type="gramEnd"/>
      <w:r w:rsidR="008872A5" w:rsidRPr="008872A5">
        <w:rPr>
          <w:bCs/>
          <w:i/>
          <w:color w:val="FF0000"/>
        </w:rPr>
        <w:t>d</w:t>
      </w:r>
      <w:r w:rsidR="008872A5" w:rsidRPr="008872A5">
        <w:rPr>
          <w:bCs/>
          <w:i/>
          <w:color w:val="FF0000"/>
          <w:vertAlign w:val="superscript"/>
        </w:rPr>
        <w:t>2</w:t>
      </w:r>
      <w:r w:rsidR="008872A5" w:rsidRPr="008872A5">
        <w:rPr>
          <w:bCs/>
          <w:i/>
          <w:color w:val="FF0000"/>
        </w:rPr>
        <w:t>√3) ≈ 1.16/d</w:t>
      </w:r>
      <w:r w:rsidR="008872A5" w:rsidRPr="008872A5">
        <w:rPr>
          <w:bCs/>
          <w:i/>
          <w:color w:val="FF0000"/>
          <w:vertAlign w:val="superscript"/>
        </w:rPr>
        <w:t>2</w:t>
      </w:r>
      <w:r w:rsidR="008872A5" w:rsidRPr="008872A5">
        <w:rPr>
          <w:bCs/>
          <w:i/>
          <w:color w:val="FF0000"/>
        </w:rPr>
        <w:t xml:space="preserve">. The values marked with a star have been calculated according to this formula. The major explosion labels follow the companion </w:t>
      </w:r>
      <w:r w:rsidR="00C15532">
        <w:rPr>
          <w:bCs/>
          <w:i/>
          <w:color w:val="FF0000"/>
        </w:rPr>
        <w:t>study</w:t>
      </w:r>
      <w:r w:rsidR="008872A5" w:rsidRPr="008872A5">
        <w:rPr>
          <w:bCs/>
          <w:i/>
          <w:color w:val="FF0000"/>
        </w:rPr>
        <w:t xml:space="preserve"> </w:t>
      </w:r>
      <w:proofErr w:type="spellStart"/>
      <w:r w:rsidR="008872A5" w:rsidRPr="008872A5">
        <w:rPr>
          <w:bCs/>
          <w:i/>
          <w:color w:val="FF0000"/>
        </w:rPr>
        <w:t>Bevilacqua</w:t>
      </w:r>
      <w:proofErr w:type="spellEnd"/>
      <w:r w:rsidR="008872A5" w:rsidRPr="008872A5">
        <w:rPr>
          <w:bCs/>
          <w:i/>
          <w:color w:val="FF0000"/>
        </w:rPr>
        <w:t xml:space="preserve"> et al. (submitted), where the INGV reports are summarized.</w:t>
      </w:r>
    </w:p>
    <w:tbl>
      <w:tblPr>
        <w:tblW w:w="0" w:type="auto"/>
        <w:jc w:val="center"/>
        <w:tblInd w:w="93" w:type="dxa"/>
        <w:tblLook w:val="04A0" w:firstRow="1" w:lastRow="0" w:firstColumn="1" w:lastColumn="0" w:noHBand="0" w:noVBand="1"/>
      </w:tblPr>
      <w:tblGrid>
        <w:gridCol w:w="799"/>
        <w:gridCol w:w="1002"/>
        <w:gridCol w:w="963"/>
        <w:gridCol w:w="1425"/>
        <w:gridCol w:w="1812"/>
        <w:gridCol w:w="2296"/>
      </w:tblGrid>
      <w:tr w:rsidR="002D42DA" w:rsidRPr="00112E7F" w:rsidTr="00321E7B">
        <w:trPr>
          <w:trHeight w:val="361"/>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42DA" w:rsidRPr="003072B7" w:rsidRDefault="002D42DA" w:rsidP="0095065E">
            <w:pPr>
              <w:spacing w:line="240" w:lineRule="auto"/>
              <w:rPr>
                <w:rFonts w:ascii="Calibri" w:hAnsi="Calibri" w:cs="Calibri"/>
                <w:color w:val="000000"/>
                <w:sz w:val="20"/>
              </w:rPr>
            </w:pPr>
            <w:r w:rsidRPr="003072B7">
              <w:rPr>
                <w:rFonts w:ascii="Calibri" w:eastAsia="Times New Roman" w:hAnsi="Calibri" w:cs="Calibri"/>
                <w:color w:val="FF0000"/>
                <w:sz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2D42DA" w:rsidRPr="003072B7" w:rsidRDefault="002D42DA" w:rsidP="00A31FB3">
            <w:pPr>
              <w:spacing w:line="240" w:lineRule="auto"/>
              <w:jc w:val="right"/>
              <w:rPr>
                <w:rFonts w:ascii="Calibri" w:hAnsi="Calibri" w:cs="Calibri"/>
                <w:color w:val="000000"/>
                <w:sz w:val="20"/>
              </w:rPr>
            </w:pPr>
            <w:r w:rsidRPr="003072B7">
              <w:rPr>
                <w:rFonts w:ascii="Calibri" w:eastAsia="Times New Roman" w:hAnsi="Calibri" w:cs="Calibri"/>
                <w:color w:val="FF0000"/>
                <w:sz w:val="20"/>
              </w:rPr>
              <w:t>Distance</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2D42DA" w:rsidRPr="003072B7" w:rsidRDefault="002D42DA" w:rsidP="00A31FB3">
            <w:pPr>
              <w:spacing w:line="240" w:lineRule="auto"/>
              <w:jc w:val="right"/>
              <w:rPr>
                <w:rFonts w:ascii="Calibri" w:hAnsi="Calibri" w:cs="Calibri"/>
                <w:color w:val="000000"/>
                <w:sz w:val="20"/>
              </w:rPr>
            </w:pPr>
            <w:r w:rsidRPr="003072B7">
              <w:rPr>
                <w:rFonts w:ascii="Calibri" w:eastAsia="Times New Roman" w:hAnsi="Calibri" w:cs="Calibri"/>
                <w:color w:val="FF0000"/>
                <w:sz w:val="20"/>
              </w:rPr>
              <w:t>Direction</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2D42DA" w:rsidRPr="003072B7" w:rsidRDefault="002D42DA" w:rsidP="00A31FB3">
            <w:pPr>
              <w:spacing w:line="240" w:lineRule="auto"/>
              <w:jc w:val="right"/>
              <w:rPr>
                <w:rFonts w:ascii="Calibri" w:hAnsi="Calibri" w:cs="Calibri"/>
                <w:color w:val="000000"/>
                <w:sz w:val="20"/>
              </w:rPr>
            </w:pPr>
            <w:proofErr w:type="spellStart"/>
            <w:r w:rsidRPr="003072B7">
              <w:rPr>
                <w:rFonts w:ascii="Calibri" w:eastAsia="Times New Roman" w:hAnsi="Calibri" w:cs="Calibri"/>
                <w:color w:val="FF0000"/>
                <w:sz w:val="20"/>
              </w:rPr>
              <w:t>Clasts</w:t>
            </w:r>
            <w:proofErr w:type="spellEnd"/>
            <w:r w:rsidRPr="003072B7">
              <w:rPr>
                <w:rFonts w:ascii="Calibri" w:eastAsia="Times New Roman" w:hAnsi="Calibri" w:cs="Calibri"/>
                <w:color w:val="FF0000"/>
                <w:sz w:val="20"/>
              </w:rPr>
              <w:t>/m</w:t>
            </w:r>
            <w:r w:rsidRPr="003072B7">
              <w:rPr>
                <w:rFonts w:ascii="Calibri" w:eastAsia="Times New Roman" w:hAnsi="Calibri" w:cs="Calibri"/>
                <w:color w:val="FF0000"/>
                <w:sz w:val="20"/>
                <w:vertAlign w:val="superscript"/>
              </w:rPr>
              <w:t>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2D42DA" w:rsidRPr="003072B7" w:rsidRDefault="00D83A7F" w:rsidP="00A31FB3">
            <w:pPr>
              <w:spacing w:line="240" w:lineRule="auto"/>
              <w:jc w:val="right"/>
              <w:rPr>
                <w:rFonts w:ascii="Calibri" w:hAnsi="Calibri" w:cs="Calibri"/>
                <w:color w:val="000000"/>
                <w:sz w:val="20"/>
              </w:rPr>
            </w:pPr>
            <w:r w:rsidRPr="003072B7">
              <w:rPr>
                <w:rFonts w:ascii="Calibri" w:eastAsia="Times New Roman" w:hAnsi="Calibri" w:cs="Calibri"/>
                <w:color w:val="FF0000"/>
                <w:sz w:val="20"/>
              </w:rPr>
              <w:t>I</w:t>
            </w:r>
            <w:r w:rsidR="002D42DA" w:rsidRPr="003072B7">
              <w:rPr>
                <w:rFonts w:ascii="Calibri" w:eastAsia="Times New Roman" w:hAnsi="Calibri" w:cs="Calibri"/>
                <w:color w:val="FF0000"/>
                <w:sz w:val="20"/>
              </w:rPr>
              <w:t>nter-</w:t>
            </w:r>
            <w:r w:rsidRPr="003072B7">
              <w:rPr>
                <w:rFonts w:ascii="Calibri" w:eastAsia="Times New Roman" w:hAnsi="Calibri" w:cs="Calibri"/>
                <w:color w:val="FF0000"/>
                <w:sz w:val="20"/>
              </w:rPr>
              <w:t xml:space="preserve"> </w:t>
            </w:r>
            <w:proofErr w:type="spellStart"/>
            <w:r w:rsidRPr="003072B7">
              <w:rPr>
                <w:rFonts w:ascii="Calibri" w:eastAsia="Times New Roman" w:hAnsi="Calibri" w:cs="Calibri"/>
                <w:color w:val="FF0000"/>
                <w:sz w:val="20"/>
              </w:rPr>
              <w:t>clast</w:t>
            </w:r>
            <w:proofErr w:type="spellEnd"/>
            <w:r w:rsidRPr="003072B7">
              <w:rPr>
                <w:rFonts w:ascii="Calibri" w:eastAsia="Times New Roman" w:hAnsi="Calibri" w:cs="Calibri"/>
                <w:color w:val="FF0000"/>
                <w:sz w:val="20"/>
              </w:rPr>
              <w:t xml:space="preserve"> </w:t>
            </w:r>
            <w:r w:rsidR="002D42DA" w:rsidRPr="003072B7">
              <w:rPr>
                <w:rFonts w:ascii="Calibri" w:eastAsia="Times New Roman" w:hAnsi="Calibri" w:cs="Calibri"/>
                <w:color w:val="FF0000"/>
                <w:sz w:val="20"/>
              </w:rPr>
              <w:t>distance</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2D42DA" w:rsidRPr="00112E7F" w:rsidRDefault="002D42DA" w:rsidP="0095065E">
            <w:pPr>
              <w:spacing w:line="240" w:lineRule="auto"/>
              <w:jc w:val="right"/>
              <w:rPr>
                <w:rFonts w:ascii="Calibri" w:hAnsi="Calibri" w:cs="Calibri"/>
                <w:color w:val="000000"/>
              </w:rPr>
            </w:pPr>
            <w:r w:rsidRPr="003B49B5">
              <w:rPr>
                <w:rFonts w:ascii="Calibri" w:eastAsia="Times New Roman" w:hAnsi="Calibri" w:cs="Calibri"/>
                <w:color w:val="FF0000"/>
              </w:rPr>
              <w:t>Reference</w:t>
            </w:r>
          </w:p>
        </w:tc>
      </w:tr>
      <w:tr w:rsidR="002D42DA" w:rsidRPr="00112E7F" w:rsidTr="00F365CB">
        <w:trPr>
          <w:trHeight w:val="58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2011</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ca. 300 m</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SE</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up to 5 - 10</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 0.5</w:t>
            </w:r>
            <w:r w:rsidR="009944CC">
              <w:rPr>
                <w:rFonts w:ascii="Calibri" w:eastAsia="Times New Roman" w:hAnsi="Calibri" w:cs="Calibri"/>
                <w:color w:val="FF0000"/>
                <w:sz w:val="20"/>
              </w:rPr>
              <w:t>0</w:t>
            </w:r>
            <w:r w:rsidRPr="003072B7">
              <w:rPr>
                <w:rFonts w:ascii="Calibri" w:eastAsia="Times New Roman" w:hAnsi="Calibri" w:cs="Calibri"/>
                <w:color w:val="FF0000"/>
                <w:sz w:val="20"/>
              </w:rPr>
              <w:t xml:space="preserve"> - 0.35 m </w:t>
            </w:r>
          </w:p>
        </w:tc>
        <w:tc>
          <w:tcPr>
            <w:tcW w:w="0" w:type="auto"/>
            <w:tcBorders>
              <w:top w:val="nil"/>
              <w:left w:val="nil"/>
              <w:bottom w:val="single" w:sz="4" w:space="0" w:color="auto"/>
              <w:right w:val="single" w:sz="4" w:space="0" w:color="auto"/>
            </w:tcBorders>
            <w:shd w:val="clear" w:color="auto" w:fill="auto"/>
            <w:vAlign w:val="center"/>
            <w:hideMark/>
          </w:tcPr>
          <w:p w:rsidR="002D42DA" w:rsidRPr="00112E7F" w:rsidRDefault="002D42DA" w:rsidP="0095065E">
            <w:pPr>
              <w:spacing w:line="240" w:lineRule="auto"/>
              <w:jc w:val="right"/>
              <w:rPr>
                <w:rFonts w:ascii="Calibri" w:hAnsi="Calibri" w:cs="Calibri"/>
                <w:color w:val="000000"/>
                <w:sz w:val="18"/>
              </w:rPr>
            </w:pPr>
            <w:r w:rsidRPr="003B49B5">
              <w:rPr>
                <w:rFonts w:ascii="Calibri" w:eastAsia="Times New Roman" w:hAnsi="Calibri" w:cs="Calibri"/>
                <w:color w:val="FF0000"/>
                <w:sz w:val="18"/>
              </w:rPr>
              <w:t>INGV report</w:t>
            </w:r>
            <w:r>
              <w:rPr>
                <w:rFonts w:ascii="Calibri" w:hAnsi="Calibri" w:cs="Calibri"/>
                <w:color w:val="FF0000"/>
                <w:sz w:val="18"/>
              </w:rPr>
              <w:t xml:space="preserve"> </w:t>
            </w:r>
            <w:r w:rsidRPr="003B49B5">
              <w:rPr>
                <w:rFonts w:ascii="Calibri" w:eastAsia="Times New Roman" w:hAnsi="Calibri" w:cs="Calibri"/>
                <w:color w:val="FF0000"/>
                <w:sz w:val="18"/>
              </w:rPr>
              <w:t>(</w:t>
            </w:r>
            <w:r w:rsidR="00FD6E55">
              <w:rPr>
                <w:rFonts w:ascii="Calibri" w:eastAsia="Times New Roman" w:hAnsi="Calibri" w:cs="Calibri"/>
                <w:color w:val="FF0000"/>
                <w:sz w:val="18"/>
              </w:rPr>
              <w:t xml:space="preserve">D. </w:t>
            </w:r>
            <w:proofErr w:type="spellStart"/>
            <w:r w:rsidRPr="003B49B5">
              <w:rPr>
                <w:rFonts w:ascii="Calibri" w:eastAsia="Times New Roman" w:hAnsi="Calibri" w:cs="Calibri"/>
                <w:color w:val="FF0000"/>
                <w:sz w:val="18"/>
              </w:rPr>
              <w:t>Andronico</w:t>
            </w:r>
            <w:proofErr w:type="spellEnd"/>
            <w:r w:rsidRPr="003B49B5">
              <w:rPr>
                <w:rFonts w:ascii="Calibri" w:eastAsia="Times New Roman" w:hAnsi="Calibri" w:cs="Calibri"/>
                <w:color w:val="FF0000"/>
                <w:sz w:val="18"/>
              </w:rPr>
              <w:t>)</w:t>
            </w:r>
          </w:p>
        </w:tc>
      </w:tr>
      <w:tr w:rsidR="002D42DA" w:rsidRPr="008872A5" w:rsidTr="00F365CB">
        <w:trPr>
          <w:trHeight w:val="58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2010-B</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ca. 300 m</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SE</w:t>
            </w:r>
          </w:p>
        </w:tc>
        <w:tc>
          <w:tcPr>
            <w:tcW w:w="0" w:type="auto"/>
            <w:tcBorders>
              <w:top w:val="nil"/>
              <w:left w:val="nil"/>
              <w:bottom w:val="single" w:sz="4" w:space="0" w:color="auto"/>
              <w:right w:val="single" w:sz="4" w:space="0" w:color="auto"/>
            </w:tcBorders>
            <w:shd w:val="clear" w:color="auto" w:fill="auto"/>
            <w:vAlign w:val="center"/>
            <w:hideMark/>
          </w:tcPr>
          <w:p w:rsidR="002D42DA" w:rsidRPr="008872A5" w:rsidRDefault="002D42DA" w:rsidP="0095065E">
            <w:pPr>
              <w:spacing w:line="240" w:lineRule="auto"/>
              <w:jc w:val="right"/>
              <w:rPr>
                <w:rFonts w:ascii="Calibri" w:hAnsi="Calibri" w:cs="Calibri"/>
                <w:color w:val="000000"/>
                <w:sz w:val="20"/>
                <w:lang w:val="it-IT"/>
              </w:rPr>
            </w:pPr>
            <w:r w:rsidRPr="008872A5">
              <w:rPr>
                <w:rFonts w:ascii="Calibri" w:hAnsi="Calibri" w:cs="Calibri"/>
                <w:color w:val="FF0000"/>
                <w:sz w:val="20"/>
                <w:lang w:val="it-IT"/>
              </w:rPr>
              <w:t>up to 0.1</w:t>
            </w:r>
            <w:r w:rsidR="008872A5" w:rsidRPr="008872A5">
              <w:rPr>
                <w:rFonts w:ascii="Calibri" w:eastAsia="Times New Roman" w:hAnsi="Calibri" w:cs="Calibri"/>
                <w:color w:val="FF0000"/>
                <w:sz w:val="20"/>
                <w:lang w:val="it-IT"/>
              </w:rPr>
              <w:t xml:space="preserve"> </w:t>
            </w:r>
            <w:r w:rsidR="008872A5" w:rsidRPr="008872A5">
              <w:rPr>
                <w:rFonts w:ascii="Calibri" w:eastAsia="Times New Roman" w:hAnsi="Calibri" w:cs="Calibri"/>
                <w:color w:val="FF0000"/>
                <w:sz w:val="20"/>
                <w:lang w:val="it-IT"/>
              </w:rPr>
              <w:br/>
              <w:t>kernel density</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8872A5" w:rsidRDefault="002D42DA" w:rsidP="0095065E">
            <w:pPr>
              <w:spacing w:line="240" w:lineRule="auto"/>
              <w:jc w:val="right"/>
              <w:rPr>
                <w:rFonts w:ascii="Calibri" w:hAnsi="Calibri" w:cs="Calibri"/>
                <w:color w:val="000000"/>
                <w:sz w:val="20"/>
                <w:lang w:val="it-IT"/>
              </w:rPr>
            </w:pPr>
            <w:r w:rsidRPr="008872A5">
              <w:rPr>
                <w:rFonts w:ascii="Calibri" w:eastAsia="Times New Roman" w:hAnsi="Calibri" w:cs="Calibri"/>
                <w:color w:val="FF0000"/>
                <w:sz w:val="20"/>
                <w:lang w:val="it-IT"/>
              </w:rPr>
              <w:t> * 3.5 m</w:t>
            </w:r>
          </w:p>
        </w:tc>
        <w:tc>
          <w:tcPr>
            <w:tcW w:w="0" w:type="auto"/>
            <w:tcBorders>
              <w:top w:val="nil"/>
              <w:left w:val="nil"/>
              <w:bottom w:val="single" w:sz="4" w:space="0" w:color="auto"/>
              <w:right w:val="single" w:sz="4" w:space="0" w:color="auto"/>
            </w:tcBorders>
            <w:shd w:val="clear" w:color="auto" w:fill="auto"/>
            <w:vAlign w:val="center"/>
            <w:hideMark/>
          </w:tcPr>
          <w:p w:rsidR="002D42DA" w:rsidRPr="008872A5" w:rsidRDefault="002D42DA" w:rsidP="0095065E">
            <w:pPr>
              <w:spacing w:line="240" w:lineRule="auto"/>
              <w:jc w:val="right"/>
              <w:rPr>
                <w:rFonts w:ascii="Calibri" w:hAnsi="Calibri" w:cs="Calibri"/>
                <w:color w:val="000000"/>
                <w:sz w:val="18"/>
                <w:lang w:val="it-IT"/>
              </w:rPr>
            </w:pPr>
            <w:r w:rsidRPr="008872A5">
              <w:rPr>
                <w:rFonts w:ascii="Calibri" w:eastAsia="Times New Roman" w:hAnsi="Calibri" w:cs="Calibri"/>
                <w:color w:val="FF0000"/>
                <w:sz w:val="18"/>
                <w:lang w:val="it-IT"/>
              </w:rPr>
              <w:t>Gurioli et al. (2013)</w:t>
            </w:r>
          </w:p>
        </w:tc>
      </w:tr>
      <w:tr w:rsidR="002D42DA" w:rsidRPr="008872A5" w:rsidTr="00F365CB">
        <w:trPr>
          <w:trHeight w:val="58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D42DA" w:rsidRPr="008872A5" w:rsidRDefault="002D42DA" w:rsidP="0095065E">
            <w:pPr>
              <w:spacing w:line="240" w:lineRule="auto"/>
              <w:jc w:val="right"/>
              <w:rPr>
                <w:rFonts w:ascii="Calibri" w:hAnsi="Calibri" w:cs="Calibri"/>
                <w:color w:val="000000"/>
                <w:sz w:val="20"/>
                <w:lang w:val="it-IT"/>
              </w:rPr>
            </w:pPr>
            <w:r w:rsidRPr="008872A5">
              <w:rPr>
                <w:rFonts w:ascii="Calibri" w:eastAsia="Times New Roman" w:hAnsi="Calibri" w:cs="Calibri"/>
                <w:color w:val="FF0000"/>
                <w:sz w:val="20"/>
                <w:lang w:val="it-IT"/>
              </w:rPr>
              <w:t>2009-B</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8872A5" w:rsidRDefault="002D42DA" w:rsidP="0095065E">
            <w:pPr>
              <w:spacing w:line="240" w:lineRule="auto"/>
              <w:jc w:val="right"/>
              <w:rPr>
                <w:rFonts w:ascii="Calibri" w:hAnsi="Calibri" w:cs="Calibri"/>
                <w:color w:val="000000"/>
                <w:sz w:val="20"/>
                <w:lang w:val="it-IT"/>
              </w:rPr>
            </w:pPr>
            <w:r w:rsidRPr="008872A5">
              <w:rPr>
                <w:rFonts w:ascii="Calibri" w:eastAsia="Times New Roman" w:hAnsi="Calibri" w:cs="Calibri"/>
                <w:color w:val="FF0000"/>
                <w:sz w:val="20"/>
                <w:lang w:val="it-IT"/>
              </w:rPr>
              <w:t>ca. 500 m</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8872A5" w:rsidRDefault="002D42DA" w:rsidP="0095065E">
            <w:pPr>
              <w:spacing w:line="240" w:lineRule="auto"/>
              <w:jc w:val="right"/>
              <w:rPr>
                <w:rFonts w:ascii="Calibri" w:hAnsi="Calibri" w:cs="Calibri"/>
                <w:color w:val="000000"/>
                <w:sz w:val="20"/>
                <w:lang w:val="it-IT"/>
              </w:rPr>
            </w:pPr>
            <w:r w:rsidRPr="008872A5">
              <w:rPr>
                <w:rFonts w:ascii="Calibri" w:eastAsia="Times New Roman" w:hAnsi="Calibri" w:cs="Calibri"/>
                <w:color w:val="FF0000"/>
                <w:sz w:val="20"/>
                <w:lang w:val="it-IT"/>
              </w:rPr>
              <w:t>NE</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8872A5" w:rsidRDefault="002D42DA" w:rsidP="0095065E">
            <w:pPr>
              <w:spacing w:line="240" w:lineRule="auto"/>
              <w:jc w:val="right"/>
              <w:rPr>
                <w:rFonts w:ascii="Calibri" w:hAnsi="Calibri" w:cs="Calibri"/>
                <w:color w:val="000000"/>
                <w:sz w:val="20"/>
                <w:lang w:val="it-IT"/>
              </w:rPr>
            </w:pPr>
            <w:r w:rsidRPr="008872A5">
              <w:rPr>
                <w:rFonts w:ascii="Calibri" w:eastAsia="Times New Roman" w:hAnsi="Calibri" w:cs="Calibri"/>
                <w:color w:val="FF0000"/>
                <w:sz w:val="20"/>
                <w:lang w:val="it-IT"/>
              </w:rPr>
              <w:t xml:space="preserve">* </w:t>
            </w:r>
            <w:r w:rsidRPr="008872A5">
              <w:rPr>
                <w:rFonts w:ascii="Calibri" w:hAnsi="Calibri" w:cs="Calibri"/>
                <w:color w:val="FF0000"/>
                <w:sz w:val="20"/>
                <w:lang w:val="it-IT"/>
              </w:rPr>
              <w:t>0.0</w:t>
            </w:r>
            <w:r w:rsidRPr="008872A5">
              <w:rPr>
                <w:rFonts w:ascii="Calibri" w:eastAsia="Times New Roman" w:hAnsi="Calibri" w:cs="Calibri"/>
                <w:color w:val="FF0000"/>
                <w:sz w:val="20"/>
                <w:lang w:val="it-IT"/>
              </w:rPr>
              <w:t xml:space="preserve">1 </w:t>
            </w:r>
            <w:r w:rsidRPr="008872A5">
              <w:rPr>
                <w:rFonts w:ascii="Calibri" w:hAnsi="Calibri" w:cs="Calibri"/>
                <w:color w:val="FF0000"/>
                <w:sz w:val="20"/>
                <w:lang w:val="it-IT"/>
              </w:rPr>
              <w:t>-</w:t>
            </w:r>
            <w:r w:rsidRPr="008872A5">
              <w:rPr>
                <w:rFonts w:ascii="Calibri" w:eastAsia="Times New Roman" w:hAnsi="Calibri" w:cs="Calibri"/>
                <w:color w:val="FF0000"/>
                <w:sz w:val="20"/>
                <w:lang w:val="it-IT"/>
              </w:rPr>
              <w:t xml:space="preserve"> </w:t>
            </w:r>
            <w:r w:rsidRPr="008872A5">
              <w:rPr>
                <w:rFonts w:ascii="Calibri" w:hAnsi="Calibri" w:cs="Calibri"/>
                <w:color w:val="FF0000"/>
                <w:sz w:val="20"/>
                <w:lang w:val="it-IT"/>
              </w:rPr>
              <w:t>0.0</w:t>
            </w:r>
            <w:r w:rsidRPr="008872A5">
              <w:rPr>
                <w:rFonts w:ascii="Calibri" w:eastAsia="Times New Roman" w:hAnsi="Calibri" w:cs="Calibri"/>
                <w:color w:val="FF0000"/>
                <w:sz w:val="20"/>
                <w:lang w:val="it-IT"/>
              </w:rPr>
              <w:t>5</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8872A5" w:rsidRDefault="002D42DA" w:rsidP="0095065E">
            <w:pPr>
              <w:spacing w:line="240" w:lineRule="auto"/>
              <w:jc w:val="right"/>
              <w:rPr>
                <w:rFonts w:ascii="Calibri" w:hAnsi="Calibri" w:cs="Calibri"/>
                <w:color w:val="000000"/>
                <w:sz w:val="20"/>
                <w:lang w:val="it-IT"/>
              </w:rPr>
            </w:pPr>
            <w:r w:rsidRPr="008872A5">
              <w:rPr>
                <w:rFonts w:ascii="Calibri" w:eastAsia="Times New Roman" w:hAnsi="Calibri" w:cs="Calibri"/>
                <w:color w:val="FF0000"/>
                <w:sz w:val="20"/>
                <w:lang w:val="it-IT"/>
              </w:rPr>
              <w:t>5 - 10 m</w:t>
            </w:r>
          </w:p>
        </w:tc>
        <w:tc>
          <w:tcPr>
            <w:tcW w:w="0" w:type="auto"/>
            <w:tcBorders>
              <w:top w:val="nil"/>
              <w:left w:val="nil"/>
              <w:bottom w:val="single" w:sz="4" w:space="0" w:color="auto"/>
              <w:right w:val="single" w:sz="4" w:space="0" w:color="auto"/>
            </w:tcBorders>
            <w:shd w:val="clear" w:color="auto" w:fill="auto"/>
            <w:vAlign w:val="center"/>
            <w:hideMark/>
          </w:tcPr>
          <w:p w:rsidR="002D42DA" w:rsidRPr="008872A5" w:rsidRDefault="002D42DA" w:rsidP="0095065E">
            <w:pPr>
              <w:spacing w:line="240" w:lineRule="auto"/>
              <w:jc w:val="right"/>
              <w:rPr>
                <w:rFonts w:ascii="Calibri" w:hAnsi="Calibri" w:cs="Calibri"/>
                <w:color w:val="000000"/>
                <w:sz w:val="18"/>
                <w:lang w:val="it-IT"/>
              </w:rPr>
            </w:pPr>
            <w:r w:rsidRPr="008872A5">
              <w:rPr>
                <w:rFonts w:ascii="Calibri" w:eastAsia="Times New Roman" w:hAnsi="Calibri" w:cs="Calibri"/>
                <w:color w:val="FF0000"/>
                <w:sz w:val="18"/>
                <w:lang w:val="it-IT"/>
              </w:rPr>
              <w:t>Andronico &amp; Pistolesi (2010)</w:t>
            </w:r>
          </w:p>
        </w:tc>
      </w:tr>
      <w:tr w:rsidR="002D42DA" w:rsidRPr="00112E7F" w:rsidTr="00F365CB">
        <w:trPr>
          <w:trHeight w:val="58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D42DA" w:rsidRPr="008872A5" w:rsidRDefault="002D42DA" w:rsidP="0095065E">
            <w:pPr>
              <w:spacing w:line="240" w:lineRule="auto"/>
              <w:jc w:val="right"/>
              <w:rPr>
                <w:rFonts w:ascii="Calibri" w:hAnsi="Calibri" w:cs="Calibri"/>
                <w:color w:val="000000"/>
                <w:sz w:val="20"/>
                <w:lang w:val="it-IT"/>
              </w:rPr>
            </w:pPr>
            <w:r w:rsidRPr="008872A5">
              <w:rPr>
                <w:rFonts w:ascii="Calibri" w:eastAsia="Times New Roman" w:hAnsi="Calibri" w:cs="Calibri"/>
                <w:color w:val="FF0000"/>
                <w:sz w:val="20"/>
                <w:lang w:val="it-IT"/>
              </w:rPr>
              <w:t>2009-A</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8872A5" w:rsidRDefault="002D42DA" w:rsidP="0095065E">
            <w:pPr>
              <w:spacing w:line="240" w:lineRule="auto"/>
              <w:jc w:val="right"/>
              <w:rPr>
                <w:rFonts w:ascii="Calibri" w:hAnsi="Calibri" w:cs="Calibri"/>
                <w:color w:val="000000"/>
                <w:sz w:val="20"/>
                <w:lang w:val="it-IT"/>
              </w:rPr>
            </w:pPr>
            <w:r w:rsidRPr="008872A5">
              <w:rPr>
                <w:rFonts w:ascii="Calibri" w:eastAsia="Times New Roman" w:hAnsi="Calibri" w:cs="Calibri"/>
                <w:color w:val="FF0000"/>
                <w:sz w:val="20"/>
                <w:lang w:val="it-IT"/>
              </w:rPr>
              <w:t>ca. 300 m</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8872A5" w:rsidRDefault="002D42DA" w:rsidP="0095065E">
            <w:pPr>
              <w:spacing w:line="240" w:lineRule="auto"/>
              <w:jc w:val="right"/>
              <w:rPr>
                <w:rFonts w:ascii="Calibri" w:hAnsi="Calibri" w:cs="Calibri"/>
                <w:color w:val="000000"/>
                <w:sz w:val="20"/>
                <w:lang w:val="it-IT"/>
              </w:rPr>
            </w:pPr>
            <w:r w:rsidRPr="008872A5">
              <w:rPr>
                <w:rFonts w:ascii="Calibri" w:eastAsia="Times New Roman" w:hAnsi="Calibri" w:cs="Calibri"/>
                <w:color w:val="FF0000"/>
                <w:sz w:val="20"/>
                <w:lang w:val="it-IT"/>
              </w:rPr>
              <w:t>SE</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8872A5">
              <w:rPr>
                <w:rFonts w:ascii="Calibri" w:eastAsia="Times New Roman" w:hAnsi="Calibri" w:cs="Calibri"/>
                <w:color w:val="FF0000"/>
                <w:sz w:val="20"/>
                <w:lang w:val="it-IT"/>
              </w:rPr>
              <w:t xml:space="preserve">* </w:t>
            </w:r>
            <w:r w:rsidRPr="003072B7">
              <w:rPr>
                <w:rFonts w:ascii="Calibri" w:hAnsi="Calibri" w:cs="Calibri"/>
                <w:color w:val="FF0000"/>
                <w:sz w:val="20"/>
              </w:rPr>
              <w:t>0.0</w:t>
            </w:r>
            <w:r w:rsidRPr="003072B7">
              <w:rPr>
                <w:rFonts w:ascii="Calibri" w:eastAsia="Times New Roman" w:hAnsi="Calibri" w:cs="Calibri"/>
                <w:color w:val="FF0000"/>
                <w:sz w:val="20"/>
              </w:rPr>
              <w:t xml:space="preserve">1 </w:t>
            </w:r>
            <w:r w:rsidRPr="003072B7">
              <w:rPr>
                <w:rFonts w:ascii="Calibri" w:hAnsi="Calibri" w:cs="Calibri"/>
                <w:color w:val="FF0000"/>
                <w:sz w:val="20"/>
              </w:rPr>
              <w:t>-</w:t>
            </w:r>
            <w:r w:rsidRPr="003072B7">
              <w:rPr>
                <w:rFonts w:ascii="Calibri" w:eastAsia="Times New Roman" w:hAnsi="Calibri" w:cs="Calibri"/>
                <w:color w:val="FF0000"/>
                <w:sz w:val="20"/>
              </w:rPr>
              <w:t xml:space="preserve"> </w:t>
            </w:r>
            <w:r w:rsidRPr="003072B7">
              <w:rPr>
                <w:rFonts w:ascii="Calibri" w:hAnsi="Calibri" w:cs="Calibri"/>
                <w:color w:val="FF0000"/>
                <w:sz w:val="20"/>
              </w:rPr>
              <w:t>0.0</w:t>
            </w:r>
            <w:r w:rsidRPr="003072B7">
              <w:rPr>
                <w:rFonts w:ascii="Calibri" w:eastAsia="Times New Roman" w:hAnsi="Calibri" w:cs="Calibri"/>
                <w:color w:val="FF0000"/>
                <w:sz w:val="20"/>
              </w:rPr>
              <w:t>5</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5 - 10 m</w:t>
            </w:r>
          </w:p>
        </w:tc>
        <w:tc>
          <w:tcPr>
            <w:tcW w:w="0" w:type="auto"/>
            <w:tcBorders>
              <w:top w:val="nil"/>
              <w:left w:val="nil"/>
              <w:bottom w:val="single" w:sz="4" w:space="0" w:color="auto"/>
              <w:right w:val="single" w:sz="4" w:space="0" w:color="auto"/>
            </w:tcBorders>
            <w:shd w:val="clear" w:color="auto" w:fill="auto"/>
            <w:vAlign w:val="center"/>
            <w:hideMark/>
          </w:tcPr>
          <w:p w:rsidR="002D42DA" w:rsidRPr="00112E7F" w:rsidRDefault="002D42DA" w:rsidP="0095065E">
            <w:pPr>
              <w:spacing w:line="240" w:lineRule="auto"/>
              <w:jc w:val="right"/>
              <w:rPr>
                <w:rFonts w:ascii="Calibri" w:hAnsi="Calibri" w:cs="Calibri"/>
                <w:color w:val="000000"/>
                <w:sz w:val="18"/>
              </w:rPr>
            </w:pPr>
            <w:proofErr w:type="spellStart"/>
            <w:r w:rsidRPr="003B49B5">
              <w:rPr>
                <w:rFonts w:ascii="Calibri" w:eastAsia="Times New Roman" w:hAnsi="Calibri" w:cs="Calibri"/>
                <w:color w:val="FF0000"/>
                <w:sz w:val="18"/>
              </w:rPr>
              <w:t>Andronico</w:t>
            </w:r>
            <w:proofErr w:type="spellEnd"/>
            <w:r w:rsidRPr="003B49B5">
              <w:rPr>
                <w:rFonts w:ascii="Calibri" w:eastAsia="Times New Roman" w:hAnsi="Calibri" w:cs="Calibri"/>
                <w:color w:val="FF0000"/>
                <w:sz w:val="18"/>
              </w:rPr>
              <w:t xml:space="preserve"> &amp; </w:t>
            </w:r>
            <w:proofErr w:type="spellStart"/>
            <w:r w:rsidRPr="003B49B5">
              <w:rPr>
                <w:rFonts w:ascii="Calibri" w:eastAsia="Times New Roman" w:hAnsi="Calibri" w:cs="Calibri"/>
                <w:color w:val="FF0000"/>
                <w:sz w:val="18"/>
              </w:rPr>
              <w:t>Pistolesi</w:t>
            </w:r>
            <w:proofErr w:type="spellEnd"/>
            <w:r w:rsidRPr="003B49B5">
              <w:rPr>
                <w:rFonts w:ascii="Calibri" w:eastAsia="Times New Roman" w:hAnsi="Calibri" w:cs="Calibri"/>
                <w:color w:val="FF0000"/>
                <w:sz w:val="18"/>
              </w:rPr>
              <w:t xml:space="preserve"> (2010)</w:t>
            </w:r>
          </w:p>
        </w:tc>
      </w:tr>
      <w:tr w:rsidR="002D42DA" w:rsidRPr="00112E7F" w:rsidTr="00F365CB">
        <w:trPr>
          <w:trHeight w:val="580"/>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2002-A</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ca. 300 m</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SE</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up to 10 - 15</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 xml:space="preserve"> * 0.30 - 0.35 m </w:t>
            </w:r>
          </w:p>
        </w:tc>
        <w:tc>
          <w:tcPr>
            <w:tcW w:w="0" w:type="auto"/>
            <w:tcBorders>
              <w:top w:val="nil"/>
              <w:left w:val="nil"/>
              <w:bottom w:val="single" w:sz="4" w:space="0" w:color="auto"/>
              <w:right w:val="single" w:sz="4" w:space="0" w:color="auto"/>
            </w:tcBorders>
            <w:shd w:val="clear" w:color="auto" w:fill="auto"/>
            <w:vAlign w:val="center"/>
            <w:hideMark/>
          </w:tcPr>
          <w:p w:rsidR="002D42DA" w:rsidRPr="00280441" w:rsidRDefault="00BA1692" w:rsidP="00280441">
            <w:pPr>
              <w:spacing w:line="240" w:lineRule="auto"/>
              <w:jc w:val="right"/>
              <w:rPr>
                <w:rFonts w:ascii="Calibri" w:hAnsi="Calibri" w:cs="Calibri"/>
                <w:color w:val="FF0000"/>
                <w:sz w:val="18"/>
              </w:rPr>
            </w:pPr>
            <w:r>
              <w:rPr>
                <w:rFonts w:ascii="Calibri" w:hAnsi="Calibri" w:cs="Calibri"/>
                <w:color w:val="FF0000"/>
                <w:sz w:val="18"/>
              </w:rPr>
              <w:t>Personal Communication</w:t>
            </w:r>
            <w:r w:rsidR="00280441">
              <w:rPr>
                <w:rFonts w:ascii="Calibri" w:hAnsi="Calibri" w:cs="Calibri"/>
                <w:color w:val="FF0000"/>
                <w:sz w:val="18"/>
              </w:rPr>
              <w:br/>
            </w:r>
            <w:r w:rsidR="002D42DA" w:rsidRPr="003B49B5">
              <w:rPr>
                <w:rFonts w:ascii="Calibri" w:eastAsia="Times New Roman" w:hAnsi="Calibri" w:cs="Calibri"/>
                <w:color w:val="FF0000"/>
                <w:sz w:val="18"/>
              </w:rPr>
              <w:t>P. Landi</w:t>
            </w:r>
          </w:p>
        </w:tc>
      </w:tr>
      <w:tr w:rsidR="002D42DA" w:rsidRPr="00112E7F" w:rsidTr="00F365CB">
        <w:trPr>
          <w:trHeight w:val="580"/>
          <w:jc w:val="center"/>
        </w:trPr>
        <w:tc>
          <w:tcPr>
            <w:tcW w:w="0" w:type="auto"/>
            <w:vMerge/>
            <w:tcBorders>
              <w:top w:val="nil"/>
              <w:left w:val="single" w:sz="4" w:space="0" w:color="auto"/>
              <w:bottom w:val="single" w:sz="4" w:space="0" w:color="auto"/>
              <w:right w:val="single" w:sz="4" w:space="0" w:color="auto"/>
            </w:tcBorders>
            <w:vAlign w:val="center"/>
            <w:hideMark/>
          </w:tcPr>
          <w:p w:rsidR="002D42DA" w:rsidRPr="003072B7" w:rsidRDefault="002D42DA" w:rsidP="0095065E">
            <w:pPr>
              <w:spacing w:line="240" w:lineRule="auto"/>
              <w:rPr>
                <w:rFonts w:ascii="Calibri" w:hAnsi="Calibri" w:cs="Calibri"/>
                <w:color w:val="000000"/>
                <w:sz w:val="20"/>
              </w:rPr>
            </w:pP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ca. 300 m</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S</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 0.</w:t>
            </w:r>
            <w:r w:rsidRPr="003072B7">
              <w:rPr>
                <w:rFonts w:ascii="Calibri" w:hAnsi="Calibri" w:cs="Calibri"/>
                <w:color w:val="FF0000"/>
                <w:sz w:val="20"/>
              </w:rPr>
              <w:t>00</w:t>
            </w:r>
            <w:r w:rsidRPr="003072B7">
              <w:rPr>
                <w:rFonts w:ascii="Calibri" w:eastAsia="Times New Roman" w:hAnsi="Calibri" w:cs="Calibri"/>
                <w:color w:val="FF0000"/>
                <w:sz w:val="20"/>
              </w:rPr>
              <w:t>2 - 0.</w:t>
            </w:r>
            <w:r w:rsidRPr="003072B7">
              <w:rPr>
                <w:rFonts w:ascii="Calibri" w:hAnsi="Calibri" w:cs="Calibri"/>
                <w:color w:val="FF0000"/>
                <w:sz w:val="20"/>
              </w:rPr>
              <w:t>003</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20 - 25 m</w:t>
            </w:r>
          </w:p>
        </w:tc>
        <w:tc>
          <w:tcPr>
            <w:tcW w:w="0" w:type="auto"/>
            <w:tcBorders>
              <w:top w:val="nil"/>
              <w:left w:val="nil"/>
              <w:bottom w:val="single" w:sz="4" w:space="0" w:color="auto"/>
              <w:right w:val="single" w:sz="4" w:space="0" w:color="auto"/>
            </w:tcBorders>
            <w:shd w:val="clear" w:color="auto" w:fill="auto"/>
            <w:vAlign w:val="center"/>
            <w:hideMark/>
          </w:tcPr>
          <w:p w:rsidR="002D42DA" w:rsidRPr="00112E7F" w:rsidRDefault="00BA1692" w:rsidP="00280441">
            <w:pPr>
              <w:spacing w:line="240" w:lineRule="auto"/>
              <w:jc w:val="right"/>
              <w:rPr>
                <w:rFonts w:ascii="Calibri" w:hAnsi="Calibri" w:cs="Calibri"/>
                <w:color w:val="000000"/>
                <w:sz w:val="18"/>
              </w:rPr>
            </w:pPr>
            <w:r>
              <w:rPr>
                <w:rFonts w:ascii="Calibri" w:hAnsi="Calibri" w:cs="Calibri"/>
                <w:color w:val="FF0000"/>
                <w:sz w:val="18"/>
              </w:rPr>
              <w:t>Personal Communication</w:t>
            </w:r>
            <w:r w:rsidR="00280441">
              <w:rPr>
                <w:rFonts w:ascii="Calibri" w:hAnsi="Calibri" w:cs="Calibri"/>
                <w:color w:val="FF0000"/>
                <w:sz w:val="18"/>
              </w:rPr>
              <w:br/>
            </w:r>
            <w:r w:rsidR="002D42DA" w:rsidRPr="003B49B5">
              <w:rPr>
                <w:rFonts w:ascii="Calibri" w:eastAsia="Times New Roman" w:hAnsi="Calibri" w:cs="Calibri"/>
                <w:color w:val="FF0000"/>
                <w:sz w:val="18"/>
              </w:rPr>
              <w:t>P. Landi</w:t>
            </w:r>
          </w:p>
        </w:tc>
      </w:tr>
      <w:tr w:rsidR="002D42DA" w:rsidRPr="00112E7F" w:rsidTr="00F365CB">
        <w:trPr>
          <w:trHeight w:val="580"/>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2001-B</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ca. 300 m</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SE</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1 - 2</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 * 0.8 - 1.1 m</w:t>
            </w:r>
          </w:p>
        </w:tc>
        <w:tc>
          <w:tcPr>
            <w:tcW w:w="0" w:type="auto"/>
            <w:tcBorders>
              <w:top w:val="nil"/>
              <w:left w:val="nil"/>
              <w:bottom w:val="single" w:sz="4" w:space="0" w:color="auto"/>
              <w:right w:val="single" w:sz="4" w:space="0" w:color="auto"/>
            </w:tcBorders>
            <w:shd w:val="clear" w:color="auto" w:fill="auto"/>
            <w:vAlign w:val="center"/>
            <w:hideMark/>
          </w:tcPr>
          <w:p w:rsidR="002D42DA" w:rsidRPr="00112E7F" w:rsidRDefault="002D42DA" w:rsidP="0095065E">
            <w:pPr>
              <w:spacing w:line="240" w:lineRule="auto"/>
              <w:jc w:val="right"/>
              <w:rPr>
                <w:rFonts w:ascii="Calibri" w:hAnsi="Calibri" w:cs="Calibri"/>
                <w:color w:val="000000"/>
                <w:sz w:val="18"/>
              </w:rPr>
            </w:pPr>
            <w:r w:rsidRPr="003B49B5">
              <w:rPr>
                <w:rFonts w:ascii="Calibri" w:eastAsia="Times New Roman" w:hAnsi="Calibri" w:cs="Calibri"/>
                <w:color w:val="FF0000"/>
                <w:sz w:val="18"/>
              </w:rPr>
              <w:t xml:space="preserve">INGV report </w:t>
            </w:r>
            <w:r w:rsidRPr="003B49B5">
              <w:rPr>
                <w:rFonts w:ascii="Calibri" w:eastAsia="Times New Roman" w:hAnsi="Calibri" w:cs="Calibri"/>
                <w:color w:val="FF0000"/>
                <w:sz w:val="18"/>
              </w:rPr>
              <w:br/>
              <w:t>(</w:t>
            </w:r>
            <w:proofErr w:type="spellStart"/>
            <w:r w:rsidRPr="003B49B5">
              <w:rPr>
                <w:rFonts w:ascii="Calibri" w:eastAsia="Times New Roman" w:hAnsi="Calibri" w:cs="Calibri"/>
                <w:color w:val="FF0000"/>
                <w:sz w:val="18"/>
              </w:rPr>
              <w:t>Calvari</w:t>
            </w:r>
            <w:proofErr w:type="spellEnd"/>
            <w:r w:rsidRPr="003B49B5">
              <w:rPr>
                <w:rFonts w:ascii="Calibri" w:eastAsia="Times New Roman" w:hAnsi="Calibri" w:cs="Calibri"/>
                <w:color w:val="FF0000"/>
                <w:sz w:val="18"/>
              </w:rPr>
              <w:t xml:space="preserve"> &amp; </w:t>
            </w:r>
            <w:proofErr w:type="spellStart"/>
            <w:r w:rsidRPr="003B49B5">
              <w:rPr>
                <w:rFonts w:ascii="Calibri" w:eastAsia="Times New Roman" w:hAnsi="Calibri" w:cs="Calibri"/>
                <w:color w:val="FF0000"/>
                <w:sz w:val="18"/>
              </w:rPr>
              <w:t>Pompilio</w:t>
            </w:r>
            <w:proofErr w:type="spellEnd"/>
            <w:r w:rsidRPr="003B49B5">
              <w:rPr>
                <w:rFonts w:ascii="Calibri" w:eastAsia="Times New Roman" w:hAnsi="Calibri" w:cs="Calibri"/>
                <w:color w:val="FF0000"/>
                <w:sz w:val="18"/>
              </w:rPr>
              <w:t>)</w:t>
            </w:r>
          </w:p>
        </w:tc>
      </w:tr>
      <w:tr w:rsidR="002D42DA" w:rsidRPr="00112E7F" w:rsidTr="00F365CB">
        <w:trPr>
          <w:trHeight w:val="580"/>
          <w:jc w:val="center"/>
        </w:trPr>
        <w:tc>
          <w:tcPr>
            <w:tcW w:w="0" w:type="auto"/>
            <w:vMerge/>
            <w:tcBorders>
              <w:top w:val="nil"/>
              <w:left w:val="single" w:sz="4" w:space="0" w:color="auto"/>
              <w:bottom w:val="single" w:sz="4" w:space="0" w:color="auto"/>
              <w:right w:val="single" w:sz="4" w:space="0" w:color="auto"/>
            </w:tcBorders>
            <w:vAlign w:val="center"/>
            <w:hideMark/>
          </w:tcPr>
          <w:p w:rsidR="002D42DA" w:rsidRPr="003072B7" w:rsidRDefault="002D42DA" w:rsidP="0095065E">
            <w:pPr>
              <w:spacing w:line="240" w:lineRule="auto"/>
              <w:rPr>
                <w:rFonts w:ascii="Calibri" w:hAnsi="Calibri" w:cs="Calibri"/>
                <w:color w:val="000000"/>
                <w:sz w:val="20"/>
              </w:rPr>
            </w:pP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ca. 500 m</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NE</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 xml:space="preserve">* </w:t>
            </w:r>
            <w:r w:rsidRPr="003072B7">
              <w:rPr>
                <w:rFonts w:ascii="Calibri" w:hAnsi="Calibri" w:cs="Calibri"/>
                <w:color w:val="FF0000"/>
                <w:sz w:val="20"/>
              </w:rPr>
              <w:t>0.</w:t>
            </w:r>
            <w:r w:rsidRPr="003072B7">
              <w:rPr>
                <w:rFonts w:ascii="Calibri" w:eastAsia="Times New Roman" w:hAnsi="Calibri" w:cs="Calibri"/>
                <w:color w:val="FF0000"/>
                <w:sz w:val="20"/>
              </w:rPr>
              <w:t xml:space="preserve">15 </w:t>
            </w:r>
            <w:r w:rsidR="00A31FB3" w:rsidRPr="003072B7">
              <w:rPr>
                <w:rFonts w:ascii="Calibri" w:hAnsi="Calibri" w:cs="Calibri"/>
                <w:color w:val="FF0000"/>
                <w:sz w:val="20"/>
              </w:rPr>
              <w:t>-</w:t>
            </w:r>
            <w:r w:rsidRPr="003072B7">
              <w:rPr>
                <w:rFonts w:ascii="Calibri" w:eastAsia="Times New Roman" w:hAnsi="Calibri" w:cs="Calibri"/>
                <w:color w:val="FF0000"/>
                <w:sz w:val="20"/>
              </w:rPr>
              <w:t xml:space="preserve"> </w:t>
            </w:r>
            <w:r w:rsidRPr="003072B7">
              <w:rPr>
                <w:rFonts w:ascii="Calibri" w:hAnsi="Calibri" w:cs="Calibri"/>
                <w:color w:val="FF0000"/>
                <w:sz w:val="20"/>
              </w:rPr>
              <w:t>0.30</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2 - 3 m</w:t>
            </w:r>
          </w:p>
        </w:tc>
        <w:tc>
          <w:tcPr>
            <w:tcW w:w="0" w:type="auto"/>
            <w:tcBorders>
              <w:top w:val="nil"/>
              <w:left w:val="nil"/>
              <w:bottom w:val="single" w:sz="4" w:space="0" w:color="auto"/>
              <w:right w:val="single" w:sz="4" w:space="0" w:color="auto"/>
            </w:tcBorders>
            <w:shd w:val="clear" w:color="auto" w:fill="auto"/>
            <w:vAlign w:val="center"/>
            <w:hideMark/>
          </w:tcPr>
          <w:p w:rsidR="002D42DA" w:rsidRPr="00112E7F" w:rsidRDefault="002D42DA" w:rsidP="0095065E">
            <w:pPr>
              <w:spacing w:line="240" w:lineRule="auto"/>
              <w:jc w:val="right"/>
              <w:rPr>
                <w:rFonts w:ascii="Calibri" w:hAnsi="Calibri" w:cs="Calibri"/>
                <w:color w:val="000000"/>
                <w:sz w:val="18"/>
              </w:rPr>
            </w:pPr>
            <w:r w:rsidRPr="003B49B5">
              <w:rPr>
                <w:rFonts w:ascii="Calibri" w:eastAsia="Times New Roman" w:hAnsi="Calibri" w:cs="Calibri"/>
                <w:color w:val="FF0000"/>
                <w:sz w:val="18"/>
              </w:rPr>
              <w:t xml:space="preserve">INGV report </w:t>
            </w:r>
            <w:r w:rsidRPr="003B49B5">
              <w:rPr>
                <w:rFonts w:ascii="Calibri" w:eastAsia="Times New Roman" w:hAnsi="Calibri" w:cs="Calibri"/>
                <w:color w:val="FF0000"/>
                <w:sz w:val="18"/>
              </w:rPr>
              <w:br/>
              <w:t>(</w:t>
            </w:r>
            <w:proofErr w:type="spellStart"/>
            <w:r w:rsidRPr="003B49B5">
              <w:rPr>
                <w:rFonts w:ascii="Calibri" w:eastAsia="Times New Roman" w:hAnsi="Calibri" w:cs="Calibri"/>
                <w:color w:val="FF0000"/>
                <w:sz w:val="18"/>
              </w:rPr>
              <w:t>Calvari</w:t>
            </w:r>
            <w:proofErr w:type="spellEnd"/>
            <w:r w:rsidRPr="003B49B5">
              <w:rPr>
                <w:rFonts w:ascii="Calibri" w:eastAsia="Times New Roman" w:hAnsi="Calibri" w:cs="Calibri"/>
                <w:color w:val="FF0000"/>
                <w:sz w:val="18"/>
              </w:rPr>
              <w:t xml:space="preserve"> &amp; </w:t>
            </w:r>
            <w:proofErr w:type="spellStart"/>
            <w:r w:rsidRPr="003B49B5">
              <w:rPr>
                <w:rFonts w:ascii="Calibri" w:eastAsia="Times New Roman" w:hAnsi="Calibri" w:cs="Calibri"/>
                <w:color w:val="FF0000"/>
                <w:sz w:val="18"/>
              </w:rPr>
              <w:t>Pompilio</w:t>
            </w:r>
            <w:proofErr w:type="spellEnd"/>
            <w:r w:rsidRPr="003B49B5">
              <w:rPr>
                <w:rFonts w:ascii="Calibri" w:eastAsia="Times New Roman" w:hAnsi="Calibri" w:cs="Calibri"/>
                <w:color w:val="FF0000"/>
                <w:sz w:val="18"/>
              </w:rPr>
              <w:t>)</w:t>
            </w:r>
          </w:p>
        </w:tc>
      </w:tr>
      <w:tr w:rsidR="002D42DA" w:rsidRPr="005C3C4C" w:rsidTr="00F365CB">
        <w:trPr>
          <w:trHeight w:val="58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1998-B</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ca. 500 m</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NE</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2</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 * 0.8 m</w:t>
            </w:r>
          </w:p>
        </w:tc>
        <w:tc>
          <w:tcPr>
            <w:tcW w:w="0" w:type="auto"/>
            <w:tcBorders>
              <w:top w:val="nil"/>
              <w:left w:val="nil"/>
              <w:bottom w:val="single" w:sz="4" w:space="0" w:color="auto"/>
              <w:right w:val="single" w:sz="4" w:space="0" w:color="auto"/>
            </w:tcBorders>
            <w:shd w:val="clear" w:color="auto" w:fill="auto"/>
            <w:vAlign w:val="center"/>
            <w:hideMark/>
          </w:tcPr>
          <w:p w:rsidR="002D42DA" w:rsidRPr="00033361" w:rsidRDefault="002D42DA" w:rsidP="0095065E">
            <w:pPr>
              <w:spacing w:line="240" w:lineRule="auto"/>
              <w:jc w:val="right"/>
              <w:rPr>
                <w:rFonts w:ascii="Calibri" w:hAnsi="Calibri" w:cs="Calibri"/>
                <w:color w:val="000000"/>
                <w:sz w:val="18"/>
                <w:lang w:val="it-IT"/>
              </w:rPr>
            </w:pPr>
            <w:r w:rsidRPr="00033361">
              <w:rPr>
                <w:rFonts w:ascii="Calibri" w:eastAsia="Times New Roman" w:hAnsi="Calibri" w:cs="Calibri"/>
                <w:color w:val="FF0000"/>
                <w:sz w:val="18"/>
                <w:lang w:val="it-IT"/>
              </w:rPr>
              <w:t xml:space="preserve">GNV report </w:t>
            </w:r>
            <w:r w:rsidRPr="00033361">
              <w:rPr>
                <w:rFonts w:ascii="Calibri" w:eastAsia="Times New Roman" w:hAnsi="Calibri" w:cs="Calibri"/>
                <w:color w:val="FF0000"/>
                <w:sz w:val="18"/>
                <w:lang w:val="it-IT"/>
              </w:rPr>
              <w:br/>
              <w:t>(Rosi et al.)</w:t>
            </w:r>
          </w:p>
        </w:tc>
      </w:tr>
      <w:tr w:rsidR="002D42DA" w:rsidRPr="00112E7F" w:rsidTr="00F365CB">
        <w:trPr>
          <w:trHeight w:val="42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1996-B</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ca. 300 m</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SE</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3 - 4</w:t>
            </w:r>
          </w:p>
        </w:tc>
        <w:tc>
          <w:tcPr>
            <w:tcW w:w="0" w:type="auto"/>
            <w:tcBorders>
              <w:top w:val="nil"/>
              <w:left w:val="nil"/>
              <w:bottom w:val="single" w:sz="4" w:space="0" w:color="auto"/>
              <w:right w:val="single" w:sz="4" w:space="0" w:color="auto"/>
            </w:tcBorders>
            <w:shd w:val="clear" w:color="auto" w:fill="auto"/>
            <w:noWrap/>
            <w:vAlign w:val="center"/>
            <w:hideMark/>
          </w:tcPr>
          <w:p w:rsidR="002D42DA" w:rsidRPr="003072B7" w:rsidRDefault="002D42DA" w:rsidP="0095065E">
            <w:pPr>
              <w:spacing w:line="240" w:lineRule="auto"/>
              <w:jc w:val="right"/>
              <w:rPr>
                <w:rFonts w:ascii="Calibri" w:hAnsi="Calibri" w:cs="Calibri"/>
                <w:color w:val="000000"/>
                <w:sz w:val="20"/>
              </w:rPr>
            </w:pPr>
            <w:r w:rsidRPr="003072B7">
              <w:rPr>
                <w:rFonts w:ascii="Calibri" w:eastAsia="Times New Roman" w:hAnsi="Calibri" w:cs="Calibri"/>
                <w:color w:val="FF0000"/>
                <w:sz w:val="20"/>
              </w:rPr>
              <w:t>* 0.5 - 0.6 m</w:t>
            </w:r>
          </w:p>
        </w:tc>
        <w:tc>
          <w:tcPr>
            <w:tcW w:w="0" w:type="auto"/>
            <w:tcBorders>
              <w:top w:val="nil"/>
              <w:left w:val="nil"/>
              <w:bottom w:val="single" w:sz="4" w:space="0" w:color="auto"/>
              <w:right w:val="single" w:sz="4" w:space="0" w:color="auto"/>
            </w:tcBorders>
            <w:shd w:val="clear" w:color="auto" w:fill="auto"/>
            <w:vAlign w:val="center"/>
            <w:hideMark/>
          </w:tcPr>
          <w:p w:rsidR="002D42DA" w:rsidRPr="00112E7F" w:rsidRDefault="002D42DA" w:rsidP="00BA1692">
            <w:pPr>
              <w:spacing w:line="240" w:lineRule="auto"/>
              <w:jc w:val="right"/>
              <w:rPr>
                <w:rFonts w:ascii="Calibri" w:hAnsi="Calibri" w:cs="Calibri"/>
                <w:color w:val="000000"/>
                <w:sz w:val="18"/>
              </w:rPr>
            </w:pPr>
            <w:proofErr w:type="spellStart"/>
            <w:r w:rsidRPr="003B49B5">
              <w:rPr>
                <w:rFonts w:ascii="Calibri" w:eastAsia="Times New Roman" w:hAnsi="Calibri" w:cs="Calibri"/>
                <w:color w:val="FF0000"/>
                <w:sz w:val="18"/>
              </w:rPr>
              <w:t>Coltelli</w:t>
            </w:r>
            <w:proofErr w:type="spellEnd"/>
            <w:r w:rsidRPr="003B49B5">
              <w:rPr>
                <w:rFonts w:ascii="Calibri" w:eastAsia="Times New Roman" w:hAnsi="Calibri" w:cs="Calibri"/>
                <w:color w:val="FF0000"/>
                <w:sz w:val="18"/>
              </w:rPr>
              <w:t xml:space="preserve"> et al.</w:t>
            </w:r>
            <w:r w:rsidRPr="003B49B5">
              <w:rPr>
                <w:rFonts w:ascii="Calibri" w:eastAsia="Times New Roman" w:hAnsi="Calibri" w:cs="Calibri"/>
                <w:color w:val="FF0000"/>
                <w:sz w:val="18"/>
              </w:rPr>
              <w:br/>
              <w:t>(2000)</w:t>
            </w:r>
          </w:p>
        </w:tc>
      </w:tr>
    </w:tbl>
    <w:p w:rsidR="00F575C2" w:rsidRDefault="006C59F7" w:rsidP="00321E7B">
      <w:pPr>
        <w:spacing w:before="200"/>
        <w:jc w:val="both"/>
        <w:rPr>
          <w:color w:val="FF0000"/>
        </w:rPr>
      </w:pPr>
      <w:r>
        <w:rPr>
          <w:color w:val="FF0000"/>
        </w:rPr>
        <w:t xml:space="preserve">Please </w:t>
      </w:r>
      <w:r w:rsidR="003832AF">
        <w:rPr>
          <w:color w:val="FF0000"/>
        </w:rPr>
        <w:t xml:space="preserve">also </w:t>
      </w:r>
      <w:r w:rsidR="00E5635B">
        <w:rPr>
          <w:color w:val="FF0000"/>
        </w:rPr>
        <w:t>consider</w:t>
      </w:r>
      <w:r>
        <w:rPr>
          <w:color w:val="FF0000"/>
        </w:rPr>
        <w:t xml:space="preserve"> that </w:t>
      </w:r>
      <w:proofErr w:type="spellStart"/>
      <w:r w:rsidR="00F575C2">
        <w:rPr>
          <w:color w:val="FF0000"/>
        </w:rPr>
        <w:t>Pioli</w:t>
      </w:r>
      <w:proofErr w:type="spellEnd"/>
      <w:r w:rsidR="00F575C2">
        <w:rPr>
          <w:color w:val="FF0000"/>
        </w:rPr>
        <w:t xml:space="preserve"> et al. </w:t>
      </w:r>
      <w:r w:rsidR="00F365CB">
        <w:rPr>
          <w:color w:val="FF0000"/>
        </w:rPr>
        <w:t>(</w:t>
      </w:r>
      <w:r w:rsidR="00F575C2">
        <w:rPr>
          <w:color w:val="FF0000"/>
        </w:rPr>
        <w:t>2014</w:t>
      </w:r>
      <w:r w:rsidR="00F365CB">
        <w:rPr>
          <w:color w:val="FF0000"/>
        </w:rPr>
        <w:t>)</w:t>
      </w:r>
      <w:r w:rsidR="00C15532">
        <w:rPr>
          <w:color w:val="FF0000"/>
        </w:rPr>
        <w:t xml:space="preserve"> and </w:t>
      </w:r>
      <w:proofErr w:type="spellStart"/>
      <w:r w:rsidR="00C15532">
        <w:rPr>
          <w:color w:val="FF0000"/>
        </w:rPr>
        <w:t>Voloschina</w:t>
      </w:r>
      <w:proofErr w:type="spellEnd"/>
      <w:r w:rsidR="00C15532">
        <w:rPr>
          <w:color w:val="FF0000"/>
        </w:rPr>
        <w:t xml:space="preserve"> et al.</w:t>
      </w:r>
      <w:r w:rsidR="00F575C2">
        <w:rPr>
          <w:color w:val="FF0000"/>
        </w:rPr>
        <w:t xml:space="preserve"> </w:t>
      </w:r>
      <w:r w:rsidR="00F365CB">
        <w:rPr>
          <w:color w:val="FF0000"/>
        </w:rPr>
        <w:t>(</w:t>
      </w:r>
      <w:r w:rsidR="00F575C2">
        <w:rPr>
          <w:color w:val="FF0000"/>
        </w:rPr>
        <w:t>2023</w:t>
      </w:r>
      <w:r w:rsidR="00F365CB">
        <w:rPr>
          <w:color w:val="FF0000"/>
        </w:rPr>
        <w:t>)</w:t>
      </w:r>
      <w:r w:rsidR="00F575C2">
        <w:rPr>
          <w:color w:val="FF0000"/>
        </w:rPr>
        <w:t xml:space="preserve"> </w:t>
      </w:r>
      <w:r>
        <w:rPr>
          <w:color w:val="FF0000"/>
        </w:rPr>
        <w:t>report</w:t>
      </w:r>
      <w:r w:rsidR="00174288">
        <w:rPr>
          <w:color w:val="FF0000"/>
        </w:rPr>
        <w:t>ed</w:t>
      </w:r>
      <w:r w:rsidR="00F575C2">
        <w:rPr>
          <w:color w:val="FF0000"/>
        </w:rPr>
        <w:t xml:space="preserve"> the eruptive mass and volume of a selection of major explosions and paroxysms</w:t>
      </w:r>
      <w:r w:rsidR="00F365CB">
        <w:rPr>
          <w:color w:val="FF0000"/>
        </w:rPr>
        <w:t xml:space="preserve">, but no information on the </w:t>
      </w:r>
      <w:r w:rsidR="00290993">
        <w:rPr>
          <w:color w:val="FF0000"/>
        </w:rPr>
        <w:t>areal</w:t>
      </w:r>
      <w:r w:rsidR="00F365CB">
        <w:rPr>
          <w:color w:val="FF0000"/>
        </w:rPr>
        <w:t xml:space="preserve"> density of the projectiles</w:t>
      </w:r>
      <w:r w:rsidR="00F575C2">
        <w:rPr>
          <w:color w:val="FF0000"/>
        </w:rPr>
        <w:t xml:space="preserve">. </w:t>
      </w:r>
      <w:r w:rsidR="00B66E44">
        <w:rPr>
          <w:color w:val="FF0000"/>
        </w:rPr>
        <w:t>However,</w:t>
      </w:r>
      <w:r>
        <w:rPr>
          <w:color w:val="FF0000"/>
        </w:rPr>
        <w:t xml:space="preserve"> w</w:t>
      </w:r>
      <w:r w:rsidR="00F575C2">
        <w:rPr>
          <w:color w:val="FF0000"/>
        </w:rPr>
        <w:t xml:space="preserve">e added a </w:t>
      </w:r>
      <w:r>
        <w:rPr>
          <w:color w:val="FF0000"/>
        </w:rPr>
        <w:t>new</w:t>
      </w:r>
      <w:r w:rsidR="00F575C2">
        <w:rPr>
          <w:color w:val="FF0000"/>
        </w:rPr>
        <w:t xml:space="preserve"> sentence </w:t>
      </w:r>
      <w:r>
        <w:rPr>
          <w:color w:val="FF0000"/>
        </w:rPr>
        <w:t xml:space="preserve">to the introduction </w:t>
      </w:r>
      <w:r w:rsidR="00B66E44">
        <w:rPr>
          <w:color w:val="FF0000"/>
        </w:rPr>
        <w:t>that st</w:t>
      </w:r>
      <w:r w:rsidR="00F350C9">
        <w:rPr>
          <w:color w:val="FF0000"/>
        </w:rPr>
        <w:t>r</w:t>
      </w:r>
      <w:r w:rsidR="00B66E44">
        <w:rPr>
          <w:color w:val="FF0000"/>
        </w:rPr>
        <w:t>esses</w:t>
      </w:r>
      <w:r w:rsidR="00F575C2">
        <w:rPr>
          <w:color w:val="FF0000"/>
        </w:rPr>
        <w:t xml:space="preserve"> this important line of r</w:t>
      </w:r>
      <w:r>
        <w:rPr>
          <w:color w:val="FF0000"/>
        </w:rPr>
        <w:t>esearch</w:t>
      </w:r>
      <w:r w:rsidR="00F575C2">
        <w:rPr>
          <w:color w:val="FF0000"/>
        </w:rPr>
        <w:t xml:space="preserve">: </w:t>
      </w:r>
    </w:p>
    <w:p w:rsidR="00784FC7" w:rsidRDefault="00F575C2" w:rsidP="00A74D83">
      <w:pPr>
        <w:jc w:val="both"/>
        <w:rPr>
          <w:color w:val="FF0000"/>
        </w:rPr>
      </w:pPr>
      <w:r>
        <w:rPr>
          <w:color w:val="FF0000"/>
        </w:rPr>
        <w:t>“</w:t>
      </w:r>
      <w:r w:rsidR="00AC34B3" w:rsidRPr="00AC34B3">
        <w:rPr>
          <w:i/>
          <w:color w:val="FF0000"/>
        </w:rPr>
        <w:t xml:space="preserve">Several studies also correlated the plume height and the erupted volume/mass </w:t>
      </w:r>
      <w:r w:rsidR="006C59F7">
        <w:rPr>
          <w:i/>
          <w:color w:val="FF0000"/>
        </w:rPr>
        <w:t>to</w:t>
      </w:r>
      <w:r w:rsidR="00AC34B3" w:rsidRPr="00AC34B3">
        <w:rPr>
          <w:i/>
          <w:color w:val="FF0000"/>
        </w:rPr>
        <w:t xml:space="preserve"> the different types of explosions, and indicated the presence of low-porphyritic magma as an important marker of the major </w:t>
      </w:r>
      <w:r w:rsidR="00AC34B3" w:rsidRPr="00AC34B3">
        <w:rPr>
          <w:i/>
          <w:color w:val="FF0000"/>
        </w:rPr>
        <w:lastRenderedPageBreak/>
        <w:t>explosions and paroxysms (</w:t>
      </w:r>
      <w:proofErr w:type="spellStart"/>
      <w:r w:rsidR="00AC34B3" w:rsidRPr="00AC34B3">
        <w:rPr>
          <w:i/>
          <w:color w:val="FF0000"/>
        </w:rPr>
        <w:t>Pioli</w:t>
      </w:r>
      <w:proofErr w:type="spellEnd"/>
      <w:r w:rsidR="00AC34B3" w:rsidRPr="00AC34B3">
        <w:rPr>
          <w:i/>
          <w:color w:val="FF0000"/>
        </w:rPr>
        <w:t xml:space="preserve"> et al., 2014; </w:t>
      </w:r>
      <w:proofErr w:type="spellStart"/>
      <w:r w:rsidR="00AC34B3" w:rsidRPr="00AC34B3">
        <w:rPr>
          <w:i/>
          <w:color w:val="FF0000"/>
        </w:rPr>
        <w:t>Metrich</w:t>
      </w:r>
      <w:proofErr w:type="spellEnd"/>
      <w:r w:rsidR="00AC34B3" w:rsidRPr="00AC34B3">
        <w:rPr>
          <w:i/>
          <w:color w:val="FF0000"/>
        </w:rPr>
        <w:t xml:space="preserve"> et al., 2021; </w:t>
      </w:r>
      <w:proofErr w:type="spellStart"/>
      <w:r w:rsidR="00AC34B3" w:rsidRPr="00AC34B3">
        <w:rPr>
          <w:i/>
          <w:color w:val="FF0000"/>
        </w:rPr>
        <w:t>Voloschina</w:t>
      </w:r>
      <w:proofErr w:type="spellEnd"/>
      <w:r w:rsidR="00AC34B3" w:rsidRPr="00AC34B3">
        <w:rPr>
          <w:i/>
          <w:color w:val="FF0000"/>
        </w:rPr>
        <w:t xml:space="preserve"> et al., 2023 and references therein).</w:t>
      </w:r>
      <w:r>
        <w:rPr>
          <w:color w:val="FF0000"/>
        </w:rPr>
        <w:t>”</w:t>
      </w:r>
    </w:p>
    <w:p w:rsidR="00ED52D2" w:rsidRDefault="00ED52D2" w:rsidP="00ED52D2">
      <w:pPr>
        <w:jc w:val="both"/>
        <w:rPr>
          <w:color w:val="FF0000"/>
        </w:rPr>
      </w:pPr>
      <w:r>
        <w:rPr>
          <w:color w:val="FF0000"/>
        </w:rPr>
        <w:t>Finally, we improved the following sentence in the Discussion:</w:t>
      </w:r>
    </w:p>
    <w:p w:rsidR="00ED52D2" w:rsidRDefault="00ED52D2" w:rsidP="00ED52D2">
      <w:pPr>
        <w:jc w:val="both"/>
        <w:rPr>
          <w:color w:val="FF0000"/>
        </w:rPr>
      </w:pPr>
      <w:r>
        <w:rPr>
          <w:color w:val="FF0000"/>
        </w:rPr>
        <w:t>“</w:t>
      </w:r>
      <w:r w:rsidRPr="00ED52D2">
        <w:rPr>
          <w:i/>
          <w:color w:val="FF0000"/>
        </w:rPr>
        <w:t xml:space="preserve">For all these reasons, although we did not include </w:t>
      </w:r>
      <w:r w:rsidR="00C15532" w:rsidRPr="00ED52D2">
        <w:rPr>
          <w:i/>
          <w:color w:val="FF0000"/>
        </w:rPr>
        <w:t xml:space="preserve">in our analysis </w:t>
      </w:r>
      <w:r w:rsidRPr="00ED52D2">
        <w:rPr>
          <w:i/>
          <w:color w:val="FF0000"/>
        </w:rPr>
        <w:t xml:space="preserve">the </w:t>
      </w:r>
      <w:r w:rsidR="00290993">
        <w:rPr>
          <w:i/>
          <w:color w:val="FF0000"/>
        </w:rPr>
        <w:t>areal</w:t>
      </w:r>
      <w:r w:rsidRPr="00ED52D2">
        <w:rPr>
          <w:i/>
          <w:color w:val="FF0000"/>
        </w:rPr>
        <w:t xml:space="preserve"> density and the shape of the </w:t>
      </w:r>
      <w:proofErr w:type="spellStart"/>
      <w:r w:rsidRPr="00ED52D2">
        <w:rPr>
          <w:i/>
          <w:color w:val="FF0000"/>
        </w:rPr>
        <w:t>clasts</w:t>
      </w:r>
      <w:proofErr w:type="spellEnd"/>
      <w:r w:rsidRPr="00ED52D2">
        <w:rPr>
          <w:i/>
          <w:color w:val="FF0000"/>
        </w:rPr>
        <w:t>, along with information</w:t>
      </w:r>
      <w:r w:rsidR="00C15532">
        <w:rPr>
          <w:i/>
          <w:color w:val="FF0000"/>
        </w:rPr>
        <w:t xml:space="preserve"> on the ballistic trajectories</w:t>
      </w:r>
      <w:r w:rsidRPr="00ED52D2">
        <w:rPr>
          <w:i/>
          <w:color w:val="FF0000"/>
        </w:rPr>
        <w:t>, and our estimates cannot be considered as a measure of the probability to be struck by a ballistic fragment, our results allowed us to estimate the probability that a given sector of the volcano is affected by ballistic fallout and are certainly representative of the presence of a major risk in the area</w:t>
      </w:r>
      <w:r w:rsidRPr="00ED52D2">
        <w:rPr>
          <w:color w:val="FF0000"/>
        </w:rPr>
        <w:t>.</w:t>
      </w:r>
      <w:r>
        <w:rPr>
          <w:color w:val="FF0000"/>
        </w:rPr>
        <w:t>”</w:t>
      </w:r>
    </w:p>
    <w:p w:rsidR="008A1534" w:rsidRDefault="00695890" w:rsidP="00A74D83">
      <w:pPr>
        <w:jc w:val="both"/>
      </w:pPr>
      <w:r w:rsidRPr="00C6455B">
        <w:rPr>
          <w:b/>
          <w:bCs/>
        </w:rPr>
        <w:t>b)</w:t>
      </w:r>
      <w:r w:rsidRPr="00C6455B">
        <w:t xml:space="preserve"> Limited observations and incomplete data (i.e., under-sampling), which means in other words that since the approach relies on the reconstruction of past events, the data suffers from a bias related to areas where it is easier to carry on surveys (such as beaten paths or inhabited areas). In less accessible areas of the island - such as the edges of the </w:t>
      </w:r>
      <w:proofErr w:type="spellStart"/>
      <w:r w:rsidRPr="00C6455B">
        <w:t>Sciara</w:t>
      </w:r>
      <w:proofErr w:type="spellEnd"/>
      <w:r w:rsidRPr="00C6455B">
        <w:t xml:space="preserve"> </w:t>
      </w:r>
      <w:proofErr w:type="gramStart"/>
      <w:r w:rsidRPr="00C6455B">
        <w:t>del</w:t>
      </w:r>
      <w:proofErr w:type="gramEnd"/>
      <w:r w:rsidRPr="00C6455B">
        <w:t xml:space="preserve"> </w:t>
      </w:r>
      <w:proofErr w:type="spellStart"/>
      <w:r w:rsidRPr="00C6455B">
        <w:t>Fuoco</w:t>
      </w:r>
      <w:proofErr w:type="spellEnd"/>
      <w:r w:rsidRPr="00C6455B">
        <w:t xml:space="preserve"> and the </w:t>
      </w:r>
      <w:proofErr w:type="spellStart"/>
      <w:r w:rsidRPr="00C6455B">
        <w:t>Sciara</w:t>
      </w:r>
      <w:proofErr w:type="spellEnd"/>
      <w:r w:rsidRPr="00C6455B">
        <w:t xml:space="preserve"> itself or </w:t>
      </w:r>
      <w:proofErr w:type="spellStart"/>
      <w:r w:rsidRPr="00C6455B">
        <w:t>Serro</w:t>
      </w:r>
      <w:proofErr w:type="spellEnd"/>
      <w:r w:rsidRPr="00C6455B">
        <w:t xml:space="preserve"> </w:t>
      </w:r>
      <w:proofErr w:type="spellStart"/>
      <w:r w:rsidRPr="00C6455B">
        <w:t>Capre</w:t>
      </w:r>
      <w:proofErr w:type="spellEnd"/>
      <w:r w:rsidRPr="00C6455B">
        <w:t xml:space="preserve"> and </w:t>
      </w:r>
      <w:proofErr w:type="spellStart"/>
      <w:r w:rsidRPr="00C6455B">
        <w:t>Vigna</w:t>
      </w:r>
      <w:proofErr w:type="spellEnd"/>
      <w:r w:rsidRPr="00C6455B">
        <w:t xml:space="preserve"> </w:t>
      </w:r>
      <w:proofErr w:type="spellStart"/>
      <w:r w:rsidRPr="00C6455B">
        <w:t>Vecchia</w:t>
      </w:r>
      <w:proofErr w:type="spellEnd"/>
      <w:r w:rsidRPr="00C6455B">
        <w:t xml:space="preserve"> or </w:t>
      </w:r>
      <w:proofErr w:type="spellStart"/>
      <w:r w:rsidRPr="00C6455B">
        <w:t>Serro</w:t>
      </w:r>
      <w:proofErr w:type="spellEnd"/>
      <w:r w:rsidRPr="00C6455B">
        <w:t xml:space="preserve"> Monaco etc. - there is a significant data gap. Although the authors introduced corrective statistical models (Models 2 and 3) to mitigate this problem, the original </w:t>
      </w:r>
      <w:proofErr w:type="spellStart"/>
      <w:r w:rsidRPr="00C6455B">
        <w:t>undersampling</w:t>
      </w:r>
      <w:proofErr w:type="spellEnd"/>
      <w:r w:rsidRPr="00C6455B">
        <w:t xml:space="preserve"> remains a flaw.</w:t>
      </w:r>
      <w:r w:rsidR="00321E7B">
        <w:t xml:space="preserve"> </w:t>
      </w:r>
    </w:p>
    <w:p w:rsidR="001F50D3" w:rsidRPr="00213540" w:rsidRDefault="00F365CB" w:rsidP="00A74D83">
      <w:pPr>
        <w:jc w:val="both"/>
        <w:rPr>
          <w:color w:val="FF0000"/>
        </w:rPr>
      </w:pPr>
      <w:r>
        <w:rPr>
          <w:color w:val="FF0000"/>
        </w:rPr>
        <w:t>T</w:t>
      </w:r>
      <w:r w:rsidR="00EB10E6">
        <w:rPr>
          <w:color w:val="FF0000"/>
        </w:rPr>
        <w:t xml:space="preserve">he development of the corrective models </w:t>
      </w:r>
      <w:r w:rsidR="008A1534">
        <w:rPr>
          <w:color w:val="FF0000"/>
        </w:rPr>
        <w:t xml:space="preserve">2 and 3 obviously </w:t>
      </w:r>
      <w:r>
        <w:rPr>
          <w:color w:val="FF0000"/>
        </w:rPr>
        <w:t xml:space="preserve">cannot recreate unavailable data, but </w:t>
      </w:r>
      <w:r w:rsidR="008A1534">
        <w:rPr>
          <w:color w:val="FF0000"/>
        </w:rPr>
        <w:t xml:space="preserve">allowed </w:t>
      </w:r>
      <w:r w:rsidR="00386818">
        <w:rPr>
          <w:color w:val="FF0000"/>
        </w:rPr>
        <w:t xml:space="preserve">us </w:t>
      </w:r>
      <w:r w:rsidR="008A1534">
        <w:rPr>
          <w:color w:val="FF0000"/>
        </w:rPr>
        <w:t xml:space="preserve">to address this issue and to provide a first response to it. </w:t>
      </w:r>
      <w:r w:rsidR="008531A6">
        <w:rPr>
          <w:color w:val="FF0000"/>
        </w:rPr>
        <w:t>Please also see the response to reviewer #2</w:t>
      </w:r>
      <w:r w:rsidR="00E5635B">
        <w:rPr>
          <w:color w:val="FF0000"/>
        </w:rPr>
        <w:t xml:space="preserve"> and the </w:t>
      </w:r>
      <w:r w:rsidR="00386818">
        <w:rPr>
          <w:color w:val="FF0000"/>
        </w:rPr>
        <w:t xml:space="preserve">related new paragraph that we added to </w:t>
      </w:r>
      <w:r w:rsidR="00E5635B">
        <w:rPr>
          <w:color w:val="FF0000"/>
        </w:rPr>
        <w:t>the Introduction</w:t>
      </w:r>
      <w:r w:rsidR="008531A6">
        <w:rPr>
          <w:color w:val="FF0000"/>
        </w:rPr>
        <w:t>.</w:t>
      </w:r>
    </w:p>
    <w:p w:rsidR="008A1534" w:rsidRDefault="00695890" w:rsidP="00A74D83">
      <w:pPr>
        <w:jc w:val="both"/>
      </w:pPr>
      <w:r w:rsidRPr="00C6455B">
        <w:rPr>
          <w:b/>
          <w:bCs/>
        </w:rPr>
        <w:t>c)</w:t>
      </w:r>
      <w:r w:rsidRPr="00C6455B">
        <w:t> Lack of physical and dynamic modeling, which therefore highlights as the study relies entirely on a statistical analysis of field observations, with no attention and reflection on the conditions of the explosive mixture at the source. We know that the two</w:t>
      </w:r>
      <w:r w:rsidR="00213540">
        <w:t xml:space="preserve"> </w:t>
      </w:r>
      <w:proofErr w:type="gramStart"/>
      <w:r w:rsidRPr="00C6455B">
        <w:t>types</w:t>
      </w:r>
      <w:proofErr w:type="gramEnd"/>
      <w:r w:rsidRPr="00C6455B">
        <w:t xml:space="preserve"> magmas involved in paroxysms (and rarely in ME) and their interaction before the events can play a great role in the eruptive dynamics. Also, no numerical models are used to describe the flight dynamics, impact angle or complex projectile trajectories. I believe that is an insurmountable point and where no improvements can be made, but it must be written very clearly.</w:t>
      </w:r>
      <w:r w:rsidR="00321E7B">
        <w:t xml:space="preserve"> </w:t>
      </w:r>
    </w:p>
    <w:p w:rsidR="00E270C9" w:rsidRDefault="008A1534" w:rsidP="00A74D83">
      <w:pPr>
        <w:jc w:val="both"/>
        <w:rPr>
          <w:color w:val="FF0000"/>
        </w:rPr>
      </w:pPr>
      <w:r>
        <w:rPr>
          <w:color w:val="FF0000"/>
        </w:rPr>
        <w:t xml:space="preserve">The study is based on the evidence that </w:t>
      </w:r>
      <w:r w:rsidR="00B66E44">
        <w:rPr>
          <w:color w:val="FF0000"/>
        </w:rPr>
        <w:t>forecast</w:t>
      </w:r>
      <w:r w:rsidR="003072B7">
        <w:rPr>
          <w:color w:val="FF0000"/>
        </w:rPr>
        <w:t>s</w:t>
      </w:r>
      <w:r w:rsidR="00F365CB">
        <w:rPr>
          <w:color w:val="FF0000"/>
        </w:rPr>
        <w:t xml:space="preserve"> of</w:t>
      </w:r>
      <w:r w:rsidR="00B66E44">
        <w:rPr>
          <w:color w:val="FF0000"/>
        </w:rPr>
        <w:t xml:space="preserve"> </w:t>
      </w:r>
      <w:r w:rsidR="00F365CB">
        <w:rPr>
          <w:color w:val="FF0000"/>
        </w:rPr>
        <w:t xml:space="preserve">physical trajectories of </w:t>
      </w:r>
      <w:r w:rsidR="003072B7">
        <w:rPr>
          <w:color w:val="FF0000"/>
        </w:rPr>
        <w:t xml:space="preserve">the projectiles ejected by </w:t>
      </w:r>
      <w:r>
        <w:rPr>
          <w:color w:val="FF0000"/>
        </w:rPr>
        <w:t xml:space="preserve">the next or </w:t>
      </w:r>
      <w:r w:rsidR="003072B7">
        <w:rPr>
          <w:color w:val="FF0000"/>
        </w:rPr>
        <w:t>future major explosions and paroxysms are</w:t>
      </w:r>
      <w:r w:rsidR="00F365CB">
        <w:rPr>
          <w:color w:val="FF0000"/>
        </w:rPr>
        <w:t xml:space="preserve"> not at rea</w:t>
      </w:r>
      <w:r w:rsidR="00B66E44">
        <w:rPr>
          <w:color w:val="FF0000"/>
        </w:rPr>
        <w:t>ch.</w:t>
      </w:r>
      <w:r w:rsidR="00E5635B" w:rsidRPr="00E5635B">
        <w:rPr>
          <w:color w:val="FF0000"/>
        </w:rPr>
        <w:t xml:space="preserve"> </w:t>
      </w:r>
      <w:r>
        <w:rPr>
          <w:color w:val="FF0000"/>
        </w:rPr>
        <w:t xml:space="preserve">Neither are the flow conditions at the vent to be implemented in the numerical models. This is why in this study we relied exclusively on past dispersal data although the understanding of the phenomenon gained from physical models developed in the past by some of the authors was also valuable and used in the parameter selections and uncertainty assessment. </w:t>
      </w:r>
    </w:p>
    <w:p w:rsidR="00E270C9" w:rsidRPr="008E688C" w:rsidRDefault="00E270C9" w:rsidP="00A74D83">
      <w:pPr>
        <w:jc w:val="both"/>
        <w:rPr>
          <w:color w:val="FF0000"/>
          <w:highlight w:val="yellow"/>
        </w:rPr>
      </w:pPr>
      <w:r w:rsidRPr="005C3C4C">
        <w:rPr>
          <w:color w:val="FF0000"/>
        </w:rPr>
        <w:t>We added the following paragraph to the discussion, in which we highlight that our approach implicitly incorporates atmospheric wind effects, which can be quantified by numerical models:</w:t>
      </w:r>
    </w:p>
    <w:p w:rsidR="00E270C9" w:rsidRPr="00213540" w:rsidRDefault="005C3C4C" w:rsidP="00A74D83">
      <w:pPr>
        <w:jc w:val="both"/>
        <w:rPr>
          <w:color w:val="FF0000"/>
        </w:rPr>
      </w:pPr>
      <w:r>
        <w:rPr>
          <w:color w:val="FF0000"/>
        </w:rPr>
        <w:t>“</w:t>
      </w:r>
      <w:r w:rsidRPr="005C3C4C">
        <w:rPr>
          <w:i/>
          <w:color w:val="FF0000"/>
        </w:rPr>
        <w:t xml:space="preserve">Regarding the possible role of prevailing winds, because the dispersal sectors were delineated from the observed impact locations of ballistic projectiles, any systematic wind-induced deflection is already implicitly included in our estimates. Nevertheless, although atmospheric winds may substantially modify </w:t>
      </w:r>
      <w:r w:rsidRPr="005C3C4C">
        <w:rPr>
          <w:i/>
          <w:color w:val="FF0000"/>
        </w:rPr>
        <w:lastRenderedPageBreak/>
        <w:t xml:space="preserve">ballistic trajectories under some conditions, their effect at Stromboli appears to be relatively limited. Calculations based on previous studies of crosswind effects (e.g., </w:t>
      </w:r>
      <w:proofErr w:type="spellStart"/>
      <w:r w:rsidRPr="005C3C4C">
        <w:rPr>
          <w:i/>
          <w:color w:val="FF0000"/>
        </w:rPr>
        <w:t>Bertin</w:t>
      </w:r>
      <w:proofErr w:type="spellEnd"/>
      <w:r w:rsidRPr="005C3C4C">
        <w:rPr>
          <w:i/>
          <w:color w:val="FF0000"/>
        </w:rPr>
        <w:t xml:space="preserve">, 2017) indicate that, under standard atmospheric conditions, a 5 m/s crosswind representative of typical conditions at Stromboli, would displace a 10 cm diameter spherical lithic </w:t>
      </w:r>
      <w:proofErr w:type="spellStart"/>
      <w:r w:rsidRPr="005C3C4C">
        <w:rPr>
          <w:i/>
          <w:color w:val="FF0000"/>
        </w:rPr>
        <w:t>clast</w:t>
      </w:r>
      <w:proofErr w:type="spellEnd"/>
      <w:r w:rsidRPr="005C3C4C">
        <w:rPr>
          <w:i/>
          <w:color w:val="FF0000"/>
        </w:rPr>
        <w:t xml:space="preserve"> by approximately 60-125 m, assuming a drag coefficient of 0.5 and a trajectory apex 500</w:t>
      </w:r>
      <w:r w:rsidRPr="005C3C4C">
        <w:rPr>
          <w:b/>
          <w:i/>
          <w:color w:val="FF0000"/>
        </w:rPr>
        <w:t>-</w:t>
      </w:r>
      <w:r w:rsidRPr="005C3C4C">
        <w:rPr>
          <w:i/>
          <w:color w:val="FF0000"/>
        </w:rPr>
        <w:t xml:space="preserve">1000 m above the source, as commonly associated with major explosions and of about 155-210 m for a free fall from an apex of about 3000-4000 m above the source, as may occur during paroxysms. Low-level wind field for Stromboli, derived from the coarse-resolution reanalysis dataset of </w:t>
      </w:r>
      <w:proofErr w:type="spellStart"/>
      <w:r w:rsidRPr="005C3C4C">
        <w:rPr>
          <w:i/>
          <w:color w:val="FF0000"/>
        </w:rPr>
        <w:t>Mastin</w:t>
      </w:r>
      <w:proofErr w:type="spellEnd"/>
      <w:r w:rsidRPr="005C3C4C">
        <w:rPr>
          <w:i/>
          <w:color w:val="FF0000"/>
        </w:rPr>
        <w:t xml:space="preserve"> (2017) for elevations between 0 and 5 km, indicates predominantly E and SE transport. These directions do not appear to account fully for the observed ballistic dispersal patterns. Local circulation may, however, be significantly modified by the steep topography of the volcano. Resolving such effects would require a dedicated reconstruction of the local wind field, including that of specific recent events, which is beyond the scope of this study</w:t>
      </w:r>
      <w:r w:rsidRPr="005C3C4C">
        <w:rPr>
          <w:color w:val="FF0000"/>
        </w:rPr>
        <w:t>.</w:t>
      </w:r>
      <w:r>
        <w:rPr>
          <w:color w:val="FF0000"/>
        </w:rPr>
        <w:t>”</w:t>
      </w:r>
    </w:p>
    <w:p w:rsidR="00E5635B" w:rsidRDefault="00695890" w:rsidP="00F365CB">
      <w:pPr>
        <w:jc w:val="both"/>
      </w:pPr>
      <w:r w:rsidRPr="00C6455B">
        <w:rPr>
          <w:b/>
          <w:bCs/>
        </w:rPr>
        <w:t>d)</w:t>
      </w:r>
      <w:r w:rsidRPr="00C6455B">
        <w:t xml:space="preserve"> The parameter p, which represents the fraction of the number of paroxysms compared to the total number of explosive events (i.e. the sum of major explosions and paroxysms, right?), presents those strong doubts largely deriving from the complexity of the volcano eruptions during time and from the hard limits represented by lacking news/observations in the historical catalogues, over long periods. So, there is uncertainty in estimating this "p" ratio. The Authors assume a rate of 12% (based on data from 2003 to 2023), In this case, my question is: why not up to 2024, when another paroxysm occurred? Moreover, during the 2024 at least other 3 MEs occurred: have they been considered? If the Authors acknowledge, as they write, that this value can vary dramatically due to the volcano's natural variability and the clustering effect of events over time, it should be considered the largest possible period, with available data until our days, not stopping at 2023. As far as, based on my knowledge, there were no MEs during 2025 but the most reliable number of MEs and paroxysms occurred </w:t>
      </w:r>
      <w:r w:rsidR="00213540">
        <w:t>until the pub</w:t>
      </w:r>
      <w:r w:rsidRPr="00C6455B">
        <w:t>lication of this paper is a point that cannot be circumvented in any way.</w:t>
      </w:r>
      <w:r w:rsidR="00321E7B">
        <w:t xml:space="preserve"> </w:t>
      </w:r>
    </w:p>
    <w:p w:rsidR="008A1534" w:rsidRDefault="00DE43DC" w:rsidP="008A1534">
      <w:pPr>
        <w:jc w:val="both"/>
        <w:rPr>
          <w:color w:val="FF0000"/>
        </w:rPr>
      </w:pPr>
      <w:r>
        <w:rPr>
          <w:color w:val="FF0000"/>
        </w:rPr>
        <w:t>The parameter p is variable</w:t>
      </w:r>
      <w:r w:rsidR="008A1534" w:rsidRPr="008A1534">
        <w:rPr>
          <w:color w:val="FF0000"/>
        </w:rPr>
        <w:t xml:space="preserve"> </w:t>
      </w:r>
      <w:r w:rsidR="008A1534">
        <w:rPr>
          <w:color w:val="FF0000"/>
        </w:rPr>
        <w:t xml:space="preserve">during the history of the volcano but has no dramatic effect on the results, instead its impact is quite limited as we better described in the revised manuscript. </w:t>
      </w:r>
      <w:r>
        <w:rPr>
          <w:color w:val="FF0000"/>
        </w:rPr>
        <w:t xml:space="preserve">To </w:t>
      </w:r>
      <w:r w:rsidR="008A1534">
        <w:rPr>
          <w:color w:val="FF0000"/>
        </w:rPr>
        <w:t>prove</w:t>
      </w:r>
      <w:r>
        <w:rPr>
          <w:color w:val="FF0000"/>
        </w:rPr>
        <w:t xml:space="preserve"> that, we added the new Table S</w:t>
      </w:r>
      <w:r w:rsidR="007F0D60">
        <w:rPr>
          <w:color w:val="FF0000"/>
        </w:rPr>
        <w:t>4</w:t>
      </w:r>
      <w:r>
        <w:rPr>
          <w:color w:val="FF0000"/>
        </w:rPr>
        <w:t xml:space="preserve"> that updates the catalog </w:t>
      </w:r>
      <w:r w:rsidR="00BE1ED7">
        <w:rPr>
          <w:color w:val="FF0000"/>
        </w:rPr>
        <w:t xml:space="preserve">of major explosions and paroxysms </w:t>
      </w:r>
      <w:r>
        <w:rPr>
          <w:color w:val="FF0000"/>
        </w:rPr>
        <w:t>to June 2026</w:t>
      </w:r>
      <w:r w:rsidR="003072B7">
        <w:rPr>
          <w:color w:val="FF0000"/>
        </w:rPr>
        <w:t xml:space="preserve"> (in fact, </w:t>
      </w:r>
      <w:proofErr w:type="spellStart"/>
      <w:r w:rsidR="003072B7">
        <w:rPr>
          <w:color w:val="FF0000"/>
        </w:rPr>
        <w:t>Bevilacqua</w:t>
      </w:r>
      <w:proofErr w:type="spellEnd"/>
      <w:r w:rsidR="003072B7">
        <w:rPr>
          <w:color w:val="FF0000"/>
        </w:rPr>
        <w:t xml:space="preserve"> et al., 2023 stop</w:t>
      </w:r>
      <w:r w:rsidR="00532CAC">
        <w:rPr>
          <w:color w:val="FF0000"/>
        </w:rPr>
        <w:t>s</w:t>
      </w:r>
      <w:r w:rsidR="003072B7">
        <w:rPr>
          <w:color w:val="FF0000"/>
        </w:rPr>
        <w:t xml:space="preserve"> in </w:t>
      </w:r>
      <w:r w:rsidR="00532CAC">
        <w:rPr>
          <w:color w:val="FF0000"/>
        </w:rPr>
        <w:t xml:space="preserve">October </w:t>
      </w:r>
      <w:r w:rsidR="003072B7">
        <w:rPr>
          <w:color w:val="FF0000"/>
        </w:rPr>
        <w:t>2023)</w:t>
      </w:r>
      <w:r w:rsidR="00BE1ED7">
        <w:rPr>
          <w:color w:val="FF0000"/>
        </w:rPr>
        <w:t>.</w:t>
      </w:r>
      <w:r w:rsidR="008A1534">
        <w:rPr>
          <w:color w:val="FF0000"/>
        </w:rPr>
        <w:t xml:space="preserve"> </w:t>
      </w:r>
    </w:p>
    <w:p w:rsidR="008A1534" w:rsidRDefault="008A1534" w:rsidP="008A1534">
      <w:pPr>
        <w:jc w:val="both"/>
        <w:rPr>
          <w:color w:val="FF0000"/>
        </w:rPr>
      </w:pPr>
      <w:r>
        <w:rPr>
          <w:color w:val="FF0000"/>
        </w:rPr>
        <w:t>We also added the following new paragraph to the Discussion, and the new Tables S</w:t>
      </w:r>
      <w:r w:rsidR="007F0D60">
        <w:rPr>
          <w:color w:val="FF0000"/>
        </w:rPr>
        <w:t>1</w:t>
      </w:r>
      <w:r w:rsidR="00CE336C">
        <w:rPr>
          <w:color w:val="FF0000"/>
        </w:rPr>
        <w:t>,</w:t>
      </w:r>
      <w:r>
        <w:rPr>
          <w:color w:val="FF0000"/>
        </w:rPr>
        <w:t xml:space="preserve"> S</w:t>
      </w:r>
      <w:r w:rsidR="007F0D60">
        <w:rPr>
          <w:color w:val="FF0000"/>
        </w:rPr>
        <w:t>3</w:t>
      </w:r>
      <w:r w:rsidR="00CE336C">
        <w:rPr>
          <w:color w:val="FF0000"/>
        </w:rPr>
        <w:t xml:space="preserve"> and S5</w:t>
      </w:r>
      <w:r>
        <w:rPr>
          <w:color w:val="FF0000"/>
        </w:rPr>
        <w:t>:</w:t>
      </w:r>
    </w:p>
    <w:p w:rsidR="00E270C9" w:rsidRPr="005C3C4C" w:rsidRDefault="008A1534" w:rsidP="005C3C4C">
      <w:pPr>
        <w:jc w:val="both"/>
        <w:rPr>
          <w:color w:val="FF0000"/>
        </w:rPr>
      </w:pPr>
      <w:r>
        <w:rPr>
          <w:color w:val="FF0000"/>
        </w:rPr>
        <w:t>“</w:t>
      </w:r>
      <w:r w:rsidRPr="00B771EF">
        <w:rPr>
          <w:i/>
          <w:color w:val="FF0000"/>
        </w:rPr>
        <w:t>Nevertheless, it should be noted that the average p = 12%, calculated in the period 2003 - 2023, does not change significantly if we consider the updated record of major explosions and paroxysms until the time of writing, i.e., June 2026, which is reported in Table S</w:t>
      </w:r>
      <w:r w:rsidR="007F0D60">
        <w:rPr>
          <w:i/>
          <w:color w:val="FF0000"/>
        </w:rPr>
        <w:t>4</w:t>
      </w:r>
      <w:r w:rsidRPr="00B771EF">
        <w:rPr>
          <w:i/>
          <w:color w:val="FF0000"/>
        </w:rPr>
        <w:t xml:space="preserve"> of the Supporting Material. In fact, calculating p = 13% over the extended time domain does not produce any significant change in the probability estimates presented in this study. Similarly, after including the uncertain major explosions, p̃ negligibly increases from 8.3% to 8.8% after the updated record. Table S</w:t>
      </w:r>
      <w:r w:rsidR="00CE336C">
        <w:rPr>
          <w:i/>
          <w:color w:val="FF0000"/>
        </w:rPr>
        <w:t>5</w:t>
      </w:r>
      <w:r w:rsidRPr="00B771EF">
        <w:rPr>
          <w:i/>
          <w:color w:val="FF0000"/>
        </w:rPr>
        <w:t xml:space="preserve"> of the Supporting Material summarizes the calculated values of p, as a function of the considered datasets of major explosions and paroxysms, and includes a 90% confidence interval based on a binomial test (</w:t>
      </w:r>
      <w:proofErr w:type="spellStart"/>
      <w:r w:rsidRPr="00B771EF">
        <w:rPr>
          <w:i/>
          <w:color w:val="FF0000"/>
        </w:rPr>
        <w:t>Clopper</w:t>
      </w:r>
      <w:proofErr w:type="spellEnd"/>
      <w:r w:rsidRPr="00B771EF">
        <w:rPr>
          <w:i/>
          <w:color w:val="FF0000"/>
        </w:rPr>
        <w:t xml:space="preserve"> and Pearson, 1934; see </w:t>
      </w:r>
      <w:proofErr w:type="spellStart"/>
      <w:r w:rsidRPr="00B771EF">
        <w:rPr>
          <w:i/>
          <w:color w:val="FF0000"/>
        </w:rPr>
        <w:t>Bevilacqua</w:t>
      </w:r>
      <w:proofErr w:type="spellEnd"/>
      <w:r w:rsidRPr="00B771EF">
        <w:rPr>
          <w:i/>
          <w:color w:val="FF0000"/>
        </w:rPr>
        <w:t xml:space="preserve"> et al. 2026 for more details).</w:t>
      </w:r>
      <w:r w:rsidR="00581CD7">
        <w:rPr>
          <w:i/>
          <w:color w:val="FF0000"/>
        </w:rPr>
        <w:t xml:space="preserve"> Finally</w:t>
      </w:r>
      <w:r w:rsidR="00581CD7" w:rsidRPr="00581CD7">
        <w:rPr>
          <w:i/>
          <w:color w:val="FF0000"/>
        </w:rPr>
        <w:t xml:space="preserve">, the rate of 12% is still </w:t>
      </w:r>
      <w:r w:rsidR="00581CD7">
        <w:rPr>
          <w:i/>
          <w:color w:val="FF0000"/>
        </w:rPr>
        <w:t>well</w:t>
      </w:r>
      <w:r w:rsidR="00581CD7" w:rsidRPr="00581CD7">
        <w:rPr>
          <w:i/>
          <w:color w:val="FF0000"/>
        </w:rPr>
        <w:t xml:space="preserve"> representative of the current style of activity.</w:t>
      </w:r>
      <w:r>
        <w:rPr>
          <w:color w:val="FF0000"/>
        </w:rPr>
        <w:t>”</w:t>
      </w:r>
      <w:bookmarkStart w:id="0" w:name="_GoBack"/>
      <w:bookmarkEnd w:id="0"/>
    </w:p>
    <w:p w:rsidR="007F0D60" w:rsidRPr="00E16844" w:rsidRDefault="007F0D60" w:rsidP="007F0D60">
      <w:pPr>
        <w:pStyle w:val="SMcaption"/>
        <w:jc w:val="both"/>
        <w:rPr>
          <w:rFonts w:asciiTheme="minorHAnsi" w:hAnsiTheme="minorHAnsi" w:cstheme="minorHAnsi"/>
          <w:i/>
          <w:color w:val="FF0000"/>
          <w:sz w:val="22"/>
          <w:szCs w:val="22"/>
        </w:rPr>
      </w:pPr>
      <w:r w:rsidRPr="00E16844">
        <w:rPr>
          <w:rFonts w:asciiTheme="minorHAnsi" w:hAnsiTheme="minorHAnsi" w:cstheme="minorHAnsi"/>
          <w:b/>
          <w:i/>
          <w:color w:val="FF0000"/>
          <w:sz w:val="22"/>
          <w:szCs w:val="22"/>
        </w:rPr>
        <w:lastRenderedPageBreak/>
        <w:t>Table S</w:t>
      </w:r>
      <w:r>
        <w:rPr>
          <w:rFonts w:asciiTheme="minorHAnsi" w:hAnsiTheme="minorHAnsi" w:cstheme="minorHAnsi"/>
          <w:b/>
          <w:i/>
          <w:color w:val="FF0000"/>
          <w:sz w:val="22"/>
          <w:szCs w:val="22"/>
        </w:rPr>
        <w:t>1</w:t>
      </w:r>
      <w:r w:rsidRPr="00E16844">
        <w:rPr>
          <w:rFonts w:asciiTheme="minorHAnsi" w:hAnsiTheme="minorHAnsi" w:cstheme="minorHAnsi"/>
          <w:b/>
          <w:i/>
          <w:color w:val="FF0000"/>
          <w:sz w:val="22"/>
          <w:szCs w:val="22"/>
        </w:rPr>
        <w:t xml:space="preserve">. </w:t>
      </w:r>
      <w:proofErr w:type="gramStart"/>
      <w:r w:rsidRPr="00E16844">
        <w:rPr>
          <w:rFonts w:asciiTheme="minorHAnsi" w:hAnsiTheme="minorHAnsi" w:cstheme="minorHAnsi"/>
          <w:i/>
          <w:color w:val="FF0000"/>
          <w:sz w:val="22"/>
          <w:szCs w:val="22"/>
        </w:rPr>
        <w:t xml:space="preserve">Summary of the </w:t>
      </w:r>
      <w:r w:rsidR="00625947">
        <w:rPr>
          <w:rFonts w:asciiTheme="minorHAnsi" w:hAnsiTheme="minorHAnsi" w:cstheme="minorHAnsi"/>
          <w:i/>
          <w:color w:val="FF0000"/>
          <w:sz w:val="22"/>
          <w:szCs w:val="22"/>
        </w:rPr>
        <w:t>observations on</w:t>
      </w:r>
      <w:r w:rsidRPr="00E16844">
        <w:rPr>
          <w:rFonts w:asciiTheme="minorHAnsi" w:hAnsiTheme="minorHAnsi" w:cstheme="minorHAnsi"/>
          <w:i/>
          <w:color w:val="FF0000"/>
          <w:sz w:val="22"/>
          <w:szCs w:val="22"/>
        </w:rPr>
        <w:t xml:space="preserve"> the number of major explosions and paroxysms that are discussed in </w:t>
      </w:r>
      <w:r w:rsidR="003529C0">
        <w:rPr>
          <w:rFonts w:asciiTheme="minorHAnsi" w:hAnsiTheme="minorHAnsi" w:cstheme="minorHAnsi"/>
          <w:i/>
          <w:color w:val="FF0000"/>
          <w:sz w:val="22"/>
          <w:szCs w:val="22"/>
        </w:rPr>
        <w:t>this study</w:t>
      </w:r>
      <w:r w:rsidRPr="00E16844">
        <w:rPr>
          <w:rFonts w:asciiTheme="minorHAnsi" w:hAnsiTheme="minorHAnsi" w:cstheme="minorHAnsi"/>
          <w:i/>
          <w:color w:val="FF0000"/>
          <w:sz w:val="22"/>
          <w:szCs w:val="22"/>
        </w:rPr>
        <w:t>.</w:t>
      </w:r>
      <w:proofErr w:type="gramEnd"/>
      <w:r w:rsidRPr="00E16844">
        <w:rPr>
          <w:rFonts w:asciiTheme="minorHAnsi" w:hAnsiTheme="minorHAnsi" w:cstheme="minorHAnsi"/>
          <w:i/>
          <w:color w:val="FF0000"/>
          <w:sz w:val="22"/>
          <w:szCs w:val="22"/>
        </w:rPr>
        <w:t xml:space="preserve"> These values are related to the considered datasets</w:t>
      </w:r>
      <w:r>
        <w:rPr>
          <w:rFonts w:asciiTheme="minorHAnsi" w:hAnsiTheme="minorHAnsi" w:cstheme="minorHAnsi"/>
          <w:i/>
          <w:color w:val="FF0000"/>
          <w:sz w:val="22"/>
          <w:szCs w:val="22"/>
        </w:rPr>
        <w:t>, i.e., from 1/1970 to 10/2023, from 1/2003 to 10/2023 and to 6/2026,</w:t>
      </w:r>
      <w:r w:rsidRPr="00E16844">
        <w:rPr>
          <w:rFonts w:asciiTheme="minorHAnsi" w:hAnsiTheme="minorHAnsi" w:cstheme="minorHAnsi"/>
          <w:i/>
          <w:color w:val="FF0000"/>
          <w:sz w:val="22"/>
          <w:szCs w:val="22"/>
        </w:rPr>
        <w:t xml:space="preserve"> and </w:t>
      </w:r>
      <w:r w:rsidRPr="008A1534">
        <w:rPr>
          <w:rFonts w:asciiTheme="minorHAnsi" w:hAnsiTheme="minorHAnsi" w:cstheme="minorHAnsi"/>
          <w:i/>
          <w:color w:val="FF0000"/>
          <w:sz w:val="22"/>
          <w:szCs w:val="22"/>
        </w:rPr>
        <w:t>from 1/1879 to 10/2023</w:t>
      </w:r>
      <w:r w:rsidRPr="00E16844">
        <w:rPr>
          <w:rFonts w:asciiTheme="minorHAnsi" w:hAnsiTheme="minorHAnsi" w:cstheme="minorHAnsi"/>
          <w:i/>
          <w:color w:val="FF0000"/>
          <w:sz w:val="22"/>
          <w:szCs w:val="22"/>
        </w:rPr>
        <w:t>.</w:t>
      </w:r>
    </w:p>
    <w:p w:rsidR="007F0D60" w:rsidRPr="00E16844" w:rsidRDefault="007F0D60" w:rsidP="007F0D60">
      <w:pPr>
        <w:pStyle w:val="SMcaption"/>
        <w:jc w:val="both"/>
        <w:rPr>
          <w:rFonts w:ascii="Myriad Pro" w:hAnsi="Myriad Pro"/>
          <w:b/>
          <w:color w:val="FF0000"/>
          <w:sz w:val="22"/>
          <w:szCs w:val="22"/>
        </w:rPr>
      </w:pPr>
    </w:p>
    <w:tbl>
      <w:tblPr>
        <w:tblW w:w="7812" w:type="dxa"/>
        <w:jc w:val="center"/>
        <w:tblInd w:w="93" w:type="dxa"/>
        <w:tblLook w:val="04A0" w:firstRow="1" w:lastRow="0" w:firstColumn="1" w:lastColumn="0" w:noHBand="0" w:noVBand="1"/>
      </w:tblPr>
      <w:tblGrid>
        <w:gridCol w:w="1141"/>
        <w:gridCol w:w="1675"/>
        <w:gridCol w:w="1675"/>
        <w:gridCol w:w="1740"/>
        <w:gridCol w:w="1581"/>
      </w:tblGrid>
      <w:tr w:rsidR="007F0D60" w:rsidRPr="000B5F0F" w:rsidTr="006F0AB9">
        <w:trPr>
          <w:trHeight w:val="800"/>
          <w:jc w:val="center"/>
        </w:trPr>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D60" w:rsidRPr="000B5F0F" w:rsidRDefault="007F0D60" w:rsidP="006F0AB9">
            <w:pPr>
              <w:rPr>
                <w:rFonts w:ascii="Calibri" w:hAnsi="Calibri" w:cs="Calibri"/>
                <w:color w:val="FF0000"/>
                <w:sz w:val="20"/>
              </w:rPr>
            </w:pPr>
            <w:r w:rsidRPr="000B5F0F">
              <w:rPr>
                <w:rFonts w:ascii="Calibri" w:hAnsi="Calibri" w:cs="Calibri"/>
                <w:color w:val="FF0000"/>
                <w:sz w:val="20"/>
              </w:rPr>
              <w:t>Time interval</w:t>
            </w:r>
          </w:p>
        </w:tc>
        <w:tc>
          <w:tcPr>
            <w:tcW w:w="1675" w:type="dxa"/>
            <w:tcBorders>
              <w:top w:val="single" w:sz="4" w:space="0" w:color="auto"/>
              <w:left w:val="nil"/>
              <w:bottom w:val="single" w:sz="4" w:space="0" w:color="auto"/>
              <w:right w:val="single" w:sz="4" w:space="0" w:color="auto"/>
            </w:tcBorders>
            <w:shd w:val="clear" w:color="auto" w:fill="auto"/>
            <w:vAlign w:val="center"/>
            <w:hideMark/>
          </w:tcPr>
          <w:p w:rsidR="007F0D60" w:rsidRPr="000B5F0F" w:rsidRDefault="007F0D60" w:rsidP="006F0AB9">
            <w:pPr>
              <w:jc w:val="right"/>
              <w:rPr>
                <w:rFonts w:ascii="Calibri" w:hAnsi="Calibri" w:cs="Calibri"/>
                <w:color w:val="FF0000"/>
                <w:sz w:val="20"/>
              </w:rPr>
            </w:pPr>
            <w:r w:rsidRPr="000B5F0F">
              <w:rPr>
                <w:rFonts w:ascii="Calibri" w:hAnsi="Calibri" w:cs="Calibri"/>
                <w:color w:val="FF0000"/>
                <w:sz w:val="20"/>
              </w:rPr>
              <w:t xml:space="preserve">from 1/1970 </w:t>
            </w:r>
            <w:r w:rsidRPr="000B5F0F">
              <w:rPr>
                <w:rFonts w:ascii="Calibri" w:hAnsi="Calibri" w:cs="Calibri"/>
                <w:color w:val="FF0000"/>
                <w:sz w:val="20"/>
              </w:rPr>
              <w:br/>
              <w:t>to 10/2023</w:t>
            </w:r>
          </w:p>
        </w:tc>
        <w:tc>
          <w:tcPr>
            <w:tcW w:w="1675" w:type="dxa"/>
            <w:tcBorders>
              <w:top w:val="single" w:sz="4" w:space="0" w:color="auto"/>
              <w:left w:val="nil"/>
              <w:bottom w:val="single" w:sz="4" w:space="0" w:color="auto"/>
              <w:right w:val="single" w:sz="4" w:space="0" w:color="auto"/>
            </w:tcBorders>
            <w:shd w:val="clear" w:color="auto" w:fill="auto"/>
            <w:vAlign w:val="center"/>
            <w:hideMark/>
          </w:tcPr>
          <w:p w:rsidR="007F0D60" w:rsidRPr="000B5F0F" w:rsidRDefault="007F0D60" w:rsidP="006F0AB9">
            <w:pPr>
              <w:jc w:val="right"/>
              <w:rPr>
                <w:rFonts w:ascii="Calibri" w:hAnsi="Calibri" w:cs="Calibri"/>
                <w:color w:val="FF0000"/>
                <w:sz w:val="20"/>
              </w:rPr>
            </w:pPr>
            <w:r w:rsidRPr="000B5F0F">
              <w:rPr>
                <w:rFonts w:ascii="Calibri" w:hAnsi="Calibri" w:cs="Calibri"/>
                <w:color w:val="FF0000"/>
                <w:sz w:val="20"/>
              </w:rPr>
              <w:t>from 1/2003</w:t>
            </w:r>
            <w:r w:rsidRPr="000B5F0F">
              <w:rPr>
                <w:rFonts w:ascii="Calibri" w:hAnsi="Calibri" w:cs="Calibri"/>
                <w:color w:val="FF0000"/>
                <w:sz w:val="20"/>
              </w:rPr>
              <w:br/>
              <w:t xml:space="preserve"> to 10/2023</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rsidR="007F0D60" w:rsidRPr="000B5F0F" w:rsidRDefault="007F0D60" w:rsidP="006F0AB9">
            <w:pPr>
              <w:jc w:val="right"/>
              <w:rPr>
                <w:rFonts w:ascii="Calibri" w:hAnsi="Calibri" w:cs="Calibri"/>
                <w:color w:val="FF0000"/>
                <w:sz w:val="20"/>
              </w:rPr>
            </w:pPr>
            <w:r w:rsidRPr="000B5F0F">
              <w:rPr>
                <w:rFonts w:ascii="Calibri" w:hAnsi="Calibri" w:cs="Calibri"/>
                <w:color w:val="FF0000"/>
                <w:sz w:val="20"/>
              </w:rPr>
              <w:t>from 1/2003</w:t>
            </w:r>
            <w:r w:rsidRPr="000B5F0F">
              <w:rPr>
                <w:rFonts w:ascii="Calibri" w:hAnsi="Calibri" w:cs="Calibri"/>
                <w:color w:val="FF0000"/>
                <w:sz w:val="20"/>
              </w:rPr>
              <w:br/>
              <w:t xml:space="preserve"> to 6/2026</w:t>
            </w:r>
          </w:p>
        </w:tc>
        <w:tc>
          <w:tcPr>
            <w:tcW w:w="1581" w:type="dxa"/>
            <w:tcBorders>
              <w:top w:val="single" w:sz="4" w:space="0" w:color="auto"/>
              <w:left w:val="nil"/>
              <w:bottom w:val="single" w:sz="4" w:space="0" w:color="auto"/>
              <w:right w:val="single" w:sz="4" w:space="0" w:color="auto"/>
            </w:tcBorders>
            <w:vAlign w:val="center"/>
          </w:tcPr>
          <w:p w:rsidR="007F0D60" w:rsidRPr="000B5F0F" w:rsidRDefault="007F0D60" w:rsidP="006F0AB9">
            <w:pPr>
              <w:jc w:val="right"/>
              <w:rPr>
                <w:rFonts w:ascii="Calibri" w:hAnsi="Calibri" w:cs="Calibri"/>
                <w:color w:val="FF0000"/>
                <w:sz w:val="20"/>
              </w:rPr>
            </w:pPr>
            <w:r w:rsidRPr="000B5F0F">
              <w:rPr>
                <w:rFonts w:ascii="Calibri" w:hAnsi="Calibri" w:cs="Calibri"/>
                <w:color w:val="FF0000"/>
                <w:sz w:val="20"/>
              </w:rPr>
              <w:t xml:space="preserve">from 1/1879 </w:t>
            </w:r>
            <w:r w:rsidRPr="000B5F0F">
              <w:rPr>
                <w:rFonts w:ascii="Calibri" w:hAnsi="Calibri" w:cs="Calibri"/>
                <w:color w:val="FF0000"/>
                <w:sz w:val="20"/>
              </w:rPr>
              <w:br/>
              <w:t>to 10/2023</w:t>
            </w:r>
          </w:p>
        </w:tc>
      </w:tr>
      <w:tr w:rsidR="007F0D60" w:rsidRPr="000B5F0F" w:rsidTr="006F0AB9">
        <w:trPr>
          <w:trHeight w:val="800"/>
          <w:jc w:val="center"/>
        </w:trPr>
        <w:tc>
          <w:tcPr>
            <w:tcW w:w="1141" w:type="dxa"/>
            <w:tcBorders>
              <w:top w:val="nil"/>
              <w:left w:val="single" w:sz="4" w:space="0" w:color="auto"/>
              <w:bottom w:val="single" w:sz="4" w:space="0" w:color="auto"/>
              <w:right w:val="single" w:sz="4" w:space="0" w:color="auto"/>
            </w:tcBorders>
            <w:shd w:val="clear" w:color="auto" w:fill="auto"/>
            <w:vAlign w:val="center"/>
            <w:hideMark/>
          </w:tcPr>
          <w:p w:rsidR="007F0D60" w:rsidRPr="000B5F0F" w:rsidRDefault="007F0D60" w:rsidP="006F0AB9">
            <w:pPr>
              <w:spacing w:after="240"/>
              <w:rPr>
                <w:rFonts w:ascii="Calibri" w:hAnsi="Calibri" w:cs="Calibri"/>
                <w:color w:val="FF0000"/>
                <w:sz w:val="20"/>
              </w:rPr>
            </w:pPr>
            <w:r w:rsidRPr="000B5F0F">
              <w:rPr>
                <w:rFonts w:ascii="Calibri" w:hAnsi="Calibri" w:cs="Calibri"/>
                <w:color w:val="FF0000"/>
                <w:sz w:val="20"/>
              </w:rPr>
              <w:t># paroxysms</w:t>
            </w:r>
          </w:p>
        </w:tc>
        <w:tc>
          <w:tcPr>
            <w:tcW w:w="1675" w:type="dxa"/>
            <w:tcBorders>
              <w:top w:val="nil"/>
              <w:left w:val="nil"/>
              <w:bottom w:val="single" w:sz="4" w:space="0" w:color="auto"/>
              <w:right w:val="single" w:sz="4" w:space="0" w:color="auto"/>
            </w:tcBorders>
            <w:shd w:val="clear" w:color="auto" w:fill="auto"/>
            <w:vAlign w:val="center"/>
            <w:hideMark/>
          </w:tcPr>
          <w:p w:rsidR="007F0D60" w:rsidRPr="000B5F0F" w:rsidRDefault="007F0D60" w:rsidP="006F0AB9">
            <w:pPr>
              <w:jc w:val="right"/>
              <w:rPr>
                <w:rFonts w:ascii="Calibri" w:hAnsi="Calibri" w:cs="Calibri"/>
                <w:color w:val="FF0000"/>
                <w:sz w:val="20"/>
              </w:rPr>
            </w:pPr>
            <w:r w:rsidRPr="000B5F0F">
              <w:rPr>
                <w:rFonts w:ascii="Calibri" w:hAnsi="Calibri" w:cs="Calibri"/>
                <w:color w:val="FF0000"/>
                <w:sz w:val="20"/>
              </w:rPr>
              <w:t>4</w:t>
            </w:r>
          </w:p>
        </w:tc>
        <w:tc>
          <w:tcPr>
            <w:tcW w:w="1675" w:type="dxa"/>
            <w:tcBorders>
              <w:top w:val="nil"/>
              <w:left w:val="nil"/>
              <w:bottom w:val="single" w:sz="4" w:space="0" w:color="auto"/>
              <w:right w:val="single" w:sz="4" w:space="0" w:color="auto"/>
            </w:tcBorders>
            <w:shd w:val="clear" w:color="auto" w:fill="auto"/>
            <w:vAlign w:val="center"/>
            <w:hideMark/>
          </w:tcPr>
          <w:p w:rsidR="007F0D60" w:rsidRPr="000B5F0F" w:rsidRDefault="007F0D60" w:rsidP="006F0AB9">
            <w:pPr>
              <w:jc w:val="right"/>
              <w:rPr>
                <w:rFonts w:ascii="Calibri" w:hAnsi="Calibri" w:cs="Calibri"/>
                <w:color w:val="FF0000"/>
                <w:sz w:val="20"/>
              </w:rPr>
            </w:pPr>
            <w:r w:rsidRPr="000B5F0F">
              <w:rPr>
                <w:rFonts w:ascii="Calibri" w:hAnsi="Calibri" w:cs="Calibri"/>
                <w:color w:val="FF0000"/>
                <w:sz w:val="20"/>
              </w:rPr>
              <w:t>4</w:t>
            </w:r>
          </w:p>
        </w:tc>
        <w:tc>
          <w:tcPr>
            <w:tcW w:w="1740" w:type="dxa"/>
            <w:tcBorders>
              <w:top w:val="nil"/>
              <w:left w:val="nil"/>
              <w:bottom w:val="single" w:sz="4" w:space="0" w:color="auto"/>
              <w:right w:val="single" w:sz="4" w:space="0" w:color="auto"/>
            </w:tcBorders>
            <w:shd w:val="clear" w:color="auto" w:fill="auto"/>
            <w:vAlign w:val="center"/>
            <w:hideMark/>
          </w:tcPr>
          <w:p w:rsidR="007F0D60" w:rsidRPr="000B5F0F" w:rsidRDefault="007F0D60" w:rsidP="006F0AB9">
            <w:pPr>
              <w:jc w:val="right"/>
              <w:rPr>
                <w:rFonts w:ascii="Calibri" w:hAnsi="Calibri" w:cs="Calibri"/>
                <w:color w:val="FF0000"/>
                <w:sz w:val="20"/>
              </w:rPr>
            </w:pPr>
            <w:r w:rsidRPr="000B5F0F">
              <w:rPr>
                <w:rFonts w:ascii="Calibri" w:hAnsi="Calibri" w:cs="Calibri"/>
                <w:color w:val="FF0000"/>
                <w:sz w:val="20"/>
              </w:rPr>
              <w:t>5</w:t>
            </w:r>
          </w:p>
        </w:tc>
        <w:tc>
          <w:tcPr>
            <w:tcW w:w="1581" w:type="dxa"/>
            <w:tcBorders>
              <w:top w:val="nil"/>
              <w:left w:val="nil"/>
              <w:bottom w:val="single" w:sz="4" w:space="0" w:color="auto"/>
              <w:right w:val="single" w:sz="4" w:space="0" w:color="auto"/>
            </w:tcBorders>
            <w:vAlign w:val="center"/>
          </w:tcPr>
          <w:p w:rsidR="007F0D60" w:rsidRPr="000B5F0F" w:rsidRDefault="007F0D60" w:rsidP="006F0AB9">
            <w:pPr>
              <w:jc w:val="right"/>
              <w:rPr>
                <w:rFonts w:ascii="Calibri" w:hAnsi="Calibri" w:cs="Calibri"/>
                <w:color w:val="FF0000"/>
                <w:sz w:val="20"/>
              </w:rPr>
            </w:pPr>
            <w:r w:rsidRPr="000B5F0F">
              <w:rPr>
                <w:rFonts w:ascii="Calibri" w:hAnsi="Calibri" w:cs="Calibri"/>
                <w:color w:val="FF0000"/>
                <w:sz w:val="20"/>
              </w:rPr>
              <w:t>40</w:t>
            </w:r>
          </w:p>
        </w:tc>
      </w:tr>
      <w:tr w:rsidR="007F0D60" w:rsidRPr="000B5F0F" w:rsidTr="006F0AB9">
        <w:trPr>
          <w:trHeight w:val="800"/>
          <w:jc w:val="center"/>
        </w:trPr>
        <w:tc>
          <w:tcPr>
            <w:tcW w:w="1141" w:type="dxa"/>
            <w:tcBorders>
              <w:top w:val="nil"/>
              <w:left w:val="single" w:sz="4" w:space="0" w:color="auto"/>
              <w:bottom w:val="single" w:sz="4" w:space="0" w:color="auto"/>
              <w:right w:val="single" w:sz="4" w:space="0" w:color="auto"/>
            </w:tcBorders>
            <w:shd w:val="clear" w:color="auto" w:fill="auto"/>
            <w:vAlign w:val="center"/>
            <w:hideMark/>
          </w:tcPr>
          <w:p w:rsidR="007F0D60" w:rsidRPr="000B5F0F" w:rsidRDefault="007F0D60" w:rsidP="006F0AB9">
            <w:pPr>
              <w:rPr>
                <w:rFonts w:ascii="Calibri" w:hAnsi="Calibri" w:cs="Calibri"/>
                <w:color w:val="FF0000"/>
                <w:sz w:val="20"/>
              </w:rPr>
            </w:pPr>
            <w:r w:rsidRPr="000B5F0F">
              <w:rPr>
                <w:rFonts w:ascii="Calibri" w:hAnsi="Calibri" w:cs="Calibri"/>
                <w:color w:val="FF0000"/>
                <w:sz w:val="20"/>
              </w:rPr>
              <w:t># major explosions</w:t>
            </w:r>
          </w:p>
        </w:tc>
        <w:tc>
          <w:tcPr>
            <w:tcW w:w="1675" w:type="dxa"/>
            <w:tcBorders>
              <w:top w:val="nil"/>
              <w:left w:val="nil"/>
              <w:bottom w:val="single" w:sz="4" w:space="0" w:color="auto"/>
              <w:right w:val="single" w:sz="4" w:space="0" w:color="auto"/>
            </w:tcBorders>
            <w:shd w:val="clear" w:color="auto" w:fill="auto"/>
            <w:vAlign w:val="center"/>
            <w:hideMark/>
          </w:tcPr>
          <w:p w:rsidR="007F0D60" w:rsidRPr="000B5F0F" w:rsidRDefault="007F0D60" w:rsidP="006F0AB9">
            <w:pPr>
              <w:jc w:val="right"/>
              <w:rPr>
                <w:rFonts w:ascii="Calibri" w:hAnsi="Calibri" w:cs="Calibri"/>
                <w:color w:val="FF0000"/>
                <w:sz w:val="20"/>
              </w:rPr>
            </w:pPr>
            <w:r w:rsidRPr="000B5F0F">
              <w:rPr>
                <w:rFonts w:ascii="Calibri" w:hAnsi="Calibri" w:cs="Calibri"/>
                <w:color w:val="FF0000"/>
                <w:sz w:val="20"/>
              </w:rPr>
              <w:t>51</w:t>
            </w:r>
          </w:p>
        </w:tc>
        <w:tc>
          <w:tcPr>
            <w:tcW w:w="1675" w:type="dxa"/>
            <w:tcBorders>
              <w:top w:val="nil"/>
              <w:left w:val="nil"/>
              <w:bottom w:val="single" w:sz="4" w:space="0" w:color="auto"/>
              <w:right w:val="single" w:sz="4" w:space="0" w:color="auto"/>
            </w:tcBorders>
            <w:shd w:val="clear" w:color="auto" w:fill="auto"/>
            <w:vAlign w:val="center"/>
            <w:hideMark/>
          </w:tcPr>
          <w:p w:rsidR="007F0D60" w:rsidRPr="000B5F0F" w:rsidRDefault="007F0D60" w:rsidP="006F0AB9">
            <w:pPr>
              <w:jc w:val="right"/>
              <w:rPr>
                <w:rFonts w:ascii="Calibri" w:hAnsi="Calibri" w:cs="Calibri"/>
                <w:color w:val="FF0000"/>
                <w:sz w:val="20"/>
              </w:rPr>
            </w:pPr>
            <w:r w:rsidRPr="000B5F0F">
              <w:rPr>
                <w:rFonts w:ascii="Calibri" w:hAnsi="Calibri" w:cs="Calibri"/>
                <w:color w:val="FF0000"/>
                <w:sz w:val="20"/>
              </w:rPr>
              <w:t>29</w:t>
            </w:r>
          </w:p>
        </w:tc>
        <w:tc>
          <w:tcPr>
            <w:tcW w:w="1740" w:type="dxa"/>
            <w:tcBorders>
              <w:top w:val="nil"/>
              <w:left w:val="nil"/>
              <w:bottom w:val="single" w:sz="4" w:space="0" w:color="auto"/>
              <w:right w:val="single" w:sz="4" w:space="0" w:color="auto"/>
            </w:tcBorders>
            <w:shd w:val="clear" w:color="auto" w:fill="auto"/>
            <w:vAlign w:val="center"/>
            <w:hideMark/>
          </w:tcPr>
          <w:p w:rsidR="007F0D60" w:rsidRPr="000B5F0F" w:rsidRDefault="007F0D60" w:rsidP="006F0AB9">
            <w:pPr>
              <w:jc w:val="right"/>
              <w:rPr>
                <w:rFonts w:ascii="Calibri" w:hAnsi="Calibri" w:cs="Calibri"/>
                <w:color w:val="FF0000"/>
                <w:sz w:val="20"/>
              </w:rPr>
            </w:pPr>
            <w:r w:rsidRPr="000B5F0F">
              <w:rPr>
                <w:rFonts w:ascii="Calibri" w:hAnsi="Calibri" w:cs="Calibri"/>
                <w:color w:val="FF0000"/>
                <w:sz w:val="20"/>
              </w:rPr>
              <w:t>33</w:t>
            </w:r>
          </w:p>
        </w:tc>
        <w:tc>
          <w:tcPr>
            <w:tcW w:w="1581" w:type="dxa"/>
            <w:tcBorders>
              <w:top w:val="nil"/>
              <w:left w:val="nil"/>
              <w:bottom w:val="single" w:sz="4" w:space="0" w:color="auto"/>
              <w:right w:val="single" w:sz="4" w:space="0" w:color="auto"/>
            </w:tcBorders>
            <w:vAlign w:val="center"/>
          </w:tcPr>
          <w:p w:rsidR="007F0D60" w:rsidRPr="000B5F0F" w:rsidRDefault="007F0D60" w:rsidP="006F0AB9">
            <w:pPr>
              <w:jc w:val="right"/>
              <w:rPr>
                <w:rFonts w:ascii="Calibri" w:hAnsi="Calibri" w:cs="Calibri"/>
                <w:color w:val="FF0000"/>
                <w:sz w:val="20"/>
              </w:rPr>
            </w:pPr>
            <w:r w:rsidRPr="000B5F0F">
              <w:rPr>
                <w:rFonts w:ascii="Calibri" w:hAnsi="Calibri" w:cs="Calibri"/>
                <w:color w:val="FF0000"/>
                <w:sz w:val="20"/>
              </w:rPr>
              <w:t>92</w:t>
            </w:r>
          </w:p>
        </w:tc>
      </w:tr>
      <w:tr w:rsidR="007F0D60" w:rsidRPr="000B5F0F" w:rsidTr="006F0AB9">
        <w:trPr>
          <w:trHeight w:val="800"/>
          <w:jc w:val="center"/>
        </w:trPr>
        <w:tc>
          <w:tcPr>
            <w:tcW w:w="1141" w:type="dxa"/>
            <w:tcBorders>
              <w:top w:val="nil"/>
              <w:left w:val="single" w:sz="4" w:space="0" w:color="auto"/>
              <w:bottom w:val="single" w:sz="4" w:space="0" w:color="auto"/>
              <w:right w:val="single" w:sz="4" w:space="0" w:color="auto"/>
            </w:tcBorders>
            <w:shd w:val="clear" w:color="auto" w:fill="auto"/>
            <w:vAlign w:val="center"/>
            <w:hideMark/>
          </w:tcPr>
          <w:p w:rsidR="007F0D60" w:rsidRPr="000B5F0F" w:rsidRDefault="007F0D60" w:rsidP="006F0AB9">
            <w:pPr>
              <w:rPr>
                <w:rFonts w:ascii="Calibri" w:hAnsi="Calibri" w:cs="Calibri"/>
                <w:color w:val="FF0000"/>
                <w:sz w:val="20"/>
              </w:rPr>
            </w:pPr>
            <w:r w:rsidRPr="000B5F0F">
              <w:rPr>
                <w:rFonts w:ascii="Calibri" w:hAnsi="Calibri" w:cs="Calibri"/>
                <w:color w:val="FF0000"/>
                <w:sz w:val="20"/>
              </w:rPr>
              <w:t># uncertain major explosions</w:t>
            </w:r>
          </w:p>
        </w:tc>
        <w:tc>
          <w:tcPr>
            <w:tcW w:w="1675" w:type="dxa"/>
            <w:tcBorders>
              <w:top w:val="nil"/>
              <w:left w:val="nil"/>
              <w:bottom w:val="single" w:sz="4" w:space="0" w:color="auto"/>
              <w:right w:val="single" w:sz="4" w:space="0" w:color="auto"/>
            </w:tcBorders>
            <w:shd w:val="clear" w:color="auto" w:fill="auto"/>
            <w:vAlign w:val="center"/>
            <w:hideMark/>
          </w:tcPr>
          <w:p w:rsidR="007F0D60" w:rsidRPr="000B5F0F" w:rsidRDefault="007F0D60" w:rsidP="006F0AB9">
            <w:pPr>
              <w:jc w:val="right"/>
              <w:rPr>
                <w:rFonts w:ascii="Calibri" w:hAnsi="Calibri" w:cs="Calibri"/>
                <w:color w:val="FF0000"/>
                <w:sz w:val="20"/>
              </w:rPr>
            </w:pPr>
            <w:r w:rsidRPr="000B5F0F">
              <w:rPr>
                <w:rFonts w:ascii="Calibri" w:hAnsi="Calibri" w:cs="Calibri"/>
                <w:color w:val="FF0000"/>
                <w:sz w:val="20"/>
              </w:rPr>
              <w:t>34</w:t>
            </w:r>
          </w:p>
        </w:tc>
        <w:tc>
          <w:tcPr>
            <w:tcW w:w="1675" w:type="dxa"/>
            <w:tcBorders>
              <w:top w:val="nil"/>
              <w:left w:val="nil"/>
              <w:bottom w:val="single" w:sz="4" w:space="0" w:color="auto"/>
              <w:right w:val="single" w:sz="4" w:space="0" w:color="auto"/>
            </w:tcBorders>
            <w:shd w:val="clear" w:color="auto" w:fill="auto"/>
            <w:vAlign w:val="center"/>
            <w:hideMark/>
          </w:tcPr>
          <w:p w:rsidR="007F0D60" w:rsidRPr="000B5F0F" w:rsidRDefault="007F0D60" w:rsidP="006F0AB9">
            <w:pPr>
              <w:jc w:val="right"/>
              <w:rPr>
                <w:rFonts w:ascii="Calibri" w:hAnsi="Calibri" w:cs="Calibri"/>
                <w:color w:val="FF0000"/>
                <w:sz w:val="20"/>
              </w:rPr>
            </w:pPr>
            <w:r w:rsidRPr="000B5F0F">
              <w:rPr>
                <w:rFonts w:ascii="Calibri" w:hAnsi="Calibri" w:cs="Calibri"/>
                <w:color w:val="FF0000"/>
                <w:sz w:val="20"/>
              </w:rPr>
              <w:t>15</w:t>
            </w:r>
          </w:p>
        </w:tc>
        <w:tc>
          <w:tcPr>
            <w:tcW w:w="1740" w:type="dxa"/>
            <w:tcBorders>
              <w:top w:val="nil"/>
              <w:left w:val="nil"/>
              <w:bottom w:val="single" w:sz="4" w:space="0" w:color="auto"/>
              <w:right w:val="single" w:sz="4" w:space="0" w:color="auto"/>
            </w:tcBorders>
            <w:shd w:val="clear" w:color="auto" w:fill="auto"/>
            <w:vAlign w:val="center"/>
            <w:hideMark/>
          </w:tcPr>
          <w:p w:rsidR="007F0D60" w:rsidRPr="000B5F0F" w:rsidRDefault="007F0D60" w:rsidP="006F0AB9">
            <w:pPr>
              <w:jc w:val="right"/>
              <w:rPr>
                <w:rFonts w:ascii="Calibri" w:hAnsi="Calibri" w:cs="Calibri"/>
                <w:color w:val="FF0000"/>
                <w:sz w:val="20"/>
              </w:rPr>
            </w:pPr>
            <w:r w:rsidRPr="000B5F0F">
              <w:rPr>
                <w:rFonts w:ascii="Calibri" w:hAnsi="Calibri" w:cs="Calibri"/>
                <w:color w:val="FF0000"/>
                <w:sz w:val="20"/>
              </w:rPr>
              <w:t>19</w:t>
            </w:r>
          </w:p>
        </w:tc>
        <w:tc>
          <w:tcPr>
            <w:tcW w:w="1581" w:type="dxa"/>
            <w:tcBorders>
              <w:top w:val="nil"/>
              <w:left w:val="nil"/>
              <w:bottom w:val="single" w:sz="4" w:space="0" w:color="auto"/>
              <w:right w:val="single" w:sz="4" w:space="0" w:color="auto"/>
            </w:tcBorders>
            <w:vAlign w:val="center"/>
          </w:tcPr>
          <w:p w:rsidR="007F0D60" w:rsidRPr="000B5F0F" w:rsidRDefault="007F0D60" w:rsidP="006F0AB9">
            <w:pPr>
              <w:jc w:val="right"/>
              <w:rPr>
                <w:rFonts w:ascii="Calibri" w:hAnsi="Calibri" w:cs="Calibri"/>
                <w:color w:val="FF0000"/>
                <w:sz w:val="20"/>
              </w:rPr>
            </w:pPr>
            <w:r w:rsidRPr="000B5F0F">
              <w:rPr>
                <w:rFonts w:ascii="Calibri" w:hAnsi="Calibri" w:cs="Calibri"/>
                <w:color w:val="FF0000"/>
                <w:sz w:val="20"/>
              </w:rPr>
              <w:t>82</w:t>
            </w:r>
          </w:p>
        </w:tc>
      </w:tr>
    </w:tbl>
    <w:p w:rsidR="00882345" w:rsidRDefault="00882345" w:rsidP="007F0D60">
      <w:pPr>
        <w:pStyle w:val="SMcaption"/>
        <w:jc w:val="both"/>
        <w:rPr>
          <w:rFonts w:asciiTheme="minorHAnsi" w:hAnsiTheme="minorHAnsi" w:cstheme="minorHAnsi"/>
          <w:b/>
          <w:i/>
          <w:color w:val="FF0000"/>
          <w:sz w:val="22"/>
          <w:szCs w:val="22"/>
        </w:rPr>
      </w:pPr>
    </w:p>
    <w:p w:rsidR="00882345" w:rsidRDefault="00882345">
      <w:pPr>
        <w:rPr>
          <w:rFonts w:eastAsia="Times New Roman" w:cstheme="minorHAnsi"/>
          <w:b/>
          <w:i/>
          <w:color w:val="FF0000"/>
        </w:rPr>
      </w:pPr>
      <w:r>
        <w:rPr>
          <w:rFonts w:cstheme="minorHAnsi"/>
          <w:b/>
          <w:i/>
          <w:color w:val="FF0000"/>
        </w:rPr>
        <w:br w:type="page"/>
      </w:r>
    </w:p>
    <w:p w:rsidR="007F0D60" w:rsidRDefault="007F0D60" w:rsidP="007F0D60">
      <w:pPr>
        <w:pStyle w:val="SMcaption"/>
        <w:jc w:val="both"/>
        <w:rPr>
          <w:rFonts w:ascii="Myriad Pro" w:hAnsi="Myriad Pro"/>
          <w:b/>
          <w:color w:val="FF0000"/>
        </w:rPr>
      </w:pPr>
      <w:r w:rsidRPr="00E16844">
        <w:rPr>
          <w:rFonts w:asciiTheme="minorHAnsi" w:hAnsiTheme="minorHAnsi" w:cstheme="minorHAnsi"/>
          <w:b/>
          <w:i/>
          <w:color w:val="FF0000"/>
          <w:sz w:val="22"/>
          <w:szCs w:val="22"/>
        </w:rPr>
        <w:lastRenderedPageBreak/>
        <w:t>Table S</w:t>
      </w:r>
      <w:r>
        <w:rPr>
          <w:rFonts w:asciiTheme="minorHAnsi" w:hAnsiTheme="minorHAnsi" w:cstheme="minorHAnsi"/>
          <w:b/>
          <w:i/>
          <w:color w:val="FF0000"/>
          <w:sz w:val="22"/>
          <w:szCs w:val="22"/>
        </w:rPr>
        <w:t>3</w:t>
      </w:r>
      <w:r w:rsidRPr="00E16844">
        <w:rPr>
          <w:rFonts w:asciiTheme="minorHAnsi" w:hAnsiTheme="minorHAnsi" w:cstheme="minorHAnsi"/>
          <w:b/>
          <w:i/>
          <w:color w:val="FF0000"/>
          <w:sz w:val="22"/>
          <w:szCs w:val="22"/>
        </w:rPr>
        <w:t xml:space="preserve">. </w:t>
      </w:r>
      <w:r w:rsidRPr="00E16844">
        <w:rPr>
          <w:rFonts w:asciiTheme="minorHAnsi" w:hAnsiTheme="minorHAnsi" w:cstheme="minorHAnsi"/>
          <w:i/>
          <w:color w:val="FF0000"/>
          <w:sz w:val="22"/>
          <w:szCs w:val="22"/>
        </w:rPr>
        <w:t xml:space="preserve">Summary of the </w:t>
      </w:r>
      <w:r w:rsidR="00625947">
        <w:rPr>
          <w:rFonts w:asciiTheme="minorHAnsi" w:hAnsiTheme="minorHAnsi" w:cstheme="minorHAnsi"/>
          <w:i/>
          <w:color w:val="FF0000"/>
          <w:sz w:val="22"/>
          <w:szCs w:val="22"/>
        </w:rPr>
        <w:t xml:space="preserve">temporal model </w:t>
      </w:r>
      <w:r w:rsidRPr="00E16844">
        <w:rPr>
          <w:rFonts w:asciiTheme="minorHAnsi" w:hAnsiTheme="minorHAnsi" w:cstheme="minorHAnsi"/>
          <w:i/>
          <w:color w:val="FF0000"/>
          <w:sz w:val="22"/>
          <w:szCs w:val="22"/>
        </w:rPr>
        <w:t>estimates of the number of major explosions and paroxysms that are discussed in th</w:t>
      </w:r>
      <w:r w:rsidR="003529C0">
        <w:rPr>
          <w:rFonts w:asciiTheme="minorHAnsi" w:hAnsiTheme="minorHAnsi" w:cstheme="minorHAnsi"/>
          <w:i/>
          <w:color w:val="FF0000"/>
          <w:sz w:val="22"/>
          <w:szCs w:val="22"/>
        </w:rPr>
        <w:t>is</w:t>
      </w:r>
      <w:r w:rsidRPr="00E16844">
        <w:rPr>
          <w:rFonts w:asciiTheme="minorHAnsi" w:hAnsiTheme="minorHAnsi" w:cstheme="minorHAnsi"/>
          <w:i/>
          <w:color w:val="FF0000"/>
          <w:sz w:val="22"/>
          <w:szCs w:val="22"/>
        </w:rPr>
        <w:t xml:space="preserve"> </w:t>
      </w:r>
      <w:r w:rsidR="00386818">
        <w:rPr>
          <w:rFonts w:asciiTheme="minorHAnsi" w:hAnsiTheme="minorHAnsi" w:cstheme="minorHAnsi"/>
          <w:i/>
          <w:color w:val="FF0000"/>
          <w:sz w:val="22"/>
          <w:szCs w:val="22"/>
        </w:rPr>
        <w:t>study</w:t>
      </w:r>
      <w:r w:rsidRPr="00E16844">
        <w:rPr>
          <w:rFonts w:asciiTheme="minorHAnsi" w:hAnsiTheme="minorHAnsi" w:cstheme="minorHAnsi"/>
          <w:i/>
          <w:color w:val="FF0000"/>
          <w:sz w:val="22"/>
          <w:szCs w:val="22"/>
        </w:rPr>
        <w:t>. The</w:t>
      </w:r>
      <w:r w:rsidR="00625947">
        <w:rPr>
          <w:rFonts w:asciiTheme="minorHAnsi" w:hAnsiTheme="minorHAnsi" w:cstheme="minorHAnsi"/>
          <w:i/>
          <w:color w:val="FF0000"/>
          <w:sz w:val="22"/>
          <w:szCs w:val="22"/>
        </w:rPr>
        <w:t xml:space="preserve"> temporal</w:t>
      </w:r>
      <w:r w:rsidRPr="00E16844">
        <w:rPr>
          <w:rFonts w:asciiTheme="minorHAnsi" w:hAnsiTheme="minorHAnsi" w:cstheme="minorHAnsi"/>
          <w:i/>
          <w:color w:val="FF0000"/>
          <w:sz w:val="22"/>
          <w:szCs w:val="22"/>
        </w:rPr>
        <w:t xml:space="preserve"> </w:t>
      </w:r>
      <w:r w:rsidR="00625947">
        <w:rPr>
          <w:rFonts w:asciiTheme="minorHAnsi" w:hAnsiTheme="minorHAnsi" w:cstheme="minorHAnsi"/>
          <w:i/>
          <w:color w:val="FF0000"/>
          <w:sz w:val="22"/>
          <w:szCs w:val="22"/>
        </w:rPr>
        <w:t>model for the paroxysms and major explosions is calibrated on</w:t>
      </w:r>
      <w:r w:rsidRPr="00E16844">
        <w:rPr>
          <w:rFonts w:asciiTheme="minorHAnsi" w:hAnsiTheme="minorHAnsi" w:cstheme="minorHAnsi"/>
          <w:i/>
          <w:color w:val="FF0000"/>
          <w:sz w:val="22"/>
          <w:szCs w:val="22"/>
        </w:rPr>
        <w:t xml:space="preserve"> </w:t>
      </w:r>
      <w:r w:rsidR="00625947">
        <w:rPr>
          <w:rFonts w:asciiTheme="minorHAnsi" w:hAnsiTheme="minorHAnsi" w:cstheme="minorHAnsi"/>
          <w:i/>
          <w:color w:val="FF0000"/>
          <w:sz w:val="22"/>
          <w:szCs w:val="22"/>
        </w:rPr>
        <w:t>the time interval from 1/1985 to 7/2024, and the model for the paroxysms is calibrated from 1/1879 to 7/2024. We report</w:t>
      </w:r>
      <w:r w:rsidRPr="00E16844">
        <w:rPr>
          <w:rFonts w:asciiTheme="minorHAnsi" w:hAnsiTheme="minorHAnsi" w:cstheme="minorHAnsi"/>
          <w:i/>
          <w:color w:val="FF0000"/>
          <w:sz w:val="22"/>
          <w:szCs w:val="22"/>
        </w:rPr>
        <w:t xml:space="preserve"> the mean value and the 5</w:t>
      </w:r>
      <w:r w:rsidRPr="00E16844">
        <w:rPr>
          <w:rFonts w:asciiTheme="minorHAnsi" w:hAnsiTheme="minorHAnsi" w:cstheme="minorHAnsi"/>
          <w:i/>
          <w:color w:val="FF0000"/>
          <w:sz w:val="22"/>
          <w:szCs w:val="22"/>
          <w:vertAlign w:val="superscript"/>
        </w:rPr>
        <w:t>th</w:t>
      </w:r>
      <w:r w:rsidRPr="00E16844">
        <w:rPr>
          <w:rFonts w:asciiTheme="minorHAnsi" w:hAnsiTheme="minorHAnsi" w:cstheme="minorHAnsi"/>
          <w:i/>
          <w:color w:val="FF0000"/>
          <w:sz w:val="22"/>
          <w:szCs w:val="22"/>
        </w:rPr>
        <w:t xml:space="preserve"> and 95</w:t>
      </w:r>
      <w:r w:rsidRPr="00E16844">
        <w:rPr>
          <w:rFonts w:asciiTheme="minorHAnsi" w:hAnsiTheme="minorHAnsi" w:cstheme="minorHAnsi"/>
          <w:i/>
          <w:color w:val="FF0000"/>
          <w:sz w:val="22"/>
          <w:szCs w:val="22"/>
          <w:vertAlign w:val="superscript"/>
        </w:rPr>
        <w:t>th</w:t>
      </w:r>
      <w:r w:rsidRPr="00E16844">
        <w:rPr>
          <w:rFonts w:asciiTheme="minorHAnsi" w:hAnsiTheme="minorHAnsi" w:cstheme="minorHAnsi"/>
          <w:i/>
          <w:color w:val="FF0000"/>
          <w:sz w:val="22"/>
          <w:szCs w:val="22"/>
        </w:rPr>
        <w:t xml:space="preserve"> percentiles</w:t>
      </w:r>
      <w:r>
        <w:rPr>
          <w:rFonts w:asciiTheme="minorHAnsi" w:hAnsiTheme="minorHAnsi" w:cstheme="minorHAnsi"/>
          <w:i/>
          <w:color w:val="FF0000"/>
          <w:sz w:val="22"/>
          <w:szCs w:val="22"/>
        </w:rPr>
        <w:t xml:space="preserve"> for the next 10 and 50 years</w:t>
      </w:r>
      <w:r w:rsidRPr="00E16844">
        <w:rPr>
          <w:rFonts w:asciiTheme="minorHAnsi" w:hAnsiTheme="minorHAnsi" w:cstheme="minorHAnsi"/>
          <w:i/>
          <w:color w:val="FF0000"/>
          <w:sz w:val="22"/>
          <w:szCs w:val="22"/>
        </w:rPr>
        <w:t>.</w:t>
      </w:r>
    </w:p>
    <w:p w:rsidR="007F0D60" w:rsidRDefault="007F0D60" w:rsidP="007F0D60">
      <w:pPr>
        <w:pStyle w:val="SMcaption"/>
        <w:jc w:val="both"/>
        <w:rPr>
          <w:rFonts w:ascii="Myriad Pro" w:hAnsi="Myriad Pro"/>
          <w:b/>
          <w:color w:val="FF0000"/>
        </w:rPr>
      </w:pPr>
    </w:p>
    <w:tbl>
      <w:tblPr>
        <w:tblW w:w="6360" w:type="dxa"/>
        <w:jc w:val="center"/>
        <w:tblInd w:w="93" w:type="dxa"/>
        <w:tblLook w:val="04A0" w:firstRow="1" w:lastRow="0" w:firstColumn="1" w:lastColumn="0" w:noHBand="0" w:noVBand="1"/>
      </w:tblPr>
      <w:tblGrid>
        <w:gridCol w:w="1140"/>
        <w:gridCol w:w="1740"/>
        <w:gridCol w:w="1740"/>
        <w:gridCol w:w="1740"/>
      </w:tblGrid>
      <w:tr w:rsidR="007F0D60" w:rsidRPr="007F0D60" w:rsidTr="006F0AB9">
        <w:trPr>
          <w:trHeight w:val="800"/>
          <w:jc w:val="center"/>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rPr>
                <w:rFonts w:ascii="Calibri" w:eastAsia="Times New Roman" w:hAnsi="Calibri" w:cs="Calibri"/>
                <w:color w:val="FF0000"/>
                <w:sz w:val="20"/>
                <w:szCs w:val="20"/>
              </w:rPr>
            </w:pPr>
            <w:r w:rsidRPr="007F0D60">
              <w:rPr>
                <w:rFonts w:ascii="Calibri" w:eastAsia="Times New Roman" w:hAnsi="Calibri" w:cs="Calibri"/>
                <w:color w:val="FF0000"/>
                <w:sz w:val="20"/>
                <w:szCs w:val="20"/>
              </w:rPr>
              <w:t xml:space="preserve">Temporal model, </w:t>
            </w:r>
            <w:r w:rsidRPr="007F0D60">
              <w:rPr>
                <w:rFonts w:ascii="Calibri" w:eastAsia="Times New Roman" w:hAnsi="Calibri" w:cs="Calibri"/>
                <w:color w:val="FF0000"/>
                <w:sz w:val="20"/>
                <w:szCs w:val="20"/>
              </w:rPr>
              <w:br/>
              <w:t>next 10 years</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r w:rsidRPr="007F0D60">
              <w:rPr>
                <w:rFonts w:ascii="Calibri" w:eastAsia="Times New Roman" w:hAnsi="Calibri" w:cs="Calibri"/>
                <w:color w:val="FF0000"/>
                <w:sz w:val="20"/>
                <w:szCs w:val="20"/>
              </w:rPr>
              <w:t>paroxysms</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r w:rsidRPr="007F0D60">
              <w:rPr>
                <w:rFonts w:ascii="Calibri" w:eastAsia="Times New Roman" w:hAnsi="Calibri" w:cs="Calibri"/>
                <w:color w:val="FF0000"/>
                <w:sz w:val="20"/>
                <w:szCs w:val="20"/>
              </w:rPr>
              <w:t xml:space="preserve">paroxysms and major explosions, </w:t>
            </w:r>
            <w:r w:rsidRPr="007F0D60">
              <w:rPr>
                <w:rFonts w:ascii="Calibri" w:eastAsia="Times New Roman" w:hAnsi="Calibri" w:cs="Calibri"/>
                <w:color w:val="FF0000"/>
                <w:sz w:val="20"/>
                <w:szCs w:val="20"/>
              </w:rPr>
              <w:br/>
              <w:t>excl. uncertain</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r w:rsidRPr="007F0D60">
              <w:rPr>
                <w:rFonts w:ascii="Calibri" w:eastAsia="Times New Roman" w:hAnsi="Calibri" w:cs="Calibri"/>
                <w:color w:val="FF0000"/>
                <w:sz w:val="20"/>
                <w:szCs w:val="20"/>
              </w:rPr>
              <w:t xml:space="preserve">paroxysms and major explosions, </w:t>
            </w:r>
            <w:r w:rsidRPr="007F0D60">
              <w:rPr>
                <w:rFonts w:ascii="Calibri" w:eastAsia="Times New Roman" w:hAnsi="Calibri" w:cs="Calibri"/>
                <w:color w:val="FF0000"/>
                <w:sz w:val="20"/>
                <w:szCs w:val="20"/>
              </w:rPr>
              <w:br/>
              <w:t>incl. uncertain</w:t>
            </w:r>
          </w:p>
        </w:tc>
      </w:tr>
      <w:tr w:rsidR="007F0D60" w:rsidRPr="007F0D60" w:rsidTr="006F0AB9">
        <w:trPr>
          <w:trHeight w:val="8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rPr>
                <w:rFonts w:ascii="Calibri" w:eastAsia="Times New Roman" w:hAnsi="Calibri" w:cs="Calibri"/>
                <w:color w:val="FF0000"/>
                <w:sz w:val="20"/>
                <w:szCs w:val="20"/>
              </w:rPr>
            </w:pPr>
            <w:r w:rsidRPr="007F0D60">
              <w:rPr>
                <w:rFonts w:ascii="Calibri" w:eastAsia="Times New Roman" w:hAnsi="Calibri" w:cs="Calibri"/>
                <w:color w:val="FF0000"/>
                <w:sz w:val="20"/>
                <w:szCs w:val="20"/>
              </w:rPr>
              <w:t>5th percentile</w:t>
            </w:r>
          </w:p>
        </w:tc>
        <w:tc>
          <w:tcPr>
            <w:tcW w:w="1740" w:type="dxa"/>
            <w:tcBorders>
              <w:top w:val="nil"/>
              <w:left w:val="nil"/>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r w:rsidRPr="007F0D60">
              <w:rPr>
                <w:rFonts w:ascii="Calibri" w:eastAsia="Times New Roman" w:hAnsi="Calibri" w:cs="Calibri"/>
                <w:color w:val="FF0000"/>
                <w:sz w:val="20"/>
                <w:szCs w:val="20"/>
              </w:rPr>
              <w:t>0</w:t>
            </w:r>
          </w:p>
        </w:tc>
        <w:tc>
          <w:tcPr>
            <w:tcW w:w="1740" w:type="dxa"/>
            <w:tcBorders>
              <w:top w:val="nil"/>
              <w:left w:val="nil"/>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r w:rsidRPr="007F0D60">
              <w:rPr>
                <w:rFonts w:ascii="Calibri" w:eastAsia="Times New Roman" w:hAnsi="Calibri" w:cs="Calibri"/>
                <w:color w:val="FF0000"/>
                <w:sz w:val="20"/>
                <w:szCs w:val="20"/>
              </w:rPr>
              <w:t>8</w:t>
            </w:r>
          </w:p>
        </w:tc>
        <w:tc>
          <w:tcPr>
            <w:tcW w:w="1740" w:type="dxa"/>
            <w:tcBorders>
              <w:top w:val="nil"/>
              <w:left w:val="nil"/>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r w:rsidRPr="007F0D60">
              <w:rPr>
                <w:rFonts w:ascii="Calibri" w:eastAsia="Times New Roman" w:hAnsi="Calibri" w:cs="Calibri"/>
                <w:color w:val="FF0000"/>
                <w:sz w:val="20"/>
                <w:szCs w:val="20"/>
              </w:rPr>
              <w:t>14</w:t>
            </w:r>
          </w:p>
        </w:tc>
      </w:tr>
      <w:tr w:rsidR="007F0D60" w:rsidRPr="007F0D60" w:rsidTr="006F0AB9">
        <w:trPr>
          <w:trHeight w:val="8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rPr>
                <w:rFonts w:ascii="Calibri" w:eastAsia="Times New Roman" w:hAnsi="Calibri" w:cs="Calibri"/>
                <w:color w:val="FF0000"/>
                <w:sz w:val="20"/>
                <w:szCs w:val="20"/>
              </w:rPr>
            </w:pPr>
            <w:r w:rsidRPr="007F0D60">
              <w:rPr>
                <w:rFonts w:ascii="Calibri" w:eastAsia="Times New Roman" w:hAnsi="Calibri" w:cs="Calibri"/>
                <w:color w:val="FF0000"/>
                <w:sz w:val="20"/>
                <w:szCs w:val="20"/>
              </w:rPr>
              <w:t>mean value</w:t>
            </w:r>
          </w:p>
        </w:tc>
        <w:tc>
          <w:tcPr>
            <w:tcW w:w="1740" w:type="dxa"/>
            <w:tcBorders>
              <w:top w:val="nil"/>
              <w:left w:val="nil"/>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r w:rsidRPr="007F0D60">
              <w:rPr>
                <w:rFonts w:ascii="Calibri" w:eastAsia="Times New Roman" w:hAnsi="Calibri" w:cs="Calibri"/>
                <w:color w:val="FF0000"/>
                <w:sz w:val="20"/>
                <w:szCs w:val="20"/>
              </w:rPr>
              <w:t>3.8</w:t>
            </w:r>
          </w:p>
        </w:tc>
        <w:tc>
          <w:tcPr>
            <w:tcW w:w="1740" w:type="dxa"/>
            <w:tcBorders>
              <w:top w:val="nil"/>
              <w:left w:val="nil"/>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r w:rsidRPr="007F0D60">
              <w:rPr>
                <w:rFonts w:ascii="Calibri" w:eastAsia="Times New Roman" w:hAnsi="Calibri" w:cs="Calibri"/>
                <w:color w:val="FF0000"/>
                <w:sz w:val="20"/>
                <w:szCs w:val="20"/>
              </w:rPr>
              <w:t>16</w:t>
            </w:r>
          </w:p>
        </w:tc>
        <w:tc>
          <w:tcPr>
            <w:tcW w:w="1740" w:type="dxa"/>
            <w:tcBorders>
              <w:top w:val="nil"/>
              <w:left w:val="nil"/>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r w:rsidRPr="007F0D60">
              <w:rPr>
                <w:rFonts w:ascii="Calibri" w:eastAsia="Times New Roman" w:hAnsi="Calibri" w:cs="Calibri"/>
                <w:color w:val="FF0000"/>
                <w:sz w:val="20"/>
                <w:szCs w:val="20"/>
              </w:rPr>
              <w:t>24</w:t>
            </w:r>
          </w:p>
        </w:tc>
      </w:tr>
      <w:tr w:rsidR="007F0D60" w:rsidRPr="007F0D60" w:rsidTr="006F0AB9">
        <w:trPr>
          <w:trHeight w:val="8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rPr>
                <w:rFonts w:ascii="Calibri" w:eastAsia="Times New Roman" w:hAnsi="Calibri" w:cs="Calibri"/>
                <w:color w:val="FF0000"/>
                <w:sz w:val="20"/>
                <w:szCs w:val="20"/>
              </w:rPr>
            </w:pPr>
            <w:r w:rsidRPr="007F0D60">
              <w:rPr>
                <w:rFonts w:ascii="Calibri" w:eastAsia="Times New Roman" w:hAnsi="Calibri" w:cs="Calibri"/>
                <w:color w:val="FF0000"/>
                <w:sz w:val="20"/>
                <w:szCs w:val="20"/>
              </w:rPr>
              <w:t>95th percentile</w:t>
            </w:r>
          </w:p>
        </w:tc>
        <w:tc>
          <w:tcPr>
            <w:tcW w:w="1740" w:type="dxa"/>
            <w:tcBorders>
              <w:top w:val="nil"/>
              <w:left w:val="nil"/>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r w:rsidRPr="007F0D60">
              <w:rPr>
                <w:rFonts w:ascii="Calibri" w:eastAsia="Times New Roman" w:hAnsi="Calibri" w:cs="Calibri"/>
                <w:color w:val="FF0000"/>
                <w:sz w:val="20"/>
                <w:szCs w:val="20"/>
              </w:rPr>
              <w:t>9</w:t>
            </w:r>
          </w:p>
        </w:tc>
        <w:tc>
          <w:tcPr>
            <w:tcW w:w="1740" w:type="dxa"/>
            <w:tcBorders>
              <w:top w:val="nil"/>
              <w:left w:val="nil"/>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r w:rsidRPr="007F0D60">
              <w:rPr>
                <w:rFonts w:ascii="Calibri" w:eastAsia="Times New Roman" w:hAnsi="Calibri" w:cs="Calibri"/>
                <w:color w:val="FF0000"/>
                <w:sz w:val="20"/>
                <w:szCs w:val="20"/>
              </w:rPr>
              <w:t>23</w:t>
            </w:r>
          </w:p>
        </w:tc>
        <w:tc>
          <w:tcPr>
            <w:tcW w:w="1740" w:type="dxa"/>
            <w:tcBorders>
              <w:top w:val="nil"/>
              <w:left w:val="nil"/>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r w:rsidRPr="007F0D60">
              <w:rPr>
                <w:rFonts w:ascii="Calibri" w:eastAsia="Times New Roman" w:hAnsi="Calibri" w:cs="Calibri"/>
                <w:color w:val="FF0000"/>
                <w:sz w:val="20"/>
                <w:szCs w:val="20"/>
              </w:rPr>
              <w:t>33</w:t>
            </w:r>
          </w:p>
        </w:tc>
      </w:tr>
      <w:tr w:rsidR="007F0D60" w:rsidRPr="007F0D60" w:rsidTr="006F0AB9">
        <w:trPr>
          <w:trHeight w:val="311"/>
          <w:jc w:val="center"/>
        </w:trPr>
        <w:tc>
          <w:tcPr>
            <w:tcW w:w="1140" w:type="dxa"/>
            <w:tcBorders>
              <w:top w:val="nil"/>
              <w:left w:val="nil"/>
              <w:bottom w:val="nil"/>
              <w:right w:val="nil"/>
            </w:tcBorders>
            <w:shd w:val="clear" w:color="auto" w:fill="auto"/>
            <w:vAlign w:val="center"/>
            <w:hideMark/>
          </w:tcPr>
          <w:p w:rsidR="007F0D60" w:rsidRPr="007F0D60" w:rsidRDefault="007F0D60" w:rsidP="006F0AB9">
            <w:pPr>
              <w:spacing w:after="0" w:line="240" w:lineRule="auto"/>
              <w:rPr>
                <w:rFonts w:ascii="Calibri" w:eastAsia="Times New Roman" w:hAnsi="Calibri" w:cs="Calibri"/>
                <w:color w:val="FF0000"/>
                <w:sz w:val="20"/>
                <w:szCs w:val="20"/>
              </w:rPr>
            </w:pPr>
          </w:p>
        </w:tc>
        <w:tc>
          <w:tcPr>
            <w:tcW w:w="1740" w:type="dxa"/>
            <w:tcBorders>
              <w:top w:val="nil"/>
              <w:left w:val="nil"/>
              <w:bottom w:val="nil"/>
              <w:right w:val="nil"/>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p>
        </w:tc>
        <w:tc>
          <w:tcPr>
            <w:tcW w:w="1740" w:type="dxa"/>
            <w:tcBorders>
              <w:top w:val="nil"/>
              <w:left w:val="nil"/>
              <w:bottom w:val="nil"/>
              <w:right w:val="nil"/>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p>
        </w:tc>
        <w:tc>
          <w:tcPr>
            <w:tcW w:w="1740" w:type="dxa"/>
            <w:tcBorders>
              <w:top w:val="nil"/>
              <w:left w:val="nil"/>
              <w:bottom w:val="nil"/>
              <w:right w:val="nil"/>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p>
        </w:tc>
      </w:tr>
      <w:tr w:rsidR="007F0D60" w:rsidRPr="007F0D60" w:rsidTr="006F0AB9">
        <w:trPr>
          <w:trHeight w:val="800"/>
          <w:jc w:val="center"/>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rPr>
                <w:rFonts w:ascii="Calibri" w:eastAsia="Times New Roman" w:hAnsi="Calibri" w:cs="Calibri"/>
                <w:color w:val="FF0000"/>
                <w:sz w:val="20"/>
                <w:szCs w:val="20"/>
              </w:rPr>
            </w:pPr>
            <w:r w:rsidRPr="007F0D60">
              <w:rPr>
                <w:rFonts w:ascii="Calibri" w:eastAsia="Times New Roman" w:hAnsi="Calibri" w:cs="Calibri"/>
                <w:color w:val="FF0000"/>
                <w:sz w:val="20"/>
                <w:szCs w:val="20"/>
              </w:rPr>
              <w:t xml:space="preserve">Temporal model, </w:t>
            </w:r>
            <w:r w:rsidRPr="007F0D60">
              <w:rPr>
                <w:rFonts w:ascii="Calibri" w:eastAsia="Times New Roman" w:hAnsi="Calibri" w:cs="Calibri"/>
                <w:color w:val="FF0000"/>
                <w:sz w:val="20"/>
                <w:szCs w:val="20"/>
              </w:rPr>
              <w:br/>
              <w:t>next 50 years</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r w:rsidRPr="007F0D60">
              <w:rPr>
                <w:rFonts w:ascii="Calibri" w:eastAsia="Times New Roman" w:hAnsi="Calibri" w:cs="Calibri"/>
                <w:color w:val="FF0000"/>
                <w:sz w:val="20"/>
                <w:szCs w:val="20"/>
              </w:rPr>
              <w:t>paroxysms</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r w:rsidRPr="007F0D60">
              <w:rPr>
                <w:rFonts w:ascii="Calibri" w:eastAsia="Times New Roman" w:hAnsi="Calibri" w:cs="Calibri"/>
                <w:color w:val="FF0000"/>
                <w:sz w:val="20"/>
                <w:szCs w:val="20"/>
              </w:rPr>
              <w:t xml:space="preserve">paroxysms and major explosions, </w:t>
            </w:r>
            <w:r w:rsidRPr="007F0D60">
              <w:rPr>
                <w:rFonts w:ascii="Calibri" w:eastAsia="Times New Roman" w:hAnsi="Calibri" w:cs="Calibri"/>
                <w:color w:val="FF0000"/>
                <w:sz w:val="20"/>
                <w:szCs w:val="20"/>
              </w:rPr>
              <w:br/>
              <w:t>excl. uncertain</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r w:rsidRPr="007F0D60">
              <w:rPr>
                <w:rFonts w:ascii="Calibri" w:eastAsia="Times New Roman" w:hAnsi="Calibri" w:cs="Calibri"/>
                <w:color w:val="FF0000"/>
                <w:sz w:val="20"/>
                <w:szCs w:val="20"/>
              </w:rPr>
              <w:t xml:space="preserve">paroxysms and major explosions, </w:t>
            </w:r>
            <w:r w:rsidRPr="007F0D60">
              <w:rPr>
                <w:rFonts w:ascii="Calibri" w:eastAsia="Times New Roman" w:hAnsi="Calibri" w:cs="Calibri"/>
                <w:color w:val="FF0000"/>
                <w:sz w:val="20"/>
                <w:szCs w:val="20"/>
              </w:rPr>
              <w:br/>
              <w:t>incl. uncertain</w:t>
            </w:r>
          </w:p>
        </w:tc>
      </w:tr>
      <w:tr w:rsidR="007F0D60" w:rsidRPr="007F0D60" w:rsidTr="006F0AB9">
        <w:trPr>
          <w:trHeight w:val="8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rPr>
                <w:rFonts w:ascii="Calibri" w:eastAsia="Times New Roman" w:hAnsi="Calibri" w:cs="Calibri"/>
                <w:color w:val="FF0000"/>
                <w:sz w:val="20"/>
                <w:szCs w:val="20"/>
              </w:rPr>
            </w:pPr>
            <w:r w:rsidRPr="007F0D60">
              <w:rPr>
                <w:rFonts w:ascii="Calibri" w:eastAsia="Times New Roman" w:hAnsi="Calibri" w:cs="Calibri"/>
                <w:color w:val="FF0000"/>
                <w:sz w:val="20"/>
                <w:szCs w:val="20"/>
              </w:rPr>
              <w:t>5th percentile</w:t>
            </w:r>
          </w:p>
        </w:tc>
        <w:tc>
          <w:tcPr>
            <w:tcW w:w="1740" w:type="dxa"/>
            <w:tcBorders>
              <w:top w:val="nil"/>
              <w:left w:val="nil"/>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r w:rsidRPr="007F0D60">
              <w:rPr>
                <w:rFonts w:ascii="Calibri" w:eastAsia="Times New Roman" w:hAnsi="Calibri" w:cs="Calibri"/>
                <w:color w:val="FF0000"/>
                <w:sz w:val="20"/>
                <w:szCs w:val="20"/>
              </w:rPr>
              <w:t>6</w:t>
            </w:r>
          </w:p>
        </w:tc>
        <w:tc>
          <w:tcPr>
            <w:tcW w:w="1740" w:type="dxa"/>
            <w:tcBorders>
              <w:top w:val="nil"/>
              <w:left w:val="nil"/>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r w:rsidRPr="007F0D60">
              <w:rPr>
                <w:rFonts w:ascii="Calibri" w:eastAsia="Times New Roman" w:hAnsi="Calibri" w:cs="Calibri"/>
                <w:color w:val="FF0000"/>
                <w:sz w:val="20"/>
                <w:szCs w:val="20"/>
              </w:rPr>
              <w:t>61</w:t>
            </w:r>
          </w:p>
        </w:tc>
        <w:tc>
          <w:tcPr>
            <w:tcW w:w="1740" w:type="dxa"/>
            <w:tcBorders>
              <w:top w:val="nil"/>
              <w:left w:val="nil"/>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r w:rsidRPr="007F0D60">
              <w:rPr>
                <w:rFonts w:ascii="Calibri" w:eastAsia="Times New Roman" w:hAnsi="Calibri" w:cs="Calibri"/>
                <w:color w:val="FF0000"/>
                <w:sz w:val="20"/>
                <w:szCs w:val="20"/>
              </w:rPr>
              <w:t>96</w:t>
            </w:r>
          </w:p>
        </w:tc>
      </w:tr>
      <w:tr w:rsidR="007F0D60" w:rsidRPr="007F0D60" w:rsidTr="006F0AB9">
        <w:trPr>
          <w:trHeight w:val="8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rPr>
                <w:rFonts w:ascii="Calibri" w:eastAsia="Times New Roman" w:hAnsi="Calibri" w:cs="Calibri"/>
                <w:color w:val="FF0000"/>
                <w:sz w:val="20"/>
                <w:szCs w:val="20"/>
              </w:rPr>
            </w:pPr>
            <w:r w:rsidRPr="007F0D60">
              <w:rPr>
                <w:rFonts w:ascii="Calibri" w:eastAsia="Times New Roman" w:hAnsi="Calibri" w:cs="Calibri"/>
                <w:color w:val="FF0000"/>
                <w:sz w:val="20"/>
                <w:szCs w:val="20"/>
              </w:rPr>
              <w:t>mean value</w:t>
            </w:r>
          </w:p>
        </w:tc>
        <w:tc>
          <w:tcPr>
            <w:tcW w:w="1740" w:type="dxa"/>
            <w:tcBorders>
              <w:top w:val="nil"/>
              <w:left w:val="nil"/>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r w:rsidRPr="007F0D60">
              <w:rPr>
                <w:rFonts w:ascii="Calibri" w:eastAsia="Times New Roman" w:hAnsi="Calibri" w:cs="Calibri"/>
                <w:color w:val="FF0000"/>
                <w:sz w:val="20"/>
                <w:szCs w:val="20"/>
              </w:rPr>
              <w:t>16</w:t>
            </w:r>
          </w:p>
        </w:tc>
        <w:tc>
          <w:tcPr>
            <w:tcW w:w="1740" w:type="dxa"/>
            <w:tcBorders>
              <w:top w:val="nil"/>
              <w:left w:val="nil"/>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r w:rsidRPr="007F0D60">
              <w:rPr>
                <w:rFonts w:ascii="Calibri" w:eastAsia="Times New Roman" w:hAnsi="Calibri" w:cs="Calibri"/>
                <w:color w:val="FF0000"/>
                <w:sz w:val="20"/>
                <w:szCs w:val="20"/>
              </w:rPr>
              <w:t>78</w:t>
            </w:r>
          </w:p>
        </w:tc>
        <w:tc>
          <w:tcPr>
            <w:tcW w:w="1740" w:type="dxa"/>
            <w:tcBorders>
              <w:top w:val="nil"/>
              <w:left w:val="nil"/>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r w:rsidRPr="007F0D60">
              <w:rPr>
                <w:rFonts w:ascii="Calibri" w:eastAsia="Times New Roman" w:hAnsi="Calibri" w:cs="Calibri"/>
                <w:color w:val="FF0000"/>
                <w:sz w:val="20"/>
                <w:szCs w:val="20"/>
              </w:rPr>
              <w:t>120</w:t>
            </w:r>
          </w:p>
        </w:tc>
      </w:tr>
      <w:tr w:rsidR="007F0D60" w:rsidRPr="007F0D60" w:rsidTr="006F0AB9">
        <w:trPr>
          <w:trHeight w:val="8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rPr>
                <w:rFonts w:ascii="Calibri" w:eastAsia="Times New Roman" w:hAnsi="Calibri" w:cs="Calibri"/>
                <w:color w:val="FF0000"/>
                <w:sz w:val="20"/>
                <w:szCs w:val="20"/>
              </w:rPr>
            </w:pPr>
            <w:r w:rsidRPr="007F0D60">
              <w:rPr>
                <w:rFonts w:ascii="Calibri" w:eastAsia="Times New Roman" w:hAnsi="Calibri" w:cs="Calibri"/>
                <w:color w:val="FF0000"/>
                <w:sz w:val="20"/>
                <w:szCs w:val="20"/>
              </w:rPr>
              <w:t>95th percentile</w:t>
            </w:r>
          </w:p>
        </w:tc>
        <w:tc>
          <w:tcPr>
            <w:tcW w:w="1740" w:type="dxa"/>
            <w:tcBorders>
              <w:top w:val="nil"/>
              <w:left w:val="nil"/>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r w:rsidRPr="007F0D60">
              <w:rPr>
                <w:rFonts w:ascii="Calibri" w:eastAsia="Times New Roman" w:hAnsi="Calibri" w:cs="Calibri"/>
                <w:color w:val="FF0000"/>
                <w:sz w:val="20"/>
                <w:szCs w:val="20"/>
              </w:rPr>
              <w:t>27</w:t>
            </w:r>
          </w:p>
        </w:tc>
        <w:tc>
          <w:tcPr>
            <w:tcW w:w="1740" w:type="dxa"/>
            <w:tcBorders>
              <w:top w:val="nil"/>
              <w:left w:val="nil"/>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r w:rsidRPr="007F0D60">
              <w:rPr>
                <w:rFonts w:ascii="Calibri" w:eastAsia="Times New Roman" w:hAnsi="Calibri" w:cs="Calibri"/>
                <w:color w:val="FF0000"/>
                <w:sz w:val="20"/>
                <w:szCs w:val="20"/>
              </w:rPr>
              <w:t>94</w:t>
            </w:r>
          </w:p>
        </w:tc>
        <w:tc>
          <w:tcPr>
            <w:tcW w:w="1740" w:type="dxa"/>
            <w:tcBorders>
              <w:top w:val="nil"/>
              <w:left w:val="nil"/>
              <w:bottom w:val="single" w:sz="4" w:space="0" w:color="auto"/>
              <w:right w:val="single" w:sz="4" w:space="0" w:color="auto"/>
            </w:tcBorders>
            <w:shd w:val="clear" w:color="auto" w:fill="auto"/>
            <w:vAlign w:val="center"/>
            <w:hideMark/>
          </w:tcPr>
          <w:p w:rsidR="007F0D60" w:rsidRPr="007F0D60" w:rsidRDefault="007F0D60" w:rsidP="006F0AB9">
            <w:pPr>
              <w:spacing w:after="0" w:line="240" w:lineRule="auto"/>
              <w:jc w:val="right"/>
              <w:rPr>
                <w:rFonts w:ascii="Calibri" w:eastAsia="Times New Roman" w:hAnsi="Calibri" w:cs="Calibri"/>
                <w:color w:val="FF0000"/>
                <w:sz w:val="20"/>
                <w:szCs w:val="20"/>
              </w:rPr>
            </w:pPr>
            <w:r w:rsidRPr="007F0D60">
              <w:rPr>
                <w:rFonts w:ascii="Calibri" w:eastAsia="Times New Roman" w:hAnsi="Calibri" w:cs="Calibri"/>
                <w:color w:val="FF0000"/>
                <w:sz w:val="20"/>
                <w:szCs w:val="20"/>
              </w:rPr>
              <w:t>140</w:t>
            </w:r>
          </w:p>
        </w:tc>
      </w:tr>
    </w:tbl>
    <w:p w:rsidR="007F0D60" w:rsidRDefault="007F0D60" w:rsidP="007F0D60">
      <w:pPr>
        <w:rPr>
          <w:rFonts w:eastAsia="Times New Roman" w:cstheme="minorHAnsi"/>
          <w:b/>
          <w:i/>
          <w:color w:val="FF0000"/>
        </w:rPr>
      </w:pPr>
      <w:r>
        <w:rPr>
          <w:rFonts w:cstheme="minorHAnsi"/>
          <w:b/>
          <w:i/>
          <w:color w:val="FF0000"/>
        </w:rPr>
        <w:br w:type="page"/>
      </w:r>
    </w:p>
    <w:p w:rsidR="00BE1ED7" w:rsidRPr="00BE1ED7" w:rsidRDefault="00BE1ED7" w:rsidP="003072B7">
      <w:pPr>
        <w:spacing w:after="80"/>
        <w:rPr>
          <w:rFonts w:ascii="Myriad Pro" w:hAnsi="Myriad Pro"/>
          <w:b/>
          <w:color w:val="FF0000"/>
          <w:sz w:val="20"/>
        </w:rPr>
      </w:pPr>
      <w:r w:rsidRPr="00BE1ED7">
        <w:rPr>
          <w:rFonts w:ascii="Myriad Pro" w:hAnsi="Myriad Pro"/>
          <w:b/>
          <w:i/>
          <w:color w:val="FF0000"/>
          <w:sz w:val="20"/>
        </w:rPr>
        <w:lastRenderedPageBreak/>
        <w:t>Table S</w:t>
      </w:r>
      <w:r w:rsidR="007F0D60">
        <w:rPr>
          <w:rFonts w:ascii="Myriad Pro" w:hAnsi="Myriad Pro"/>
          <w:b/>
          <w:i/>
          <w:color w:val="FF0000"/>
          <w:sz w:val="20"/>
        </w:rPr>
        <w:t>4</w:t>
      </w:r>
      <w:r w:rsidRPr="00BE1ED7">
        <w:rPr>
          <w:rFonts w:ascii="Myriad Pro" w:hAnsi="Myriad Pro"/>
          <w:b/>
          <w:i/>
          <w:color w:val="FF0000"/>
          <w:sz w:val="20"/>
        </w:rPr>
        <w:t>.</w:t>
      </w:r>
      <w:r w:rsidRPr="00BE1ED7">
        <w:rPr>
          <w:rFonts w:ascii="Myriad Pro" w:hAnsi="Myriad Pro"/>
          <w:b/>
          <w:color w:val="FF0000"/>
          <w:sz w:val="20"/>
        </w:rPr>
        <w:t xml:space="preserve"> </w:t>
      </w:r>
      <w:r w:rsidRPr="00BA1692">
        <w:rPr>
          <w:rFonts w:ascii="Myriad Pro" w:hAnsi="Myriad Pro"/>
          <w:i/>
          <w:color w:val="FF0000"/>
          <w:sz w:val="20"/>
        </w:rPr>
        <w:t xml:space="preserve">Update of the catalog </w:t>
      </w:r>
      <w:proofErr w:type="spellStart"/>
      <w:r w:rsidRPr="00BA1692">
        <w:rPr>
          <w:rFonts w:ascii="Myriad Pro" w:hAnsi="Myriad Pro"/>
          <w:i/>
          <w:color w:val="FF0000"/>
          <w:sz w:val="20"/>
        </w:rPr>
        <w:t>Bevilacqua</w:t>
      </w:r>
      <w:proofErr w:type="spellEnd"/>
      <w:r w:rsidRPr="00BA1692">
        <w:rPr>
          <w:rFonts w:ascii="Myriad Pro" w:hAnsi="Myriad Pro"/>
          <w:i/>
          <w:color w:val="FF0000"/>
          <w:sz w:val="20"/>
        </w:rPr>
        <w:t xml:space="preserve"> et al., (2023) in the period 1</w:t>
      </w:r>
      <w:r w:rsidR="0058335B">
        <w:rPr>
          <w:rFonts w:ascii="Myriad Pro" w:hAnsi="Myriad Pro"/>
          <w:i/>
          <w:color w:val="FF0000"/>
          <w:sz w:val="20"/>
        </w:rPr>
        <w:t>1</w:t>
      </w:r>
      <w:r w:rsidRPr="00BA1692">
        <w:rPr>
          <w:rFonts w:ascii="Myriad Pro" w:hAnsi="Myriad Pro"/>
          <w:i/>
          <w:color w:val="FF0000"/>
          <w:sz w:val="20"/>
        </w:rPr>
        <w:t>/2023 - 6/2026</w:t>
      </w:r>
      <w:r w:rsidRPr="00BE1ED7">
        <w:rPr>
          <w:rFonts w:ascii="Myriad Pro" w:hAnsi="Myriad Pro"/>
          <w:b/>
          <w:i/>
          <w:color w:val="FF0000"/>
          <w:sz w:val="20"/>
        </w:rPr>
        <w:t>.</w:t>
      </w:r>
    </w:p>
    <w:tbl>
      <w:tblPr>
        <w:tblW w:w="9595" w:type="dxa"/>
        <w:jc w:val="center"/>
        <w:tblInd w:w="1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34"/>
        <w:gridCol w:w="440"/>
        <w:gridCol w:w="342"/>
        <w:gridCol w:w="373"/>
        <w:gridCol w:w="1187"/>
        <w:gridCol w:w="990"/>
        <w:gridCol w:w="1657"/>
        <w:gridCol w:w="611"/>
        <w:gridCol w:w="373"/>
        <w:gridCol w:w="2574"/>
        <w:gridCol w:w="714"/>
      </w:tblGrid>
      <w:tr w:rsidR="00BE1ED7" w:rsidTr="0058335B">
        <w:trPr>
          <w:trHeight w:val="448"/>
          <w:jc w:val="center"/>
        </w:trPr>
        <w:tc>
          <w:tcPr>
            <w:tcW w:w="334" w:type="dxa"/>
            <w:shd w:val="clear" w:color="auto" w:fill="659999"/>
          </w:tcPr>
          <w:p w:rsidR="00BE1ED7" w:rsidRDefault="00BE1ED7" w:rsidP="00033361">
            <w:pPr>
              <w:pStyle w:val="TableParagraph"/>
              <w:spacing w:before="10"/>
              <w:rPr>
                <w:rFonts w:ascii="Times New Roman"/>
                <w:sz w:val="13"/>
              </w:rPr>
            </w:pPr>
          </w:p>
          <w:p w:rsidR="00BE1ED7" w:rsidRDefault="00BE1ED7" w:rsidP="00033361">
            <w:pPr>
              <w:pStyle w:val="TableParagraph"/>
              <w:ind w:left="21"/>
              <w:rPr>
                <w:b/>
                <w:sz w:val="11"/>
              </w:rPr>
            </w:pPr>
            <w:r>
              <w:rPr>
                <w:b/>
                <w:color w:val="FFFFFF"/>
                <w:w w:val="105"/>
                <w:sz w:val="11"/>
              </w:rPr>
              <w:t>Year</w:t>
            </w:r>
          </w:p>
        </w:tc>
        <w:tc>
          <w:tcPr>
            <w:tcW w:w="440" w:type="dxa"/>
            <w:shd w:val="clear" w:color="auto" w:fill="659999"/>
          </w:tcPr>
          <w:p w:rsidR="00BE1ED7" w:rsidRDefault="00BE1ED7" w:rsidP="00033361">
            <w:pPr>
              <w:pStyle w:val="TableParagraph"/>
              <w:spacing w:before="10"/>
              <w:rPr>
                <w:rFonts w:ascii="Times New Roman"/>
                <w:sz w:val="13"/>
              </w:rPr>
            </w:pPr>
          </w:p>
          <w:p w:rsidR="00BE1ED7" w:rsidRDefault="00BE1ED7" w:rsidP="00033361">
            <w:pPr>
              <w:pStyle w:val="TableParagraph"/>
              <w:ind w:left="21"/>
              <w:rPr>
                <w:b/>
                <w:sz w:val="11"/>
              </w:rPr>
            </w:pPr>
            <w:r>
              <w:rPr>
                <w:b/>
                <w:color w:val="FFFFFF"/>
                <w:w w:val="105"/>
                <w:sz w:val="11"/>
              </w:rPr>
              <w:t>Month</w:t>
            </w:r>
          </w:p>
        </w:tc>
        <w:tc>
          <w:tcPr>
            <w:tcW w:w="342" w:type="dxa"/>
            <w:shd w:val="clear" w:color="auto" w:fill="659999"/>
          </w:tcPr>
          <w:p w:rsidR="00BE1ED7" w:rsidRDefault="00BE1ED7" w:rsidP="00033361">
            <w:pPr>
              <w:pStyle w:val="TableParagraph"/>
              <w:spacing w:before="10"/>
              <w:rPr>
                <w:rFonts w:ascii="Times New Roman"/>
                <w:sz w:val="13"/>
              </w:rPr>
            </w:pPr>
          </w:p>
          <w:p w:rsidR="00BE1ED7" w:rsidRDefault="00BE1ED7" w:rsidP="00033361">
            <w:pPr>
              <w:pStyle w:val="TableParagraph"/>
              <w:ind w:left="20"/>
              <w:rPr>
                <w:b/>
                <w:sz w:val="11"/>
              </w:rPr>
            </w:pPr>
            <w:r>
              <w:rPr>
                <w:b/>
                <w:color w:val="FFFFFF"/>
                <w:w w:val="105"/>
                <w:sz w:val="11"/>
              </w:rPr>
              <w:t>Day</w:t>
            </w:r>
          </w:p>
        </w:tc>
        <w:tc>
          <w:tcPr>
            <w:tcW w:w="373" w:type="dxa"/>
            <w:shd w:val="clear" w:color="auto" w:fill="659999"/>
          </w:tcPr>
          <w:p w:rsidR="00BE1ED7" w:rsidRDefault="00BE1ED7" w:rsidP="00033361">
            <w:pPr>
              <w:pStyle w:val="TableParagraph"/>
              <w:spacing w:before="10"/>
              <w:rPr>
                <w:rFonts w:ascii="Times New Roman"/>
                <w:sz w:val="13"/>
              </w:rPr>
            </w:pPr>
          </w:p>
          <w:p w:rsidR="00BE1ED7" w:rsidRDefault="00BE1ED7" w:rsidP="00033361">
            <w:pPr>
              <w:pStyle w:val="TableParagraph"/>
              <w:ind w:left="18"/>
              <w:rPr>
                <w:b/>
                <w:sz w:val="11"/>
              </w:rPr>
            </w:pPr>
            <w:r>
              <w:rPr>
                <w:b/>
                <w:color w:val="FFFFFF"/>
                <w:w w:val="105"/>
                <w:sz w:val="11"/>
              </w:rPr>
              <w:t>GMT</w:t>
            </w:r>
          </w:p>
        </w:tc>
        <w:tc>
          <w:tcPr>
            <w:tcW w:w="1187" w:type="dxa"/>
            <w:shd w:val="clear" w:color="auto" w:fill="659999"/>
          </w:tcPr>
          <w:p w:rsidR="00BE1ED7" w:rsidRDefault="00BE1ED7" w:rsidP="00033361">
            <w:pPr>
              <w:pStyle w:val="TableParagraph"/>
              <w:spacing w:before="10"/>
              <w:rPr>
                <w:rFonts w:ascii="Times New Roman"/>
                <w:sz w:val="13"/>
              </w:rPr>
            </w:pPr>
          </w:p>
          <w:p w:rsidR="00BE1ED7" w:rsidRDefault="00BE1ED7" w:rsidP="00033361">
            <w:pPr>
              <w:pStyle w:val="TableParagraph"/>
              <w:ind w:left="17"/>
              <w:rPr>
                <w:b/>
                <w:sz w:val="11"/>
              </w:rPr>
            </w:pPr>
            <w:r>
              <w:rPr>
                <w:b/>
                <w:color w:val="FFFFFF"/>
                <w:w w:val="105"/>
                <w:sz w:val="11"/>
              </w:rPr>
              <w:t>Type of event</w:t>
            </w:r>
          </w:p>
        </w:tc>
        <w:tc>
          <w:tcPr>
            <w:tcW w:w="990" w:type="dxa"/>
            <w:shd w:val="clear" w:color="auto" w:fill="659999"/>
          </w:tcPr>
          <w:p w:rsidR="00BE1ED7" w:rsidRDefault="00BE1ED7" w:rsidP="00033361">
            <w:pPr>
              <w:pStyle w:val="TableParagraph"/>
              <w:spacing w:before="81" w:line="278" w:lineRule="auto"/>
              <w:ind w:left="16" w:right="90"/>
              <w:rPr>
                <w:b/>
                <w:sz w:val="11"/>
              </w:rPr>
            </w:pPr>
            <w:r>
              <w:rPr>
                <w:b/>
                <w:color w:val="FFFFFF"/>
                <w:w w:val="105"/>
                <w:sz w:val="11"/>
              </w:rPr>
              <w:t>Main sources (characterization)</w:t>
            </w:r>
          </w:p>
        </w:tc>
        <w:tc>
          <w:tcPr>
            <w:tcW w:w="1657" w:type="dxa"/>
            <w:shd w:val="clear" w:color="auto" w:fill="659999"/>
          </w:tcPr>
          <w:p w:rsidR="00BE1ED7" w:rsidRDefault="00BE1ED7" w:rsidP="00033361">
            <w:pPr>
              <w:pStyle w:val="TableParagraph"/>
              <w:spacing w:before="10"/>
              <w:rPr>
                <w:rFonts w:ascii="Times New Roman"/>
                <w:sz w:val="13"/>
              </w:rPr>
            </w:pPr>
          </w:p>
          <w:p w:rsidR="00BE1ED7" w:rsidRDefault="00BE1ED7" w:rsidP="00033361">
            <w:pPr>
              <w:pStyle w:val="TableParagraph"/>
              <w:ind w:left="15"/>
              <w:rPr>
                <w:b/>
                <w:sz w:val="11"/>
              </w:rPr>
            </w:pPr>
            <w:r>
              <w:rPr>
                <w:b/>
                <w:color w:val="FFFFFF"/>
                <w:w w:val="105"/>
                <w:sz w:val="11"/>
              </w:rPr>
              <w:t>Geophysical signals</w:t>
            </w:r>
          </w:p>
        </w:tc>
        <w:tc>
          <w:tcPr>
            <w:tcW w:w="611" w:type="dxa"/>
            <w:shd w:val="clear" w:color="auto" w:fill="659999"/>
          </w:tcPr>
          <w:p w:rsidR="00BE1ED7" w:rsidRDefault="00BE1ED7" w:rsidP="00033361">
            <w:pPr>
              <w:pStyle w:val="TableParagraph"/>
              <w:spacing w:before="4"/>
              <w:ind w:left="14"/>
              <w:rPr>
                <w:b/>
                <w:sz w:val="11"/>
              </w:rPr>
            </w:pPr>
            <w:r>
              <w:rPr>
                <w:b/>
                <w:color w:val="FFFFFF"/>
                <w:w w:val="105"/>
                <w:sz w:val="11"/>
              </w:rPr>
              <w:t>Infrasonic</w:t>
            </w:r>
          </w:p>
          <w:p w:rsidR="00BE1ED7" w:rsidRDefault="00BE1ED7" w:rsidP="00033361">
            <w:pPr>
              <w:pStyle w:val="TableParagraph"/>
              <w:spacing w:before="6" w:line="150" w:lineRule="atLeast"/>
              <w:ind w:left="14" w:right="147"/>
              <w:rPr>
                <w:b/>
                <w:sz w:val="11"/>
              </w:rPr>
            </w:pPr>
            <w:r>
              <w:rPr>
                <w:b/>
                <w:color w:val="FFFFFF"/>
                <w:w w:val="105"/>
                <w:sz w:val="11"/>
              </w:rPr>
              <w:t>pressure (450 m)</w:t>
            </w:r>
          </w:p>
        </w:tc>
        <w:tc>
          <w:tcPr>
            <w:tcW w:w="373" w:type="dxa"/>
            <w:shd w:val="clear" w:color="auto" w:fill="659999"/>
          </w:tcPr>
          <w:p w:rsidR="00BE1ED7" w:rsidRDefault="00BE1ED7" w:rsidP="00033361">
            <w:pPr>
              <w:pStyle w:val="TableParagraph"/>
              <w:spacing w:before="81" w:line="278" w:lineRule="auto"/>
              <w:ind w:left="12" w:right="44"/>
              <w:rPr>
                <w:b/>
                <w:sz w:val="11"/>
              </w:rPr>
            </w:pPr>
            <w:r>
              <w:rPr>
                <w:b/>
                <w:color w:val="FFFFFF"/>
                <w:w w:val="105"/>
                <w:sz w:val="11"/>
              </w:rPr>
              <w:t>Vents group</w:t>
            </w:r>
          </w:p>
        </w:tc>
        <w:tc>
          <w:tcPr>
            <w:tcW w:w="2574" w:type="dxa"/>
            <w:shd w:val="clear" w:color="auto" w:fill="659999"/>
          </w:tcPr>
          <w:p w:rsidR="00BE1ED7" w:rsidRDefault="00BE1ED7" w:rsidP="00033361">
            <w:pPr>
              <w:pStyle w:val="TableParagraph"/>
              <w:spacing w:before="10"/>
              <w:rPr>
                <w:rFonts w:ascii="Times New Roman"/>
                <w:sz w:val="13"/>
              </w:rPr>
            </w:pPr>
          </w:p>
          <w:p w:rsidR="00BE1ED7" w:rsidRDefault="00BE1ED7" w:rsidP="00033361">
            <w:pPr>
              <w:pStyle w:val="TableParagraph"/>
              <w:ind w:left="11"/>
              <w:rPr>
                <w:b/>
                <w:sz w:val="11"/>
              </w:rPr>
            </w:pPr>
            <w:r>
              <w:rPr>
                <w:b/>
                <w:color w:val="FFFFFF"/>
                <w:w w:val="105"/>
                <w:sz w:val="11"/>
              </w:rPr>
              <w:t>Ballistic projectiles</w:t>
            </w:r>
          </w:p>
        </w:tc>
        <w:tc>
          <w:tcPr>
            <w:tcW w:w="714" w:type="dxa"/>
            <w:shd w:val="clear" w:color="auto" w:fill="659999"/>
          </w:tcPr>
          <w:p w:rsidR="00BE1ED7" w:rsidRDefault="00BE1ED7" w:rsidP="00033361">
            <w:pPr>
              <w:pStyle w:val="TableParagraph"/>
              <w:spacing w:before="4" w:line="278" w:lineRule="auto"/>
              <w:ind w:left="10" w:right="96"/>
              <w:rPr>
                <w:b/>
                <w:sz w:val="11"/>
              </w:rPr>
            </w:pPr>
            <w:r>
              <w:rPr>
                <w:b/>
                <w:color w:val="FFFFFF"/>
                <w:w w:val="105"/>
                <w:sz w:val="11"/>
              </w:rPr>
              <w:t>Published surveillance</w:t>
            </w:r>
          </w:p>
          <w:p w:rsidR="00BE1ED7" w:rsidRDefault="00BE1ED7" w:rsidP="00033361">
            <w:pPr>
              <w:pStyle w:val="TableParagraph"/>
              <w:spacing w:line="112" w:lineRule="exact"/>
              <w:ind w:left="10"/>
              <w:rPr>
                <w:b/>
                <w:sz w:val="11"/>
              </w:rPr>
            </w:pPr>
            <w:r>
              <w:rPr>
                <w:b/>
                <w:color w:val="FFFFFF"/>
                <w:w w:val="105"/>
                <w:sz w:val="11"/>
              </w:rPr>
              <w:t>cameras</w:t>
            </w:r>
          </w:p>
        </w:tc>
      </w:tr>
      <w:tr w:rsidR="00BE1ED7" w:rsidRPr="005C3C4C" w:rsidTr="0058335B">
        <w:trPr>
          <w:trHeight w:val="377"/>
          <w:jc w:val="center"/>
        </w:trPr>
        <w:tc>
          <w:tcPr>
            <w:tcW w:w="334" w:type="dxa"/>
          </w:tcPr>
          <w:p w:rsidR="00BE1ED7" w:rsidRPr="00033361" w:rsidRDefault="00BE1ED7" w:rsidP="00033361">
            <w:pPr>
              <w:pStyle w:val="TableParagraph"/>
              <w:spacing w:before="6"/>
              <w:rPr>
                <w:rFonts w:ascii="Times New Roman"/>
                <w:sz w:val="10"/>
                <w:lang w:val="it-IT"/>
              </w:rPr>
            </w:pPr>
          </w:p>
          <w:p w:rsidR="00BE1ED7" w:rsidRDefault="00BE1ED7" w:rsidP="00033361">
            <w:pPr>
              <w:pStyle w:val="TableParagraph"/>
              <w:ind w:right="7"/>
              <w:jc w:val="right"/>
              <w:rPr>
                <w:sz w:val="10"/>
              </w:rPr>
            </w:pPr>
            <w:r>
              <w:rPr>
                <w:sz w:val="10"/>
              </w:rPr>
              <w:t>2023</w:t>
            </w:r>
          </w:p>
        </w:tc>
        <w:tc>
          <w:tcPr>
            <w:tcW w:w="440" w:type="dxa"/>
          </w:tcPr>
          <w:p w:rsidR="00BE1ED7" w:rsidRDefault="00BE1ED7" w:rsidP="00033361">
            <w:pPr>
              <w:pStyle w:val="TableParagraph"/>
              <w:spacing w:before="6"/>
              <w:rPr>
                <w:rFonts w:ascii="Times New Roman"/>
                <w:sz w:val="10"/>
              </w:rPr>
            </w:pPr>
          </w:p>
          <w:p w:rsidR="00BE1ED7" w:rsidRDefault="00BE1ED7" w:rsidP="00033361">
            <w:pPr>
              <w:pStyle w:val="TableParagraph"/>
              <w:ind w:right="6"/>
              <w:jc w:val="right"/>
              <w:rPr>
                <w:sz w:val="10"/>
              </w:rPr>
            </w:pPr>
            <w:r>
              <w:rPr>
                <w:sz w:val="10"/>
              </w:rPr>
              <w:t>12</w:t>
            </w:r>
          </w:p>
        </w:tc>
        <w:tc>
          <w:tcPr>
            <w:tcW w:w="342" w:type="dxa"/>
          </w:tcPr>
          <w:p w:rsidR="00BE1ED7" w:rsidRDefault="00BE1ED7" w:rsidP="00033361">
            <w:pPr>
              <w:pStyle w:val="TableParagraph"/>
              <w:spacing w:before="6"/>
              <w:rPr>
                <w:rFonts w:ascii="Times New Roman"/>
                <w:sz w:val="10"/>
              </w:rPr>
            </w:pPr>
          </w:p>
          <w:p w:rsidR="00BE1ED7" w:rsidRDefault="00BE1ED7" w:rsidP="00033361">
            <w:pPr>
              <w:pStyle w:val="TableParagraph"/>
              <w:ind w:right="8"/>
              <w:jc w:val="right"/>
              <w:rPr>
                <w:sz w:val="10"/>
              </w:rPr>
            </w:pPr>
            <w:r>
              <w:rPr>
                <w:sz w:val="10"/>
              </w:rPr>
              <w:t>14</w:t>
            </w:r>
          </w:p>
        </w:tc>
        <w:tc>
          <w:tcPr>
            <w:tcW w:w="373" w:type="dxa"/>
          </w:tcPr>
          <w:p w:rsidR="00BE1ED7" w:rsidRDefault="00BE1ED7" w:rsidP="00033361">
            <w:pPr>
              <w:pStyle w:val="TableParagraph"/>
              <w:spacing w:before="6"/>
              <w:rPr>
                <w:rFonts w:ascii="Times New Roman"/>
                <w:sz w:val="10"/>
              </w:rPr>
            </w:pPr>
          </w:p>
          <w:p w:rsidR="00BE1ED7" w:rsidRDefault="00BE1ED7" w:rsidP="00033361">
            <w:pPr>
              <w:pStyle w:val="TableParagraph"/>
              <w:ind w:right="6"/>
              <w:jc w:val="right"/>
              <w:rPr>
                <w:sz w:val="10"/>
              </w:rPr>
            </w:pPr>
            <w:r>
              <w:rPr>
                <w:sz w:val="10"/>
              </w:rPr>
              <w:t>13:35</w:t>
            </w:r>
          </w:p>
        </w:tc>
        <w:tc>
          <w:tcPr>
            <w:tcW w:w="1187" w:type="dxa"/>
            <w:shd w:val="clear" w:color="auto" w:fill="FFF3F9"/>
          </w:tcPr>
          <w:p w:rsidR="00BE1ED7" w:rsidRDefault="00BE1ED7" w:rsidP="00033361">
            <w:pPr>
              <w:pStyle w:val="TableParagraph"/>
              <w:spacing w:before="6"/>
              <w:rPr>
                <w:rFonts w:ascii="Times New Roman"/>
                <w:sz w:val="10"/>
              </w:rPr>
            </w:pPr>
          </w:p>
          <w:p w:rsidR="00BE1ED7" w:rsidRDefault="00BE1ED7" w:rsidP="00033361">
            <w:pPr>
              <w:pStyle w:val="TableParagraph"/>
              <w:ind w:left="15"/>
              <w:rPr>
                <w:sz w:val="10"/>
              </w:rPr>
            </w:pPr>
            <w:r>
              <w:rPr>
                <w:w w:val="105"/>
                <w:sz w:val="10"/>
              </w:rPr>
              <w:t>uncertain major explosion</w:t>
            </w:r>
          </w:p>
        </w:tc>
        <w:tc>
          <w:tcPr>
            <w:tcW w:w="990" w:type="dxa"/>
          </w:tcPr>
          <w:p w:rsidR="00BE1ED7" w:rsidRDefault="00BE1ED7" w:rsidP="00033361">
            <w:pPr>
              <w:pStyle w:val="TableParagraph"/>
              <w:spacing w:line="106" w:lineRule="exact"/>
              <w:ind w:left="14"/>
              <w:rPr>
                <w:sz w:val="10"/>
              </w:rPr>
            </w:pPr>
            <w:r>
              <w:rPr>
                <w:w w:val="105"/>
                <w:sz w:val="10"/>
              </w:rPr>
              <w:t>UNIFI‐LGS reports;</w:t>
            </w:r>
          </w:p>
          <w:p w:rsidR="00BE1ED7" w:rsidRDefault="00BE1ED7" w:rsidP="00033361">
            <w:pPr>
              <w:pStyle w:val="TableParagraph"/>
              <w:spacing w:line="140" w:lineRule="atLeast"/>
              <w:ind w:left="14" w:right="101"/>
              <w:rPr>
                <w:sz w:val="10"/>
              </w:rPr>
            </w:pPr>
            <w:r>
              <w:rPr>
                <w:w w:val="105"/>
                <w:sz w:val="10"/>
              </w:rPr>
              <w:t xml:space="preserve">INGV bulletins </w:t>
            </w:r>
            <w:r>
              <w:rPr>
                <w:sz w:val="10"/>
              </w:rPr>
              <w:t>(major explosion)</w:t>
            </w:r>
          </w:p>
        </w:tc>
        <w:tc>
          <w:tcPr>
            <w:tcW w:w="1657" w:type="dxa"/>
            <w:shd w:val="clear" w:color="auto" w:fill="FFF3F9"/>
          </w:tcPr>
          <w:p w:rsidR="00BE1ED7" w:rsidRDefault="00BE1ED7" w:rsidP="00033361">
            <w:pPr>
              <w:pStyle w:val="TableParagraph"/>
              <w:spacing w:line="106" w:lineRule="exact"/>
              <w:ind w:left="12"/>
              <w:rPr>
                <w:sz w:val="10"/>
              </w:rPr>
            </w:pPr>
            <w:r>
              <w:rPr>
                <w:w w:val="105"/>
                <w:sz w:val="10"/>
              </w:rPr>
              <w:t>seismic displacement 0.18 x10^‐4 m</w:t>
            </w:r>
          </w:p>
          <w:p w:rsidR="00BE1ED7" w:rsidRDefault="00BE1ED7" w:rsidP="00033361">
            <w:pPr>
              <w:pStyle w:val="TableParagraph"/>
              <w:spacing w:before="6"/>
              <w:rPr>
                <w:rFonts w:ascii="Times New Roman"/>
                <w:sz w:val="13"/>
              </w:rPr>
            </w:pPr>
          </w:p>
          <w:p w:rsidR="00BE1ED7" w:rsidRDefault="00BE1ED7" w:rsidP="00033361">
            <w:pPr>
              <w:pStyle w:val="TableParagraph"/>
              <w:spacing w:before="1" w:line="95" w:lineRule="exact"/>
              <w:ind w:left="12"/>
              <w:rPr>
                <w:sz w:val="10"/>
              </w:rPr>
            </w:pPr>
            <w:r>
              <w:rPr>
                <w:w w:val="105"/>
                <w:sz w:val="10"/>
              </w:rPr>
              <w:t xml:space="preserve">tilt 1.3 </w:t>
            </w:r>
            <w:proofErr w:type="spellStart"/>
            <w:r>
              <w:rPr>
                <w:w w:val="105"/>
                <w:sz w:val="10"/>
              </w:rPr>
              <w:t>μrad</w:t>
            </w:r>
            <w:proofErr w:type="spellEnd"/>
            <w:r>
              <w:rPr>
                <w:w w:val="105"/>
                <w:sz w:val="10"/>
              </w:rPr>
              <w:t xml:space="preserve"> al </w:t>
            </w:r>
            <w:proofErr w:type="spellStart"/>
            <w:r>
              <w:rPr>
                <w:w w:val="105"/>
                <w:sz w:val="10"/>
              </w:rPr>
              <w:t>tiltmetro</w:t>
            </w:r>
            <w:proofErr w:type="spellEnd"/>
            <w:r>
              <w:rPr>
                <w:w w:val="105"/>
                <w:sz w:val="10"/>
              </w:rPr>
              <w:t xml:space="preserve"> OHO</w:t>
            </w:r>
          </w:p>
        </w:tc>
        <w:tc>
          <w:tcPr>
            <w:tcW w:w="611" w:type="dxa"/>
            <w:shd w:val="clear" w:color="auto" w:fill="FFF3F9"/>
          </w:tcPr>
          <w:p w:rsidR="00BE1ED7" w:rsidRDefault="00BE1ED7" w:rsidP="00033361">
            <w:pPr>
              <w:pStyle w:val="TableParagraph"/>
              <w:spacing w:before="6"/>
              <w:rPr>
                <w:rFonts w:ascii="Times New Roman"/>
                <w:sz w:val="10"/>
              </w:rPr>
            </w:pPr>
          </w:p>
          <w:p w:rsidR="00BE1ED7" w:rsidRDefault="00BE1ED7" w:rsidP="00033361">
            <w:pPr>
              <w:pStyle w:val="TableParagraph"/>
              <w:ind w:left="11"/>
              <w:rPr>
                <w:sz w:val="10"/>
              </w:rPr>
            </w:pPr>
            <w:r>
              <w:rPr>
                <w:w w:val="105"/>
                <w:sz w:val="10"/>
              </w:rPr>
              <w:t>66 Pa</w:t>
            </w:r>
          </w:p>
        </w:tc>
        <w:tc>
          <w:tcPr>
            <w:tcW w:w="373" w:type="dxa"/>
            <w:shd w:val="clear" w:color="auto" w:fill="FFF3F9"/>
          </w:tcPr>
          <w:p w:rsidR="00BE1ED7" w:rsidRDefault="00BE1ED7" w:rsidP="00033361">
            <w:pPr>
              <w:pStyle w:val="TableParagraph"/>
              <w:spacing w:before="6"/>
              <w:rPr>
                <w:rFonts w:ascii="Times New Roman"/>
                <w:sz w:val="10"/>
              </w:rPr>
            </w:pPr>
          </w:p>
          <w:p w:rsidR="00BE1ED7" w:rsidRDefault="00BE1ED7" w:rsidP="00033361">
            <w:pPr>
              <w:pStyle w:val="TableParagraph"/>
              <w:ind w:left="10"/>
              <w:rPr>
                <w:sz w:val="10"/>
              </w:rPr>
            </w:pPr>
            <w:r>
              <w:rPr>
                <w:w w:val="105"/>
                <w:sz w:val="10"/>
              </w:rPr>
              <w:t>CS</w:t>
            </w:r>
          </w:p>
        </w:tc>
        <w:tc>
          <w:tcPr>
            <w:tcW w:w="2574" w:type="dxa"/>
            <w:shd w:val="clear" w:color="auto" w:fill="FFF3F9"/>
          </w:tcPr>
          <w:p w:rsidR="00BE1ED7" w:rsidRDefault="00BE1ED7" w:rsidP="00033361">
            <w:pPr>
              <w:pStyle w:val="TableParagraph"/>
              <w:spacing w:before="51" w:line="273" w:lineRule="auto"/>
              <w:ind w:left="9" w:hanging="1"/>
              <w:rPr>
                <w:sz w:val="10"/>
              </w:rPr>
            </w:pPr>
            <w:r>
              <w:rPr>
                <w:w w:val="105"/>
                <w:sz w:val="10"/>
              </w:rPr>
              <w:t xml:space="preserve">products ejected over 250 m high, mostly fell along </w:t>
            </w:r>
            <w:proofErr w:type="spellStart"/>
            <w:r>
              <w:rPr>
                <w:w w:val="105"/>
                <w:sz w:val="10"/>
              </w:rPr>
              <w:t>Sciara</w:t>
            </w:r>
            <w:proofErr w:type="spellEnd"/>
            <w:r>
              <w:rPr>
                <w:w w:val="105"/>
                <w:sz w:val="10"/>
              </w:rPr>
              <w:t xml:space="preserve"> del </w:t>
            </w:r>
            <w:proofErr w:type="spellStart"/>
            <w:r>
              <w:rPr>
                <w:w w:val="105"/>
                <w:sz w:val="10"/>
              </w:rPr>
              <w:t>fuoco</w:t>
            </w:r>
            <w:proofErr w:type="spellEnd"/>
            <w:r>
              <w:rPr>
                <w:w w:val="105"/>
                <w:sz w:val="10"/>
              </w:rPr>
              <w:t xml:space="preserve"> and rolled to the </w:t>
            </w:r>
            <w:proofErr w:type="spellStart"/>
            <w:r>
              <w:rPr>
                <w:w w:val="105"/>
                <w:sz w:val="10"/>
              </w:rPr>
              <w:t>coastilne</w:t>
            </w:r>
            <w:proofErr w:type="spellEnd"/>
            <w:r>
              <w:rPr>
                <w:w w:val="105"/>
                <w:sz w:val="10"/>
              </w:rPr>
              <w:t xml:space="preserve"> in ca. 1 min</w:t>
            </w:r>
          </w:p>
        </w:tc>
        <w:tc>
          <w:tcPr>
            <w:tcW w:w="714" w:type="dxa"/>
          </w:tcPr>
          <w:p w:rsidR="00BE1ED7" w:rsidRPr="00033361" w:rsidRDefault="00BE1ED7" w:rsidP="00033361">
            <w:pPr>
              <w:pStyle w:val="TableParagraph"/>
              <w:spacing w:before="51"/>
              <w:ind w:left="8"/>
              <w:rPr>
                <w:sz w:val="10"/>
                <w:lang w:val="it-IT"/>
              </w:rPr>
            </w:pPr>
            <w:r w:rsidRPr="00033361">
              <w:rPr>
                <w:w w:val="105"/>
                <w:sz w:val="10"/>
                <w:lang w:val="it-IT"/>
              </w:rPr>
              <w:t>Punta dei Corvi</w:t>
            </w:r>
          </w:p>
          <w:p w:rsidR="00BE1ED7" w:rsidRPr="00033361" w:rsidRDefault="00BE1ED7" w:rsidP="00033361">
            <w:pPr>
              <w:pStyle w:val="TableParagraph"/>
              <w:spacing w:before="17"/>
              <w:ind w:left="8"/>
              <w:rPr>
                <w:sz w:val="10"/>
                <w:lang w:val="it-IT"/>
              </w:rPr>
            </w:pPr>
            <w:r w:rsidRPr="00033361">
              <w:rPr>
                <w:w w:val="105"/>
                <w:sz w:val="10"/>
                <w:lang w:val="it-IT"/>
              </w:rPr>
              <w:t>&lt; 100 m asl</w:t>
            </w:r>
          </w:p>
        </w:tc>
      </w:tr>
      <w:tr w:rsidR="00BE1ED7" w:rsidTr="0058335B">
        <w:trPr>
          <w:trHeight w:val="925"/>
          <w:jc w:val="center"/>
        </w:trPr>
        <w:tc>
          <w:tcPr>
            <w:tcW w:w="334" w:type="dxa"/>
          </w:tcPr>
          <w:p w:rsidR="00BE1ED7" w:rsidRPr="00033361" w:rsidRDefault="00BE1ED7" w:rsidP="00033361">
            <w:pPr>
              <w:pStyle w:val="TableParagraph"/>
              <w:rPr>
                <w:rFonts w:ascii="Times New Roman"/>
                <w:sz w:val="10"/>
                <w:lang w:val="it-IT"/>
              </w:rPr>
            </w:pPr>
          </w:p>
          <w:p w:rsidR="00BE1ED7" w:rsidRPr="00033361" w:rsidRDefault="00BE1ED7" w:rsidP="00033361">
            <w:pPr>
              <w:pStyle w:val="TableParagraph"/>
              <w:rPr>
                <w:rFonts w:ascii="Times New Roman"/>
                <w:sz w:val="10"/>
                <w:lang w:val="it-IT"/>
              </w:rPr>
            </w:pPr>
          </w:p>
          <w:p w:rsidR="00BE1ED7" w:rsidRPr="00033361" w:rsidRDefault="00BE1ED7" w:rsidP="00033361">
            <w:pPr>
              <w:pStyle w:val="TableParagraph"/>
              <w:spacing w:before="5"/>
              <w:rPr>
                <w:rFonts w:ascii="Times New Roman"/>
                <w:sz w:val="14"/>
                <w:lang w:val="it-IT"/>
              </w:rPr>
            </w:pPr>
          </w:p>
          <w:p w:rsidR="00BE1ED7" w:rsidRDefault="00BE1ED7" w:rsidP="00033361">
            <w:pPr>
              <w:pStyle w:val="TableParagraph"/>
              <w:ind w:right="7"/>
              <w:jc w:val="right"/>
              <w:rPr>
                <w:sz w:val="10"/>
              </w:rPr>
            </w:pPr>
            <w:r>
              <w:rPr>
                <w:sz w:val="10"/>
              </w:rPr>
              <w:t>2023</w:t>
            </w:r>
          </w:p>
        </w:tc>
        <w:tc>
          <w:tcPr>
            <w:tcW w:w="440" w:type="dxa"/>
          </w:tcPr>
          <w:p w:rsidR="00BE1ED7" w:rsidRDefault="00BE1ED7" w:rsidP="00033361">
            <w:pPr>
              <w:pStyle w:val="TableParagraph"/>
              <w:rPr>
                <w:rFonts w:ascii="Times New Roman"/>
                <w:sz w:val="10"/>
              </w:rPr>
            </w:pPr>
          </w:p>
          <w:p w:rsidR="00BE1ED7" w:rsidRDefault="00BE1ED7" w:rsidP="00033361">
            <w:pPr>
              <w:pStyle w:val="TableParagraph"/>
              <w:rPr>
                <w:rFonts w:ascii="Times New Roman"/>
                <w:sz w:val="10"/>
              </w:rPr>
            </w:pPr>
          </w:p>
          <w:p w:rsidR="00BE1ED7" w:rsidRDefault="00BE1ED7" w:rsidP="00033361">
            <w:pPr>
              <w:pStyle w:val="TableParagraph"/>
              <w:spacing w:before="5"/>
              <w:rPr>
                <w:rFonts w:ascii="Times New Roman"/>
                <w:sz w:val="14"/>
              </w:rPr>
            </w:pPr>
          </w:p>
          <w:p w:rsidR="00BE1ED7" w:rsidRDefault="00BE1ED7" w:rsidP="00033361">
            <w:pPr>
              <w:pStyle w:val="TableParagraph"/>
              <w:ind w:right="8"/>
              <w:jc w:val="right"/>
              <w:rPr>
                <w:sz w:val="10"/>
              </w:rPr>
            </w:pPr>
            <w:r>
              <w:rPr>
                <w:sz w:val="10"/>
              </w:rPr>
              <w:t>12</w:t>
            </w:r>
          </w:p>
        </w:tc>
        <w:tc>
          <w:tcPr>
            <w:tcW w:w="342" w:type="dxa"/>
          </w:tcPr>
          <w:p w:rsidR="00BE1ED7" w:rsidRDefault="00BE1ED7" w:rsidP="00033361">
            <w:pPr>
              <w:pStyle w:val="TableParagraph"/>
              <w:rPr>
                <w:rFonts w:ascii="Times New Roman"/>
                <w:sz w:val="10"/>
              </w:rPr>
            </w:pPr>
          </w:p>
          <w:p w:rsidR="00BE1ED7" w:rsidRDefault="00BE1ED7" w:rsidP="00033361">
            <w:pPr>
              <w:pStyle w:val="TableParagraph"/>
              <w:rPr>
                <w:rFonts w:ascii="Times New Roman"/>
                <w:sz w:val="10"/>
              </w:rPr>
            </w:pPr>
          </w:p>
          <w:p w:rsidR="00BE1ED7" w:rsidRDefault="00BE1ED7" w:rsidP="00033361">
            <w:pPr>
              <w:pStyle w:val="TableParagraph"/>
              <w:spacing w:before="5"/>
              <w:rPr>
                <w:rFonts w:ascii="Times New Roman"/>
                <w:sz w:val="14"/>
              </w:rPr>
            </w:pPr>
          </w:p>
          <w:p w:rsidR="00BE1ED7" w:rsidRDefault="00BE1ED7" w:rsidP="00033361">
            <w:pPr>
              <w:pStyle w:val="TableParagraph"/>
              <w:ind w:right="8"/>
              <w:jc w:val="right"/>
              <w:rPr>
                <w:sz w:val="10"/>
              </w:rPr>
            </w:pPr>
            <w:r>
              <w:rPr>
                <w:sz w:val="10"/>
              </w:rPr>
              <w:t>30</w:t>
            </w:r>
          </w:p>
        </w:tc>
        <w:tc>
          <w:tcPr>
            <w:tcW w:w="373" w:type="dxa"/>
          </w:tcPr>
          <w:p w:rsidR="00BE1ED7" w:rsidRDefault="00BE1ED7" w:rsidP="00033361">
            <w:pPr>
              <w:pStyle w:val="TableParagraph"/>
              <w:rPr>
                <w:rFonts w:ascii="Times New Roman"/>
                <w:sz w:val="10"/>
              </w:rPr>
            </w:pPr>
          </w:p>
          <w:p w:rsidR="00BE1ED7" w:rsidRDefault="00BE1ED7" w:rsidP="00033361">
            <w:pPr>
              <w:pStyle w:val="TableParagraph"/>
              <w:rPr>
                <w:rFonts w:ascii="Times New Roman"/>
                <w:sz w:val="10"/>
              </w:rPr>
            </w:pPr>
          </w:p>
          <w:p w:rsidR="00BE1ED7" w:rsidRDefault="00BE1ED7" w:rsidP="00033361">
            <w:pPr>
              <w:pStyle w:val="TableParagraph"/>
              <w:spacing w:before="5"/>
              <w:rPr>
                <w:rFonts w:ascii="Times New Roman"/>
                <w:sz w:val="14"/>
              </w:rPr>
            </w:pPr>
          </w:p>
          <w:p w:rsidR="00BE1ED7" w:rsidRDefault="00BE1ED7" w:rsidP="00033361">
            <w:pPr>
              <w:pStyle w:val="TableParagraph"/>
              <w:ind w:right="6"/>
              <w:jc w:val="right"/>
              <w:rPr>
                <w:sz w:val="10"/>
              </w:rPr>
            </w:pPr>
            <w:r>
              <w:rPr>
                <w:sz w:val="10"/>
              </w:rPr>
              <w:t>21:53</w:t>
            </w:r>
          </w:p>
        </w:tc>
        <w:tc>
          <w:tcPr>
            <w:tcW w:w="1187" w:type="dxa"/>
            <w:shd w:val="clear" w:color="auto" w:fill="FFD9EF"/>
          </w:tcPr>
          <w:p w:rsidR="00BE1ED7" w:rsidRDefault="00BE1ED7" w:rsidP="00033361">
            <w:pPr>
              <w:pStyle w:val="TableParagraph"/>
              <w:rPr>
                <w:rFonts w:ascii="Times New Roman"/>
                <w:sz w:val="10"/>
              </w:rPr>
            </w:pPr>
          </w:p>
          <w:p w:rsidR="00BE1ED7" w:rsidRDefault="00BE1ED7" w:rsidP="00033361">
            <w:pPr>
              <w:pStyle w:val="TableParagraph"/>
              <w:rPr>
                <w:rFonts w:ascii="Times New Roman"/>
                <w:sz w:val="10"/>
              </w:rPr>
            </w:pPr>
          </w:p>
          <w:p w:rsidR="00BE1ED7" w:rsidRDefault="00BE1ED7" w:rsidP="00033361">
            <w:pPr>
              <w:pStyle w:val="TableParagraph"/>
              <w:spacing w:before="5"/>
              <w:rPr>
                <w:rFonts w:ascii="Times New Roman"/>
                <w:sz w:val="14"/>
              </w:rPr>
            </w:pPr>
          </w:p>
          <w:p w:rsidR="00BE1ED7" w:rsidRDefault="00BE1ED7" w:rsidP="00033361">
            <w:pPr>
              <w:pStyle w:val="TableParagraph"/>
              <w:ind w:left="15"/>
              <w:rPr>
                <w:sz w:val="10"/>
              </w:rPr>
            </w:pPr>
            <w:r>
              <w:rPr>
                <w:w w:val="105"/>
                <w:sz w:val="10"/>
              </w:rPr>
              <w:t>major explosion</w:t>
            </w:r>
          </w:p>
        </w:tc>
        <w:tc>
          <w:tcPr>
            <w:tcW w:w="990" w:type="dxa"/>
          </w:tcPr>
          <w:p w:rsidR="00BE1ED7" w:rsidRDefault="00BE1ED7" w:rsidP="00033361">
            <w:pPr>
              <w:pStyle w:val="TableParagraph"/>
              <w:rPr>
                <w:rFonts w:ascii="Times New Roman"/>
                <w:sz w:val="10"/>
              </w:rPr>
            </w:pPr>
          </w:p>
          <w:p w:rsidR="00BE1ED7" w:rsidRDefault="00BE1ED7" w:rsidP="00033361">
            <w:pPr>
              <w:pStyle w:val="TableParagraph"/>
              <w:spacing w:before="4"/>
              <w:rPr>
                <w:rFonts w:ascii="Times New Roman"/>
                <w:sz w:val="12"/>
              </w:rPr>
            </w:pPr>
          </w:p>
          <w:p w:rsidR="00BE1ED7" w:rsidRDefault="00BE1ED7" w:rsidP="00033361">
            <w:pPr>
              <w:pStyle w:val="TableParagraph"/>
              <w:spacing w:line="273" w:lineRule="auto"/>
              <w:ind w:left="14" w:right="90"/>
              <w:rPr>
                <w:sz w:val="10"/>
              </w:rPr>
            </w:pPr>
            <w:r>
              <w:rPr>
                <w:sz w:val="10"/>
              </w:rPr>
              <w:t xml:space="preserve">UNIFI‐LGS reports; </w:t>
            </w:r>
            <w:r>
              <w:rPr>
                <w:w w:val="105"/>
                <w:sz w:val="10"/>
              </w:rPr>
              <w:t>INGV bulletins (major explosion)</w:t>
            </w:r>
          </w:p>
        </w:tc>
        <w:tc>
          <w:tcPr>
            <w:tcW w:w="1657" w:type="dxa"/>
            <w:shd w:val="clear" w:color="auto" w:fill="FFD9EF"/>
          </w:tcPr>
          <w:p w:rsidR="00BE1ED7" w:rsidRDefault="00BE1ED7" w:rsidP="00033361">
            <w:pPr>
              <w:pStyle w:val="TableParagraph"/>
              <w:spacing w:before="29" w:line="280" w:lineRule="atLeast"/>
              <w:ind w:left="12" w:hanging="1"/>
              <w:rPr>
                <w:sz w:val="10"/>
              </w:rPr>
            </w:pPr>
            <w:r>
              <w:rPr>
                <w:w w:val="105"/>
                <w:sz w:val="10"/>
              </w:rPr>
              <w:t xml:space="preserve">seismic displacement 0.17 x10^‐4 m tilt 2.4 </w:t>
            </w:r>
            <w:proofErr w:type="spellStart"/>
            <w:r>
              <w:rPr>
                <w:w w:val="105"/>
                <w:sz w:val="10"/>
              </w:rPr>
              <w:t>μrad</w:t>
            </w:r>
            <w:proofErr w:type="spellEnd"/>
            <w:r>
              <w:rPr>
                <w:w w:val="105"/>
                <w:sz w:val="10"/>
              </w:rPr>
              <w:t xml:space="preserve"> al </w:t>
            </w:r>
            <w:proofErr w:type="spellStart"/>
            <w:r>
              <w:rPr>
                <w:w w:val="105"/>
                <w:sz w:val="10"/>
              </w:rPr>
              <w:t>tiltmetro</w:t>
            </w:r>
            <w:proofErr w:type="spellEnd"/>
            <w:r>
              <w:rPr>
                <w:w w:val="105"/>
                <w:sz w:val="10"/>
              </w:rPr>
              <w:t xml:space="preserve"> OHO</w:t>
            </w:r>
          </w:p>
          <w:p w:rsidR="00BE1ED7" w:rsidRDefault="00BE1ED7" w:rsidP="00033361">
            <w:pPr>
              <w:pStyle w:val="TableParagraph"/>
              <w:spacing w:before="16"/>
              <w:ind w:left="12"/>
              <w:rPr>
                <w:sz w:val="10"/>
              </w:rPr>
            </w:pPr>
            <w:r>
              <w:rPr>
                <w:w w:val="105"/>
                <w:sz w:val="10"/>
              </w:rPr>
              <w:t xml:space="preserve">0.4 </w:t>
            </w:r>
            <w:proofErr w:type="spellStart"/>
            <w:r>
              <w:rPr>
                <w:w w:val="105"/>
                <w:sz w:val="10"/>
              </w:rPr>
              <w:t>μrad</w:t>
            </w:r>
            <w:proofErr w:type="spellEnd"/>
            <w:r>
              <w:rPr>
                <w:w w:val="105"/>
                <w:sz w:val="10"/>
              </w:rPr>
              <w:t xml:space="preserve"> at </w:t>
            </w:r>
            <w:proofErr w:type="spellStart"/>
            <w:r>
              <w:rPr>
                <w:w w:val="105"/>
                <w:sz w:val="10"/>
              </w:rPr>
              <w:t>Timpone</w:t>
            </w:r>
            <w:proofErr w:type="spellEnd"/>
            <w:r>
              <w:rPr>
                <w:w w:val="105"/>
                <w:sz w:val="10"/>
              </w:rPr>
              <w:t xml:space="preserve"> del </w:t>
            </w:r>
            <w:proofErr w:type="spellStart"/>
            <w:r>
              <w:rPr>
                <w:w w:val="105"/>
                <w:sz w:val="10"/>
              </w:rPr>
              <w:t>Fuoco</w:t>
            </w:r>
            <w:proofErr w:type="spellEnd"/>
          </w:p>
        </w:tc>
        <w:tc>
          <w:tcPr>
            <w:tcW w:w="611" w:type="dxa"/>
            <w:shd w:val="clear" w:color="auto" w:fill="FFD9EF"/>
          </w:tcPr>
          <w:p w:rsidR="00BE1ED7" w:rsidRDefault="00BE1ED7" w:rsidP="00033361">
            <w:pPr>
              <w:pStyle w:val="TableParagraph"/>
              <w:rPr>
                <w:rFonts w:ascii="Times New Roman"/>
                <w:sz w:val="10"/>
              </w:rPr>
            </w:pPr>
          </w:p>
          <w:p w:rsidR="00BE1ED7" w:rsidRDefault="00BE1ED7" w:rsidP="00033361">
            <w:pPr>
              <w:pStyle w:val="TableParagraph"/>
              <w:rPr>
                <w:rFonts w:ascii="Times New Roman"/>
                <w:sz w:val="10"/>
              </w:rPr>
            </w:pPr>
          </w:p>
          <w:p w:rsidR="00BE1ED7" w:rsidRDefault="00BE1ED7" w:rsidP="00033361">
            <w:pPr>
              <w:pStyle w:val="TableParagraph"/>
              <w:spacing w:before="5"/>
              <w:rPr>
                <w:rFonts w:ascii="Times New Roman"/>
                <w:sz w:val="14"/>
              </w:rPr>
            </w:pPr>
          </w:p>
          <w:p w:rsidR="00BE1ED7" w:rsidRDefault="00BE1ED7" w:rsidP="00033361">
            <w:pPr>
              <w:pStyle w:val="TableParagraph"/>
              <w:ind w:left="11"/>
              <w:rPr>
                <w:sz w:val="10"/>
              </w:rPr>
            </w:pPr>
            <w:r>
              <w:rPr>
                <w:w w:val="105"/>
                <w:sz w:val="10"/>
              </w:rPr>
              <w:t>not reported</w:t>
            </w:r>
          </w:p>
        </w:tc>
        <w:tc>
          <w:tcPr>
            <w:tcW w:w="373" w:type="dxa"/>
            <w:shd w:val="clear" w:color="auto" w:fill="FFD9EF"/>
          </w:tcPr>
          <w:p w:rsidR="00BE1ED7" w:rsidRDefault="00BE1ED7" w:rsidP="00033361">
            <w:pPr>
              <w:pStyle w:val="TableParagraph"/>
              <w:rPr>
                <w:rFonts w:ascii="Times New Roman"/>
                <w:sz w:val="10"/>
              </w:rPr>
            </w:pPr>
          </w:p>
          <w:p w:rsidR="00BE1ED7" w:rsidRDefault="00BE1ED7" w:rsidP="00033361">
            <w:pPr>
              <w:pStyle w:val="TableParagraph"/>
              <w:rPr>
                <w:rFonts w:ascii="Times New Roman"/>
                <w:sz w:val="10"/>
              </w:rPr>
            </w:pPr>
          </w:p>
          <w:p w:rsidR="00BE1ED7" w:rsidRDefault="00BE1ED7" w:rsidP="00033361">
            <w:pPr>
              <w:pStyle w:val="TableParagraph"/>
              <w:spacing w:before="5"/>
              <w:rPr>
                <w:rFonts w:ascii="Times New Roman"/>
                <w:sz w:val="14"/>
              </w:rPr>
            </w:pPr>
          </w:p>
          <w:p w:rsidR="00BE1ED7" w:rsidRDefault="00BE1ED7" w:rsidP="00033361">
            <w:pPr>
              <w:pStyle w:val="TableParagraph"/>
              <w:ind w:left="10"/>
              <w:rPr>
                <w:sz w:val="10"/>
              </w:rPr>
            </w:pPr>
            <w:r>
              <w:rPr>
                <w:w w:val="105"/>
                <w:sz w:val="10"/>
              </w:rPr>
              <w:t>CS</w:t>
            </w:r>
          </w:p>
        </w:tc>
        <w:tc>
          <w:tcPr>
            <w:tcW w:w="2574" w:type="dxa"/>
            <w:shd w:val="clear" w:color="auto" w:fill="FFD9EF"/>
          </w:tcPr>
          <w:p w:rsidR="00BE1ED7" w:rsidRDefault="00BE1ED7" w:rsidP="00033361">
            <w:pPr>
              <w:pStyle w:val="TableParagraph"/>
              <w:spacing w:line="103" w:lineRule="exact"/>
              <w:ind w:left="9"/>
              <w:rPr>
                <w:sz w:val="10"/>
              </w:rPr>
            </w:pPr>
            <w:proofErr w:type="spellStart"/>
            <w:r>
              <w:rPr>
                <w:w w:val="105"/>
                <w:sz w:val="10"/>
              </w:rPr>
              <w:t>significative</w:t>
            </w:r>
            <w:proofErr w:type="spellEnd"/>
            <w:r>
              <w:rPr>
                <w:w w:val="105"/>
                <w:sz w:val="10"/>
              </w:rPr>
              <w:t xml:space="preserve"> emission of coarse products that fell towards</w:t>
            </w:r>
          </w:p>
          <w:p w:rsidR="00BE1ED7" w:rsidRDefault="00BE1ED7" w:rsidP="00033361">
            <w:pPr>
              <w:pStyle w:val="TableParagraph"/>
              <w:spacing w:before="17"/>
              <w:ind w:left="9"/>
              <w:rPr>
                <w:sz w:val="10"/>
              </w:rPr>
            </w:pPr>
            <w:proofErr w:type="spellStart"/>
            <w:r>
              <w:rPr>
                <w:w w:val="105"/>
                <w:sz w:val="10"/>
              </w:rPr>
              <w:t>Sciara</w:t>
            </w:r>
            <w:proofErr w:type="spellEnd"/>
            <w:r>
              <w:rPr>
                <w:w w:val="105"/>
                <w:sz w:val="10"/>
              </w:rPr>
              <w:t xml:space="preserve"> del </w:t>
            </w:r>
            <w:proofErr w:type="spellStart"/>
            <w:r>
              <w:rPr>
                <w:w w:val="105"/>
                <w:sz w:val="10"/>
              </w:rPr>
              <w:t>Fuoco</w:t>
            </w:r>
            <w:proofErr w:type="spellEnd"/>
          </w:p>
          <w:p w:rsidR="00BE1ED7" w:rsidRDefault="00BE1ED7" w:rsidP="00033361">
            <w:pPr>
              <w:pStyle w:val="TableParagraph"/>
              <w:spacing w:before="6"/>
              <w:rPr>
                <w:rFonts w:ascii="Times New Roman"/>
                <w:sz w:val="13"/>
              </w:rPr>
            </w:pPr>
          </w:p>
          <w:p w:rsidR="00BE1ED7" w:rsidRDefault="00BE1ED7" w:rsidP="00033361">
            <w:pPr>
              <w:pStyle w:val="TableParagraph"/>
              <w:spacing w:before="1" w:line="273" w:lineRule="auto"/>
              <w:ind w:left="9" w:hanging="1"/>
              <w:rPr>
                <w:sz w:val="10"/>
              </w:rPr>
            </w:pPr>
            <w:r>
              <w:rPr>
                <w:w w:val="105"/>
                <w:sz w:val="10"/>
              </w:rPr>
              <w:t>widespread ballistics fell outside crater terrace and had a significant vertical direction</w:t>
            </w:r>
          </w:p>
          <w:p w:rsidR="00BE1ED7" w:rsidRDefault="00BE1ED7" w:rsidP="00033361">
            <w:pPr>
              <w:pStyle w:val="TableParagraph"/>
              <w:spacing w:before="1"/>
              <w:rPr>
                <w:rFonts w:ascii="Times New Roman"/>
                <w:sz w:val="12"/>
              </w:rPr>
            </w:pPr>
          </w:p>
          <w:p w:rsidR="00BE1ED7" w:rsidRDefault="00BE1ED7" w:rsidP="00033361">
            <w:pPr>
              <w:pStyle w:val="TableParagraph"/>
              <w:spacing w:line="88" w:lineRule="exact"/>
              <w:ind w:left="9"/>
              <w:rPr>
                <w:sz w:val="10"/>
              </w:rPr>
            </w:pPr>
            <w:r>
              <w:rPr>
                <w:w w:val="105"/>
                <w:sz w:val="10"/>
              </w:rPr>
              <w:t>six explosions, total duration 4 min and 30s</w:t>
            </w:r>
          </w:p>
        </w:tc>
        <w:tc>
          <w:tcPr>
            <w:tcW w:w="714" w:type="dxa"/>
          </w:tcPr>
          <w:p w:rsidR="00BE1ED7" w:rsidRDefault="00BE1ED7" w:rsidP="00033361">
            <w:pPr>
              <w:pStyle w:val="TableParagraph"/>
              <w:rPr>
                <w:rFonts w:ascii="Times New Roman"/>
                <w:sz w:val="10"/>
              </w:rPr>
            </w:pPr>
          </w:p>
          <w:p w:rsidR="00BE1ED7" w:rsidRDefault="00BE1ED7" w:rsidP="00033361">
            <w:pPr>
              <w:pStyle w:val="TableParagraph"/>
              <w:rPr>
                <w:rFonts w:ascii="Times New Roman"/>
                <w:sz w:val="10"/>
              </w:rPr>
            </w:pPr>
          </w:p>
          <w:p w:rsidR="00BE1ED7" w:rsidRDefault="00BE1ED7" w:rsidP="00033361">
            <w:pPr>
              <w:pStyle w:val="TableParagraph"/>
              <w:spacing w:before="4"/>
              <w:rPr>
                <w:rFonts w:ascii="Times New Roman"/>
                <w:sz w:val="8"/>
              </w:rPr>
            </w:pPr>
          </w:p>
          <w:p w:rsidR="00BE1ED7" w:rsidRDefault="00BE1ED7" w:rsidP="00033361">
            <w:pPr>
              <w:pStyle w:val="TableParagraph"/>
              <w:spacing w:before="1" w:line="273" w:lineRule="auto"/>
              <w:ind w:left="8" w:right="50"/>
              <w:rPr>
                <w:sz w:val="10"/>
              </w:rPr>
            </w:pPr>
            <w:proofErr w:type="spellStart"/>
            <w:r>
              <w:rPr>
                <w:w w:val="105"/>
                <w:sz w:val="10"/>
              </w:rPr>
              <w:t>Labronzo</w:t>
            </w:r>
            <w:proofErr w:type="spellEnd"/>
            <w:r>
              <w:rPr>
                <w:w w:val="105"/>
                <w:sz w:val="10"/>
              </w:rPr>
              <w:t xml:space="preserve"> 190 m </w:t>
            </w:r>
            <w:proofErr w:type="spellStart"/>
            <w:r>
              <w:rPr>
                <w:w w:val="105"/>
                <w:sz w:val="10"/>
              </w:rPr>
              <w:t>asl</w:t>
            </w:r>
            <w:proofErr w:type="spellEnd"/>
          </w:p>
        </w:tc>
      </w:tr>
      <w:tr w:rsidR="00BE1ED7" w:rsidTr="0058335B">
        <w:trPr>
          <w:trHeight w:val="661"/>
          <w:jc w:val="center"/>
        </w:trPr>
        <w:tc>
          <w:tcPr>
            <w:tcW w:w="334" w:type="dxa"/>
          </w:tcPr>
          <w:p w:rsidR="00BE1ED7" w:rsidRDefault="00BE1ED7" w:rsidP="00033361">
            <w:pPr>
              <w:pStyle w:val="TableParagraph"/>
              <w:rPr>
                <w:rFonts w:ascii="Times New Roman"/>
                <w:sz w:val="10"/>
              </w:rPr>
            </w:pPr>
          </w:p>
          <w:p w:rsidR="00BE1ED7" w:rsidRDefault="00BE1ED7" w:rsidP="00033361">
            <w:pPr>
              <w:pStyle w:val="TableParagraph"/>
              <w:spacing w:before="6"/>
              <w:rPr>
                <w:rFonts w:ascii="Times New Roman"/>
                <w:sz w:val="13"/>
              </w:rPr>
            </w:pPr>
          </w:p>
          <w:p w:rsidR="00BE1ED7" w:rsidRDefault="00BE1ED7" w:rsidP="00033361">
            <w:pPr>
              <w:pStyle w:val="TableParagraph"/>
              <w:ind w:right="7"/>
              <w:jc w:val="right"/>
              <w:rPr>
                <w:sz w:val="10"/>
              </w:rPr>
            </w:pPr>
            <w:r>
              <w:rPr>
                <w:sz w:val="10"/>
              </w:rPr>
              <w:t>2024</w:t>
            </w:r>
          </w:p>
        </w:tc>
        <w:tc>
          <w:tcPr>
            <w:tcW w:w="440" w:type="dxa"/>
          </w:tcPr>
          <w:p w:rsidR="00BE1ED7" w:rsidRDefault="00BE1ED7" w:rsidP="00033361">
            <w:pPr>
              <w:pStyle w:val="TableParagraph"/>
              <w:rPr>
                <w:rFonts w:ascii="Times New Roman"/>
                <w:sz w:val="10"/>
              </w:rPr>
            </w:pPr>
          </w:p>
          <w:p w:rsidR="00BE1ED7" w:rsidRDefault="00BE1ED7" w:rsidP="00033361">
            <w:pPr>
              <w:pStyle w:val="TableParagraph"/>
              <w:spacing w:before="6"/>
              <w:rPr>
                <w:rFonts w:ascii="Times New Roman"/>
                <w:sz w:val="13"/>
              </w:rPr>
            </w:pPr>
          </w:p>
          <w:p w:rsidR="00BE1ED7" w:rsidRDefault="00BE1ED7" w:rsidP="00033361">
            <w:pPr>
              <w:pStyle w:val="TableParagraph"/>
              <w:ind w:right="6"/>
              <w:jc w:val="right"/>
              <w:rPr>
                <w:sz w:val="10"/>
              </w:rPr>
            </w:pPr>
            <w:r>
              <w:rPr>
                <w:w w:val="103"/>
                <w:sz w:val="10"/>
              </w:rPr>
              <w:t>2</w:t>
            </w:r>
          </w:p>
        </w:tc>
        <w:tc>
          <w:tcPr>
            <w:tcW w:w="342" w:type="dxa"/>
          </w:tcPr>
          <w:p w:rsidR="00BE1ED7" w:rsidRDefault="00BE1ED7" w:rsidP="00033361">
            <w:pPr>
              <w:pStyle w:val="TableParagraph"/>
              <w:rPr>
                <w:rFonts w:ascii="Times New Roman"/>
                <w:sz w:val="10"/>
              </w:rPr>
            </w:pPr>
          </w:p>
          <w:p w:rsidR="00BE1ED7" w:rsidRDefault="00BE1ED7" w:rsidP="00033361">
            <w:pPr>
              <w:pStyle w:val="TableParagraph"/>
              <w:spacing w:before="6"/>
              <w:rPr>
                <w:rFonts w:ascii="Times New Roman"/>
                <w:sz w:val="13"/>
              </w:rPr>
            </w:pPr>
          </w:p>
          <w:p w:rsidR="00BE1ED7" w:rsidRDefault="00BE1ED7" w:rsidP="00033361">
            <w:pPr>
              <w:pStyle w:val="TableParagraph"/>
              <w:ind w:right="7"/>
              <w:jc w:val="right"/>
              <w:rPr>
                <w:sz w:val="10"/>
              </w:rPr>
            </w:pPr>
            <w:r>
              <w:rPr>
                <w:w w:val="103"/>
                <w:sz w:val="10"/>
              </w:rPr>
              <w:t>9</w:t>
            </w:r>
          </w:p>
        </w:tc>
        <w:tc>
          <w:tcPr>
            <w:tcW w:w="373" w:type="dxa"/>
          </w:tcPr>
          <w:p w:rsidR="00BE1ED7" w:rsidRDefault="00BE1ED7" w:rsidP="00033361">
            <w:pPr>
              <w:pStyle w:val="TableParagraph"/>
              <w:rPr>
                <w:rFonts w:ascii="Times New Roman"/>
                <w:sz w:val="10"/>
              </w:rPr>
            </w:pPr>
          </w:p>
          <w:p w:rsidR="00BE1ED7" w:rsidRDefault="00BE1ED7" w:rsidP="00033361">
            <w:pPr>
              <w:pStyle w:val="TableParagraph"/>
              <w:spacing w:before="6"/>
              <w:rPr>
                <w:rFonts w:ascii="Times New Roman"/>
                <w:sz w:val="13"/>
              </w:rPr>
            </w:pPr>
          </w:p>
          <w:p w:rsidR="00BE1ED7" w:rsidRDefault="00BE1ED7" w:rsidP="00033361">
            <w:pPr>
              <w:pStyle w:val="TableParagraph"/>
              <w:ind w:right="6"/>
              <w:jc w:val="right"/>
              <w:rPr>
                <w:sz w:val="10"/>
              </w:rPr>
            </w:pPr>
            <w:r>
              <w:rPr>
                <w:sz w:val="10"/>
              </w:rPr>
              <w:t>19:55</w:t>
            </w:r>
          </w:p>
        </w:tc>
        <w:tc>
          <w:tcPr>
            <w:tcW w:w="1187" w:type="dxa"/>
            <w:shd w:val="clear" w:color="auto" w:fill="FFF3F9"/>
          </w:tcPr>
          <w:p w:rsidR="00BE1ED7" w:rsidRDefault="00BE1ED7" w:rsidP="00033361">
            <w:pPr>
              <w:pStyle w:val="TableParagraph"/>
              <w:rPr>
                <w:rFonts w:ascii="Times New Roman"/>
                <w:sz w:val="10"/>
              </w:rPr>
            </w:pPr>
          </w:p>
          <w:p w:rsidR="00BE1ED7" w:rsidRDefault="00BE1ED7" w:rsidP="00033361">
            <w:pPr>
              <w:pStyle w:val="TableParagraph"/>
              <w:spacing w:before="6"/>
              <w:rPr>
                <w:rFonts w:ascii="Times New Roman"/>
                <w:sz w:val="13"/>
              </w:rPr>
            </w:pPr>
          </w:p>
          <w:p w:rsidR="00BE1ED7" w:rsidRDefault="00BE1ED7" w:rsidP="00033361">
            <w:pPr>
              <w:pStyle w:val="TableParagraph"/>
              <w:ind w:left="15"/>
              <w:rPr>
                <w:sz w:val="10"/>
              </w:rPr>
            </w:pPr>
            <w:r>
              <w:rPr>
                <w:w w:val="105"/>
                <w:sz w:val="10"/>
              </w:rPr>
              <w:t>uncertain major explosion</w:t>
            </w:r>
          </w:p>
        </w:tc>
        <w:tc>
          <w:tcPr>
            <w:tcW w:w="990" w:type="dxa"/>
          </w:tcPr>
          <w:p w:rsidR="00BE1ED7" w:rsidRDefault="00BE1ED7" w:rsidP="00033361">
            <w:pPr>
              <w:pStyle w:val="TableParagraph"/>
              <w:spacing w:line="114" w:lineRule="exact"/>
              <w:ind w:left="14"/>
              <w:rPr>
                <w:sz w:val="10"/>
              </w:rPr>
            </w:pPr>
            <w:r>
              <w:rPr>
                <w:sz w:val="10"/>
              </w:rPr>
              <w:t>UNIFI‐LGS</w:t>
            </w:r>
            <w:r>
              <w:rPr>
                <w:spacing w:val="19"/>
                <w:sz w:val="10"/>
              </w:rPr>
              <w:t xml:space="preserve"> </w:t>
            </w:r>
            <w:r>
              <w:rPr>
                <w:sz w:val="10"/>
              </w:rPr>
              <w:t>reports</w:t>
            </w:r>
          </w:p>
          <w:p w:rsidR="00BE1ED7" w:rsidRDefault="00BE1ED7" w:rsidP="00033361">
            <w:pPr>
              <w:pStyle w:val="TableParagraph"/>
              <w:spacing w:before="17"/>
              <w:ind w:left="14"/>
              <w:rPr>
                <w:sz w:val="10"/>
              </w:rPr>
            </w:pPr>
            <w:r>
              <w:rPr>
                <w:sz w:val="10"/>
              </w:rPr>
              <w:t>(major</w:t>
            </w:r>
            <w:r>
              <w:rPr>
                <w:spacing w:val="17"/>
                <w:sz w:val="10"/>
              </w:rPr>
              <w:t xml:space="preserve"> </w:t>
            </w:r>
            <w:r>
              <w:rPr>
                <w:sz w:val="10"/>
              </w:rPr>
              <w:t>explosion)</w:t>
            </w:r>
          </w:p>
          <w:p w:rsidR="00BE1ED7" w:rsidRDefault="00BE1ED7" w:rsidP="00033361">
            <w:pPr>
              <w:pStyle w:val="TableParagraph"/>
              <w:rPr>
                <w:rFonts w:ascii="Times New Roman"/>
                <w:sz w:val="12"/>
              </w:rPr>
            </w:pPr>
          </w:p>
          <w:p w:rsidR="00BE1ED7" w:rsidRDefault="00BE1ED7" w:rsidP="00033361">
            <w:pPr>
              <w:pStyle w:val="TableParagraph"/>
              <w:spacing w:line="140" w:lineRule="atLeast"/>
              <w:ind w:left="14" w:right="90"/>
              <w:rPr>
                <w:sz w:val="10"/>
              </w:rPr>
            </w:pPr>
            <w:r>
              <w:rPr>
                <w:w w:val="105"/>
                <w:sz w:val="10"/>
              </w:rPr>
              <w:t>INGV bulletins (unclear)</w:t>
            </w:r>
          </w:p>
        </w:tc>
        <w:tc>
          <w:tcPr>
            <w:tcW w:w="1657" w:type="dxa"/>
            <w:shd w:val="clear" w:color="auto" w:fill="FFF3F9"/>
          </w:tcPr>
          <w:p w:rsidR="00BE1ED7" w:rsidRDefault="00BE1ED7" w:rsidP="00033361">
            <w:pPr>
              <w:pStyle w:val="TableParagraph"/>
              <w:spacing w:before="4" w:line="278" w:lineRule="exact"/>
              <w:ind w:left="12" w:hanging="1"/>
              <w:rPr>
                <w:sz w:val="10"/>
              </w:rPr>
            </w:pPr>
            <w:r>
              <w:rPr>
                <w:w w:val="105"/>
                <w:sz w:val="10"/>
              </w:rPr>
              <w:t xml:space="preserve">seismic displacement 0.12 x10^‐4 m tilt 1.1 </w:t>
            </w:r>
            <w:proofErr w:type="spellStart"/>
            <w:r>
              <w:rPr>
                <w:w w:val="105"/>
                <w:sz w:val="10"/>
              </w:rPr>
              <w:t>μrad</w:t>
            </w:r>
            <w:proofErr w:type="spellEnd"/>
            <w:r>
              <w:rPr>
                <w:w w:val="105"/>
                <w:sz w:val="10"/>
              </w:rPr>
              <w:t xml:space="preserve"> al </w:t>
            </w:r>
            <w:proofErr w:type="spellStart"/>
            <w:r>
              <w:rPr>
                <w:w w:val="105"/>
                <w:sz w:val="10"/>
              </w:rPr>
              <w:t>tiltmetro</w:t>
            </w:r>
            <w:proofErr w:type="spellEnd"/>
            <w:r>
              <w:rPr>
                <w:w w:val="105"/>
                <w:sz w:val="10"/>
              </w:rPr>
              <w:t xml:space="preserve"> OHO</w:t>
            </w:r>
          </w:p>
        </w:tc>
        <w:tc>
          <w:tcPr>
            <w:tcW w:w="611" w:type="dxa"/>
            <w:shd w:val="clear" w:color="auto" w:fill="FFF3F9"/>
          </w:tcPr>
          <w:p w:rsidR="00BE1ED7" w:rsidRDefault="00BE1ED7" w:rsidP="00033361">
            <w:pPr>
              <w:pStyle w:val="TableParagraph"/>
              <w:rPr>
                <w:rFonts w:ascii="Times New Roman"/>
                <w:sz w:val="10"/>
              </w:rPr>
            </w:pPr>
          </w:p>
          <w:p w:rsidR="00BE1ED7" w:rsidRDefault="00BE1ED7" w:rsidP="00033361">
            <w:pPr>
              <w:pStyle w:val="TableParagraph"/>
              <w:spacing w:before="6"/>
              <w:rPr>
                <w:rFonts w:ascii="Times New Roman"/>
                <w:sz w:val="13"/>
              </w:rPr>
            </w:pPr>
          </w:p>
          <w:p w:rsidR="00BE1ED7" w:rsidRDefault="00BE1ED7" w:rsidP="00033361">
            <w:pPr>
              <w:pStyle w:val="TableParagraph"/>
              <w:ind w:left="11"/>
              <w:rPr>
                <w:sz w:val="10"/>
              </w:rPr>
            </w:pPr>
            <w:r>
              <w:rPr>
                <w:w w:val="105"/>
                <w:sz w:val="10"/>
              </w:rPr>
              <w:t>53 Pa</w:t>
            </w:r>
          </w:p>
        </w:tc>
        <w:tc>
          <w:tcPr>
            <w:tcW w:w="373" w:type="dxa"/>
            <w:shd w:val="clear" w:color="auto" w:fill="FFF3F9"/>
          </w:tcPr>
          <w:p w:rsidR="00BE1ED7" w:rsidRDefault="00BE1ED7" w:rsidP="00033361">
            <w:pPr>
              <w:pStyle w:val="TableParagraph"/>
              <w:rPr>
                <w:rFonts w:ascii="Times New Roman"/>
                <w:sz w:val="10"/>
              </w:rPr>
            </w:pPr>
          </w:p>
          <w:p w:rsidR="00BE1ED7" w:rsidRDefault="00BE1ED7" w:rsidP="00033361">
            <w:pPr>
              <w:pStyle w:val="TableParagraph"/>
              <w:spacing w:before="6"/>
              <w:rPr>
                <w:rFonts w:ascii="Times New Roman"/>
                <w:sz w:val="13"/>
              </w:rPr>
            </w:pPr>
          </w:p>
          <w:p w:rsidR="00BE1ED7" w:rsidRDefault="00BE1ED7" w:rsidP="00033361">
            <w:pPr>
              <w:pStyle w:val="TableParagraph"/>
              <w:ind w:left="10"/>
              <w:rPr>
                <w:sz w:val="10"/>
              </w:rPr>
            </w:pPr>
            <w:r>
              <w:rPr>
                <w:w w:val="105"/>
                <w:sz w:val="10"/>
              </w:rPr>
              <w:t>CS</w:t>
            </w:r>
          </w:p>
        </w:tc>
        <w:tc>
          <w:tcPr>
            <w:tcW w:w="2574" w:type="dxa"/>
            <w:shd w:val="clear" w:color="auto" w:fill="FFF3F9"/>
          </w:tcPr>
          <w:p w:rsidR="00BE1ED7" w:rsidRDefault="00BE1ED7" w:rsidP="00033361">
            <w:pPr>
              <w:pStyle w:val="TableParagraph"/>
              <w:rPr>
                <w:rFonts w:ascii="Times New Roman"/>
                <w:sz w:val="10"/>
              </w:rPr>
            </w:pPr>
          </w:p>
          <w:p w:rsidR="00BE1ED7" w:rsidRDefault="00BE1ED7" w:rsidP="00033361">
            <w:pPr>
              <w:pStyle w:val="TableParagraph"/>
              <w:spacing w:before="86" w:line="273" w:lineRule="auto"/>
              <w:ind w:left="9" w:hanging="1"/>
              <w:rPr>
                <w:sz w:val="10"/>
              </w:rPr>
            </w:pPr>
            <w:r>
              <w:rPr>
                <w:w w:val="105"/>
                <w:sz w:val="10"/>
              </w:rPr>
              <w:t>radial products 350 m high and widely fell on the edges of crater terrace, total duration 4 min</w:t>
            </w:r>
          </w:p>
        </w:tc>
        <w:tc>
          <w:tcPr>
            <w:tcW w:w="714" w:type="dxa"/>
          </w:tcPr>
          <w:p w:rsidR="00BE1ED7" w:rsidRDefault="00BE1ED7" w:rsidP="00033361">
            <w:pPr>
              <w:pStyle w:val="TableParagraph"/>
              <w:rPr>
                <w:rFonts w:ascii="Times New Roman"/>
                <w:sz w:val="10"/>
              </w:rPr>
            </w:pPr>
          </w:p>
          <w:p w:rsidR="00BE1ED7" w:rsidRDefault="00BE1ED7" w:rsidP="00033361">
            <w:pPr>
              <w:pStyle w:val="TableParagraph"/>
              <w:spacing w:before="86" w:line="273" w:lineRule="auto"/>
              <w:ind w:left="8" w:right="50"/>
              <w:rPr>
                <w:sz w:val="10"/>
              </w:rPr>
            </w:pPr>
            <w:proofErr w:type="spellStart"/>
            <w:r>
              <w:rPr>
                <w:w w:val="105"/>
                <w:sz w:val="10"/>
              </w:rPr>
              <w:t>Labronzo</w:t>
            </w:r>
            <w:proofErr w:type="spellEnd"/>
            <w:r>
              <w:rPr>
                <w:w w:val="105"/>
                <w:sz w:val="10"/>
              </w:rPr>
              <w:t xml:space="preserve"> 190 m </w:t>
            </w:r>
            <w:proofErr w:type="spellStart"/>
            <w:r>
              <w:rPr>
                <w:w w:val="105"/>
                <w:sz w:val="10"/>
              </w:rPr>
              <w:t>asl</w:t>
            </w:r>
            <w:proofErr w:type="spellEnd"/>
          </w:p>
        </w:tc>
      </w:tr>
      <w:tr w:rsidR="00BE1ED7" w:rsidTr="0058335B">
        <w:trPr>
          <w:trHeight w:val="381"/>
          <w:jc w:val="center"/>
        </w:trPr>
        <w:tc>
          <w:tcPr>
            <w:tcW w:w="334" w:type="dxa"/>
          </w:tcPr>
          <w:p w:rsidR="00BE1ED7" w:rsidRDefault="00BE1ED7" w:rsidP="00033361">
            <w:pPr>
              <w:pStyle w:val="TableParagraph"/>
              <w:spacing w:before="9"/>
              <w:rPr>
                <w:rFonts w:ascii="Times New Roman"/>
                <w:sz w:val="10"/>
              </w:rPr>
            </w:pPr>
          </w:p>
          <w:p w:rsidR="00BE1ED7" w:rsidRDefault="00BE1ED7" w:rsidP="00033361">
            <w:pPr>
              <w:pStyle w:val="TableParagraph"/>
              <w:ind w:right="7"/>
              <w:jc w:val="right"/>
              <w:rPr>
                <w:sz w:val="10"/>
              </w:rPr>
            </w:pPr>
            <w:r>
              <w:rPr>
                <w:sz w:val="10"/>
              </w:rPr>
              <w:t>2024</w:t>
            </w:r>
          </w:p>
        </w:tc>
        <w:tc>
          <w:tcPr>
            <w:tcW w:w="440" w:type="dxa"/>
          </w:tcPr>
          <w:p w:rsidR="00BE1ED7" w:rsidRDefault="00BE1ED7" w:rsidP="00033361">
            <w:pPr>
              <w:pStyle w:val="TableParagraph"/>
              <w:spacing w:before="9"/>
              <w:rPr>
                <w:rFonts w:ascii="Times New Roman"/>
                <w:sz w:val="10"/>
              </w:rPr>
            </w:pPr>
          </w:p>
          <w:p w:rsidR="00BE1ED7" w:rsidRDefault="00BE1ED7" w:rsidP="00033361">
            <w:pPr>
              <w:pStyle w:val="TableParagraph"/>
              <w:ind w:right="6"/>
              <w:jc w:val="right"/>
              <w:rPr>
                <w:sz w:val="10"/>
              </w:rPr>
            </w:pPr>
            <w:r>
              <w:rPr>
                <w:w w:val="103"/>
                <w:sz w:val="10"/>
              </w:rPr>
              <w:t>7</w:t>
            </w:r>
          </w:p>
        </w:tc>
        <w:tc>
          <w:tcPr>
            <w:tcW w:w="342" w:type="dxa"/>
          </w:tcPr>
          <w:p w:rsidR="00BE1ED7" w:rsidRDefault="00BE1ED7" w:rsidP="00033361">
            <w:pPr>
              <w:pStyle w:val="TableParagraph"/>
              <w:spacing w:before="9"/>
              <w:rPr>
                <w:rFonts w:ascii="Times New Roman"/>
                <w:sz w:val="10"/>
              </w:rPr>
            </w:pPr>
          </w:p>
          <w:p w:rsidR="00BE1ED7" w:rsidRDefault="00BE1ED7" w:rsidP="00033361">
            <w:pPr>
              <w:pStyle w:val="TableParagraph"/>
              <w:ind w:right="7"/>
              <w:jc w:val="right"/>
              <w:rPr>
                <w:sz w:val="10"/>
              </w:rPr>
            </w:pPr>
            <w:r>
              <w:rPr>
                <w:w w:val="103"/>
                <w:sz w:val="10"/>
              </w:rPr>
              <w:t>4</w:t>
            </w:r>
          </w:p>
        </w:tc>
        <w:tc>
          <w:tcPr>
            <w:tcW w:w="373" w:type="dxa"/>
          </w:tcPr>
          <w:p w:rsidR="00BE1ED7" w:rsidRDefault="00BE1ED7" w:rsidP="00033361">
            <w:pPr>
              <w:pStyle w:val="TableParagraph"/>
              <w:spacing w:before="9"/>
              <w:rPr>
                <w:rFonts w:ascii="Times New Roman"/>
                <w:sz w:val="10"/>
              </w:rPr>
            </w:pPr>
          </w:p>
          <w:p w:rsidR="00BE1ED7" w:rsidRDefault="00BE1ED7" w:rsidP="00033361">
            <w:pPr>
              <w:pStyle w:val="TableParagraph"/>
              <w:ind w:right="6"/>
              <w:jc w:val="right"/>
              <w:rPr>
                <w:sz w:val="10"/>
              </w:rPr>
            </w:pPr>
            <w:r>
              <w:rPr>
                <w:sz w:val="10"/>
              </w:rPr>
              <w:t>12:11</w:t>
            </w:r>
          </w:p>
        </w:tc>
        <w:tc>
          <w:tcPr>
            <w:tcW w:w="1187" w:type="dxa"/>
            <w:shd w:val="clear" w:color="auto" w:fill="FFF3F9"/>
          </w:tcPr>
          <w:p w:rsidR="00BE1ED7" w:rsidRDefault="00BE1ED7" w:rsidP="00033361">
            <w:pPr>
              <w:pStyle w:val="TableParagraph"/>
              <w:spacing w:before="9"/>
              <w:rPr>
                <w:rFonts w:ascii="Times New Roman"/>
                <w:sz w:val="10"/>
              </w:rPr>
            </w:pPr>
          </w:p>
          <w:p w:rsidR="00BE1ED7" w:rsidRDefault="00BE1ED7" w:rsidP="00033361">
            <w:pPr>
              <w:pStyle w:val="TableParagraph"/>
              <w:ind w:left="15"/>
              <w:rPr>
                <w:sz w:val="10"/>
              </w:rPr>
            </w:pPr>
            <w:r>
              <w:rPr>
                <w:w w:val="105"/>
                <w:sz w:val="10"/>
              </w:rPr>
              <w:t>uncertain major explosion</w:t>
            </w:r>
          </w:p>
        </w:tc>
        <w:tc>
          <w:tcPr>
            <w:tcW w:w="990" w:type="dxa"/>
          </w:tcPr>
          <w:p w:rsidR="00BE1ED7" w:rsidRDefault="00BE1ED7" w:rsidP="00033361">
            <w:pPr>
              <w:pStyle w:val="TableParagraph"/>
              <w:spacing w:line="110" w:lineRule="exact"/>
              <w:ind w:left="14"/>
              <w:rPr>
                <w:sz w:val="10"/>
              </w:rPr>
            </w:pPr>
            <w:r>
              <w:rPr>
                <w:w w:val="105"/>
                <w:sz w:val="10"/>
              </w:rPr>
              <w:t>UNIFI‐LGS reports;</w:t>
            </w:r>
          </w:p>
          <w:p w:rsidR="00BE1ED7" w:rsidRDefault="00BE1ED7" w:rsidP="00033361">
            <w:pPr>
              <w:pStyle w:val="TableParagraph"/>
              <w:spacing w:line="140" w:lineRule="atLeast"/>
              <w:ind w:left="14" w:right="101"/>
              <w:rPr>
                <w:sz w:val="10"/>
              </w:rPr>
            </w:pPr>
            <w:r>
              <w:rPr>
                <w:w w:val="105"/>
                <w:sz w:val="10"/>
              </w:rPr>
              <w:t xml:space="preserve">INGV bulletins </w:t>
            </w:r>
            <w:r>
              <w:rPr>
                <w:sz w:val="10"/>
              </w:rPr>
              <w:t>(major explosion)</w:t>
            </w:r>
          </w:p>
        </w:tc>
        <w:tc>
          <w:tcPr>
            <w:tcW w:w="1657" w:type="dxa"/>
            <w:shd w:val="clear" w:color="auto" w:fill="FFF3F9"/>
          </w:tcPr>
          <w:p w:rsidR="00BE1ED7" w:rsidRDefault="00BE1ED7" w:rsidP="00033361">
            <w:pPr>
              <w:pStyle w:val="TableParagraph"/>
              <w:spacing w:line="110" w:lineRule="exact"/>
              <w:ind w:left="12"/>
              <w:rPr>
                <w:sz w:val="10"/>
              </w:rPr>
            </w:pPr>
            <w:r>
              <w:rPr>
                <w:w w:val="105"/>
                <w:sz w:val="10"/>
              </w:rPr>
              <w:t>seismic displacement 0.21 x10^‐4 m</w:t>
            </w:r>
          </w:p>
          <w:p w:rsidR="00BE1ED7" w:rsidRDefault="00BE1ED7" w:rsidP="00033361">
            <w:pPr>
              <w:pStyle w:val="TableParagraph"/>
              <w:spacing w:before="6"/>
              <w:rPr>
                <w:rFonts w:ascii="Times New Roman"/>
                <w:sz w:val="13"/>
              </w:rPr>
            </w:pPr>
          </w:p>
          <w:p w:rsidR="00BE1ED7" w:rsidRDefault="00BE1ED7" w:rsidP="00033361">
            <w:pPr>
              <w:pStyle w:val="TableParagraph"/>
              <w:spacing w:before="1" w:line="95" w:lineRule="exact"/>
              <w:ind w:left="12"/>
              <w:rPr>
                <w:sz w:val="10"/>
              </w:rPr>
            </w:pPr>
            <w:r>
              <w:rPr>
                <w:w w:val="105"/>
                <w:sz w:val="10"/>
              </w:rPr>
              <w:t xml:space="preserve">tilt 1.2 </w:t>
            </w:r>
            <w:proofErr w:type="spellStart"/>
            <w:r>
              <w:rPr>
                <w:w w:val="105"/>
                <w:sz w:val="10"/>
              </w:rPr>
              <w:t>μrad</w:t>
            </w:r>
            <w:proofErr w:type="spellEnd"/>
            <w:r>
              <w:rPr>
                <w:w w:val="105"/>
                <w:sz w:val="10"/>
              </w:rPr>
              <w:t xml:space="preserve"> al </w:t>
            </w:r>
            <w:proofErr w:type="spellStart"/>
            <w:r>
              <w:rPr>
                <w:w w:val="105"/>
                <w:sz w:val="10"/>
              </w:rPr>
              <w:t>tiltmetro</w:t>
            </w:r>
            <w:proofErr w:type="spellEnd"/>
            <w:r>
              <w:rPr>
                <w:w w:val="105"/>
                <w:sz w:val="10"/>
              </w:rPr>
              <w:t xml:space="preserve"> OHO</w:t>
            </w:r>
          </w:p>
        </w:tc>
        <w:tc>
          <w:tcPr>
            <w:tcW w:w="611" w:type="dxa"/>
            <w:shd w:val="clear" w:color="auto" w:fill="FFF3F9"/>
          </w:tcPr>
          <w:p w:rsidR="00BE1ED7" w:rsidRDefault="00BE1ED7" w:rsidP="00033361">
            <w:pPr>
              <w:pStyle w:val="TableParagraph"/>
              <w:spacing w:before="9"/>
              <w:rPr>
                <w:rFonts w:ascii="Times New Roman"/>
                <w:sz w:val="10"/>
              </w:rPr>
            </w:pPr>
          </w:p>
          <w:p w:rsidR="00BE1ED7" w:rsidRDefault="00BE1ED7" w:rsidP="00033361">
            <w:pPr>
              <w:pStyle w:val="TableParagraph"/>
              <w:ind w:left="11"/>
              <w:rPr>
                <w:sz w:val="10"/>
              </w:rPr>
            </w:pPr>
            <w:r>
              <w:rPr>
                <w:w w:val="105"/>
                <w:sz w:val="10"/>
              </w:rPr>
              <w:t>15 Pa</w:t>
            </w:r>
          </w:p>
        </w:tc>
        <w:tc>
          <w:tcPr>
            <w:tcW w:w="373" w:type="dxa"/>
            <w:shd w:val="clear" w:color="auto" w:fill="FFF3F9"/>
          </w:tcPr>
          <w:p w:rsidR="00BE1ED7" w:rsidRDefault="00BE1ED7" w:rsidP="00033361">
            <w:pPr>
              <w:pStyle w:val="TableParagraph"/>
              <w:spacing w:before="9"/>
              <w:rPr>
                <w:rFonts w:ascii="Times New Roman"/>
                <w:sz w:val="10"/>
              </w:rPr>
            </w:pPr>
          </w:p>
          <w:p w:rsidR="00BE1ED7" w:rsidRDefault="00BE1ED7" w:rsidP="00033361">
            <w:pPr>
              <w:pStyle w:val="TableParagraph"/>
              <w:ind w:left="10"/>
              <w:rPr>
                <w:sz w:val="10"/>
              </w:rPr>
            </w:pPr>
            <w:r>
              <w:rPr>
                <w:w w:val="105"/>
                <w:sz w:val="10"/>
              </w:rPr>
              <w:t>CS</w:t>
            </w:r>
          </w:p>
        </w:tc>
        <w:tc>
          <w:tcPr>
            <w:tcW w:w="2574" w:type="dxa"/>
            <w:shd w:val="clear" w:color="auto" w:fill="FFF3F9"/>
          </w:tcPr>
          <w:p w:rsidR="00BE1ED7" w:rsidRDefault="00BE1ED7" w:rsidP="00033361">
            <w:pPr>
              <w:pStyle w:val="TableParagraph"/>
              <w:spacing w:before="9"/>
              <w:rPr>
                <w:rFonts w:ascii="Times New Roman"/>
                <w:sz w:val="10"/>
              </w:rPr>
            </w:pPr>
          </w:p>
          <w:p w:rsidR="00BE1ED7" w:rsidRDefault="00BE1ED7" w:rsidP="00033361">
            <w:pPr>
              <w:pStyle w:val="TableParagraph"/>
              <w:ind w:left="9"/>
              <w:rPr>
                <w:sz w:val="10"/>
              </w:rPr>
            </w:pPr>
            <w:r>
              <w:rPr>
                <w:w w:val="105"/>
                <w:sz w:val="10"/>
              </w:rPr>
              <w:t>bad visibility</w:t>
            </w:r>
          </w:p>
        </w:tc>
        <w:tc>
          <w:tcPr>
            <w:tcW w:w="714" w:type="dxa"/>
          </w:tcPr>
          <w:p w:rsidR="00BE1ED7" w:rsidRDefault="00BE1ED7" w:rsidP="00033361">
            <w:pPr>
              <w:pStyle w:val="TableParagraph"/>
              <w:spacing w:before="100"/>
              <w:ind w:left="13"/>
              <w:rPr>
                <w:sz w:val="14"/>
              </w:rPr>
            </w:pPr>
            <w:r>
              <w:rPr>
                <w:w w:val="102"/>
                <w:sz w:val="14"/>
              </w:rPr>
              <w:t>‐</w:t>
            </w:r>
          </w:p>
        </w:tc>
      </w:tr>
      <w:tr w:rsidR="00BE1ED7" w:rsidTr="0058335B">
        <w:trPr>
          <w:trHeight w:val="382"/>
          <w:jc w:val="center"/>
        </w:trPr>
        <w:tc>
          <w:tcPr>
            <w:tcW w:w="334" w:type="dxa"/>
          </w:tcPr>
          <w:p w:rsidR="00BE1ED7" w:rsidRDefault="00BE1ED7" w:rsidP="00033361">
            <w:pPr>
              <w:pStyle w:val="TableParagraph"/>
              <w:spacing w:before="10"/>
              <w:rPr>
                <w:rFonts w:ascii="Times New Roman"/>
                <w:sz w:val="10"/>
              </w:rPr>
            </w:pPr>
          </w:p>
          <w:p w:rsidR="00BE1ED7" w:rsidRDefault="00BE1ED7" w:rsidP="00033361">
            <w:pPr>
              <w:pStyle w:val="TableParagraph"/>
              <w:ind w:right="7"/>
              <w:jc w:val="right"/>
              <w:rPr>
                <w:sz w:val="10"/>
              </w:rPr>
            </w:pPr>
            <w:r>
              <w:rPr>
                <w:sz w:val="10"/>
              </w:rPr>
              <w:t>2024</w:t>
            </w:r>
          </w:p>
        </w:tc>
        <w:tc>
          <w:tcPr>
            <w:tcW w:w="440" w:type="dxa"/>
          </w:tcPr>
          <w:p w:rsidR="00BE1ED7" w:rsidRDefault="00BE1ED7" w:rsidP="00033361">
            <w:pPr>
              <w:pStyle w:val="TableParagraph"/>
              <w:spacing w:before="10"/>
              <w:rPr>
                <w:rFonts w:ascii="Times New Roman"/>
                <w:sz w:val="10"/>
              </w:rPr>
            </w:pPr>
          </w:p>
          <w:p w:rsidR="00BE1ED7" w:rsidRDefault="00BE1ED7" w:rsidP="00033361">
            <w:pPr>
              <w:pStyle w:val="TableParagraph"/>
              <w:ind w:right="6"/>
              <w:jc w:val="right"/>
              <w:rPr>
                <w:sz w:val="10"/>
              </w:rPr>
            </w:pPr>
            <w:r>
              <w:rPr>
                <w:w w:val="103"/>
                <w:sz w:val="10"/>
              </w:rPr>
              <w:t>7</w:t>
            </w:r>
          </w:p>
        </w:tc>
        <w:tc>
          <w:tcPr>
            <w:tcW w:w="342" w:type="dxa"/>
          </w:tcPr>
          <w:p w:rsidR="00BE1ED7" w:rsidRDefault="00BE1ED7" w:rsidP="00033361">
            <w:pPr>
              <w:pStyle w:val="TableParagraph"/>
              <w:spacing w:before="10"/>
              <w:rPr>
                <w:rFonts w:ascii="Times New Roman"/>
                <w:sz w:val="10"/>
              </w:rPr>
            </w:pPr>
          </w:p>
          <w:p w:rsidR="00BE1ED7" w:rsidRDefault="00BE1ED7" w:rsidP="00033361">
            <w:pPr>
              <w:pStyle w:val="TableParagraph"/>
              <w:ind w:right="8"/>
              <w:jc w:val="right"/>
              <w:rPr>
                <w:sz w:val="10"/>
              </w:rPr>
            </w:pPr>
            <w:r>
              <w:rPr>
                <w:sz w:val="10"/>
              </w:rPr>
              <w:t>11</w:t>
            </w:r>
          </w:p>
        </w:tc>
        <w:tc>
          <w:tcPr>
            <w:tcW w:w="373" w:type="dxa"/>
          </w:tcPr>
          <w:p w:rsidR="00BE1ED7" w:rsidRDefault="00BE1ED7" w:rsidP="00033361">
            <w:pPr>
              <w:pStyle w:val="TableParagraph"/>
              <w:spacing w:before="10"/>
              <w:rPr>
                <w:rFonts w:ascii="Times New Roman"/>
                <w:sz w:val="10"/>
              </w:rPr>
            </w:pPr>
          </w:p>
          <w:p w:rsidR="00BE1ED7" w:rsidRDefault="00BE1ED7" w:rsidP="00033361">
            <w:pPr>
              <w:pStyle w:val="TableParagraph"/>
              <w:ind w:right="6"/>
              <w:jc w:val="right"/>
              <w:rPr>
                <w:sz w:val="10"/>
              </w:rPr>
            </w:pPr>
            <w:r>
              <w:rPr>
                <w:sz w:val="10"/>
              </w:rPr>
              <w:t>12:08</w:t>
            </w:r>
          </w:p>
        </w:tc>
        <w:tc>
          <w:tcPr>
            <w:tcW w:w="1187" w:type="dxa"/>
            <w:shd w:val="clear" w:color="auto" w:fill="DE91BF"/>
          </w:tcPr>
          <w:p w:rsidR="00BE1ED7" w:rsidRDefault="00BE1ED7" w:rsidP="00033361">
            <w:pPr>
              <w:pStyle w:val="TableParagraph"/>
              <w:spacing w:before="10"/>
              <w:rPr>
                <w:rFonts w:ascii="Times New Roman"/>
                <w:sz w:val="10"/>
              </w:rPr>
            </w:pPr>
          </w:p>
          <w:p w:rsidR="00BE1ED7" w:rsidRDefault="00BE1ED7" w:rsidP="00033361">
            <w:pPr>
              <w:pStyle w:val="TableParagraph"/>
              <w:ind w:left="15"/>
              <w:rPr>
                <w:sz w:val="10"/>
              </w:rPr>
            </w:pPr>
            <w:r>
              <w:rPr>
                <w:w w:val="105"/>
                <w:sz w:val="10"/>
              </w:rPr>
              <w:t>paroxysm</w:t>
            </w:r>
          </w:p>
        </w:tc>
        <w:tc>
          <w:tcPr>
            <w:tcW w:w="990" w:type="dxa"/>
          </w:tcPr>
          <w:p w:rsidR="00BE1ED7" w:rsidRDefault="00BE1ED7" w:rsidP="00033361">
            <w:pPr>
              <w:pStyle w:val="TableParagraph"/>
              <w:spacing w:line="111" w:lineRule="exact"/>
              <w:ind w:left="14"/>
              <w:rPr>
                <w:sz w:val="10"/>
              </w:rPr>
            </w:pPr>
            <w:r>
              <w:rPr>
                <w:w w:val="105"/>
                <w:sz w:val="10"/>
              </w:rPr>
              <w:t>UNIFI‐LGS reports;</w:t>
            </w:r>
          </w:p>
          <w:p w:rsidR="00BE1ED7" w:rsidRDefault="00BE1ED7" w:rsidP="00033361">
            <w:pPr>
              <w:pStyle w:val="TableParagraph"/>
              <w:spacing w:line="140" w:lineRule="atLeast"/>
              <w:ind w:left="14" w:right="90"/>
              <w:rPr>
                <w:sz w:val="10"/>
              </w:rPr>
            </w:pPr>
            <w:r>
              <w:rPr>
                <w:w w:val="105"/>
                <w:sz w:val="10"/>
              </w:rPr>
              <w:t>INGV bulletins (paroxysm)</w:t>
            </w:r>
          </w:p>
        </w:tc>
        <w:tc>
          <w:tcPr>
            <w:tcW w:w="1657" w:type="dxa"/>
            <w:shd w:val="clear" w:color="auto" w:fill="DE91BF"/>
          </w:tcPr>
          <w:p w:rsidR="00BE1ED7" w:rsidRDefault="00BE1ED7" w:rsidP="00033361">
            <w:pPr>
              <w:pStyle w:val="TableParagraph"/>
              <w:spacing w:line="111" w:lineRule="exact"/>
              <w:ind w:left="12"/>
              <w:rPr>
                <w:sz w:val="10"/>
              </w:rPr>
            </w:pPr>
            <w:r>
              <w:rPr>
                <w:w w:val="105"/>
                <w:sz w:val="10"/>
              </w:rPr>
              <w:t>seismic displacement 7.7 x10^‐4 m</w:t>
            </w:r>
          </w:p>
          <w:p w:rsidR="00BE1ED7" w:rsidRDefault="00BE1ED7" w:rsidP="00033361">
            <w:pPr>
              <w:pStyle w:val="TableParagraph"/>
              <w:spacing w:before="6"/>
              <w:rPr>
                <w:rFonts w:ascii="Times New Roman"/>
                <w:sz w:val="13"/>
              </w:rPr>
            </w:pPr>
          </w:p>
          <w:p w:rsidR="00BE1ED7" w:rsidRDefault="00BE1ED7" w:rsidP="00033361">
            <w:pPr>
              <w:pStyle w:val="TableParagraph"/>
              <w:spacing w:before="1" w:line="95" w:lineRule="exact"/>
              <w:ind w:left="12"/>
              <w:rPr>
                <w:sz w:val="10"/>
              </w:rPr>
            </w:pPr>
            <w:r>
              <w:rPr>
                <w:w w:val="105"/>
                <w:sz w:val="10"/>
              </w:rPr>
              <w:t xml:space="preserve">tilt 9.9 </w:t>
            </w:r>
            <w:proofErr w:type="spellStart"/>
            <w:r>
              <w:rPr>
                <w:w w:val="105"/>
                <w:sz w:val="10"/>
              </w:rPr>
              <w:t>μrad</w:t>
            </w:r>
            <w:proofErr w:type="spellEnd"/>
            <w:r>
              <w:rPr>
                <w:w w:val="105"/>
                <w:sz w:val="10"/>
              </w:rPr>
              <w:t xml:space="preserve"> al </w:t>
            </w:r>
            <w:proofErr w:type="spellStart"/>
            <w:r>
              <w:rPr>
                <w:w w:val="105"/>
                <w:sz w:val="10"/>
              </w:rPr>
              <w:t>tiltmetro</w:t>
            </w:r>
            <w:proofErr w:type="spellEnd"/>
            <w:r>
              <w:rPr>
                <w:w w:val="105"/>
                <w:sz w:val="10"/>
              </w:rPr>
              <w:t xml:space="preserve"> OHO</w:t>
            </w:r>
          </w:p>
        </w:tc>
        <w:tc>
          <w:tcPr>
            <w:tcW w:w="611" w:type="dxa"/>
            <w:shd w:val="clear" w:color="auto" w:fill="DE91BF"/>
          </w:tcPr>
          <w:p w:rsidR="00BE1ED7" w:rsidRDefault="00BE1ED7" w:rsidP="00033361">
            <w:pPr>
              <w:pStyle w:val="TableParagraph"/>
              <w:spacing w:before="10"/>
              <w:rPr>
                <w:rFonts w:ascii="Times New Roman"/>
                <w:sz w:val="10"/>
              </w:rPr>
            </w:pPr>
          </w:p>
          <w:p w:rsidR="00BE1ED7" w:rsidRDefault="00BE1ED7" w:rsidP="00033361">
            <w:pPr>
              <w:pStyle w:val="TableParagraph"/>
              <w:ind w:left="11"/>
              <w:rPr>
                <w:sz w:val="10"/>
              </w:rPr>
            </w:pPr>
            <w:r>
              <w:rPr>
                <w:w w:val="105"/>
                <w:sz w:val="10"/>
              </w:rPr>
              <w:t>472 Pa</w:t>
            </w:r>
          </w:p>
        </w:tc>
        <w:tc>
          <w:tcPr>
            <w:tcW w:w="373" w:type="dxa"/>
            <w:shd w:val="clear" w:color="auto" w:fill="DE91BF"/>
          </w:tcPr>
          <w:p w:rsidR="00BE1ED7" w:rsidRDefault="00BE1ED7" w:rsidP="00033361">
            <w:pPr>
              <w:pStyle w:val="TableParagraph"/>
              <w:spacing w:before="10"/>
              <w:rPr>
                <w:rFonts w:ascii="Times New Roman"/>
                <w:sz w:val="10"/>
              </w:rPr>
            </w:pPr>
          </w:p>
          <w:p w:rsidR="00BE1ED7" w:rsidRDefault="00BE1ED7" w:rsidP="00033361">
            <w:pPr>
              <w:pStyle w:val="TableParagraph"/>
              <w:ind w:left="10"/>
              <w:rPr>
                <w:sz w:val="10"/>
              </w:rPr>
            </w:pPr>
            <w:r>
              <w:rPr>
                <w:w w:val="103"/>
                <w:sz w:val="10"/>
              </w:rPr>
              <w:t>N</w:t>
            </w:r>
          </w:p>
        </w:tc>
        <w:tc>
          <w:tcPr>
            <w:tcW w:w="2574" w:type="dxa"/>
            <w:shd w:val="clear" w:color="auto" w:fill="DE91BF"/>
          </w:tcPr>
          <w:p w:rsidR="00BE1ED7" w:rsidRDefault="00BE1ED7" w:rsidP="00033361">
            <w:pPr>
              <w:pStyle w:val="TableParagraph"/>
              <w:spacing w:line="111" w:lineRule="exact"/>
              <w:ind w:left="9"/>
              <w:rPr>
                <w:sz w:val="10"/>
              </w:rPr>
            </w:pPr>
            <w:r>
              <w:rPr>
                <w:w w:val="105"/>
                <w:sz w:val="10"/>
              </w:rPr>
              <w:t>eruptive column ca. 5 km</w:t>
            </w:r>
          </w:p>
          <w:p w:rsidR="00BE1ED7" w:rsidRDefault="00BE1ED7" w:rsidP="00033361">
            <w:pPr>
              <w:pStyle w:val="TableParagraph"/>
              <w:spacing w:before="6"/>
              <w:rPr>
                <w:rFonts w:ascii="Times New Roman"/>
                <w:sz w:val="13"/>
              </w:rPr>
            </w:pPr>
          </w:p>
          <w:p w:rsidR="00BE1ED7" w:rsidRDefault="00BE1ED7" w:rsidP="00033361">
            <w:pPr>
              <w:pStyle w:val="TableParagraph"/>
              <w:spacing w:before="1" w:line="95" w:lineRule="exact"/>
              <w:ind w:left="9"/>
              <w:rPr>
                <w:sz w:val="10"/>
              </w:rPr>
            </w:pPr>
            <w:r>
              <w:rPr>
                <w:w w:val="105"/>
                <w:sz w:val="10"/>
              </w:rPr>
              <w:t>ballistics not described</w:t>
            </w:r>
          </w:p>
        </w:tc>
        <w:tc>
          <w:tcPr>
            <w:tcW w:w="714" w:type="dxa"/>
          </w:tcPr>
          <w:p w:rsidR="00BE1ED7" w:rsidRDefault="00BE1ED7" w:rsidP="00033361">
            <w:pPr>
              <w:pStyle w:val="TableParagraph"/>
              <w:spacing w:line="111" w:lineRule="exact"/>
              <w:ind w:left="8"/>
              <w:rPr>
                <w:sz w:val="10"/>
              </w:rPr>
            </w:pPr>
            <w:proofErr w:type="spellStart"/>
            <w:r>
              <w:rPr>
                <w:w w:val="105"/>
                <w:sz w:val="10"/>
              </w:rPr>
              <w:t>Labronzo</w:t>
            </w:r>
            <w:proofErr w:type="spellEnd"/>
            <w:r>
              <w:rPr>
                <w:w w:val="105"/>
                <w:sz w:val="10"/>
              </w:rPr>
              <w:t xml:space="preserve"> 190</w:t>
            </w:r>
          </w:p>
          <w:p w:rsidR="00BE1ED7" w:rsidRDefault="00BE1ED7" w:rsidP="00033361">
            <w:pPr>
              <w:pStyle w:val="TableParagraph"/>
              <w:spacing w:before="17"/>
              <w:ind w:left="8"/>
              <w:rPr>
                <w:sz w:val="10"/>
              </w:rPr>
            </w:pPr>
            <w:r>
              <w:rPr>
                <w:w w:val="105"/>
                <w:sz w:val="10"/>
              </w:rPr>
              <w:t xml:space="preserve">m </w:t>
            </w:r>
            <w:proofErr w:type="spellStart"/>
            <w:r>
              <w:rPr>
                <w:w w:val="105"/>
                <w:sz w:val="10"/>
              </w:rPr>
              <w:t>asl</w:t>
            </w:r>
            <w:proofErr w:type="spellEnd"/>
          </w:p>
        </w:tc>
      </w:tr>
      <w:tr w:rsidR="00BE1ED7" w:rsidTr="0058335B">
        <w:trPr>
          <w:trHeight w:val="653"/>
          <w:jc w:val="center"/>
        </w:trPr>
        <w:tc>
          <w:tcPr>
            <w:tcW w:w="334" w:type="dxa"/>
          </w:tcPr>
          <w:p w:rsidR="00BE1ED7" w:rsidRDefault="00BE1ED7" w:rsidP="00033361">
            <w:pPr>
              <w:pStyle w:val="TableParagraph"/>
              <w:rPr>
                <w:rFonts w:ascii="Times New Roman"/>
                <w:sz w:val="10"/>
              </w:rPr>
            </w:pPr>
          </w:p>
          <w:p w:rsidR="00BE1ED7" w:rsidRDefault="00BE1ED7" w:rsidP="00033361">
            <w:pPr>
              <w:pStyle w:val="TableParagraph"/>
              <w:spacing w:before="9"/>
              <w:rPr>
                <w:rFonts w:ascii="Times New Roman"/>
                <w:sz w:val="12"/>
              </w:rPr>
            </w:pPr>
          </w:p>
          <w:p w:rsidR="00BE1ED7" w:rsidRDefault="00BE1ED7" w:rsidP="00033361">
            <w:pPr>
              <w:pStyle w:val="TableParagraph"/>
              <w:ind w:right="7"/>
              <w:jc w:val="right"/>
              <w:rPr>
                <w:sz w:val="10"/>
              </w:rPr>
            </w:pPr>
            <w:r>
              <w:rPr>
                <w:sz w:val="10"/>
              </w:rPr>
              <w:t>2024</w:t>
            </w:r>
          </w:p>
        </w:tc>
        <w:tc>
          <w:tcPr>
            <w:tcW w:w="440" w:type="dxa"/>
          </w:tcPr>
          <w:p w:rsidR="00BE1ED7" w:rsidRDefault="00BE1ED7" w:rsidP="00033361">
            <w:pPr>
              <w:pStyle w:val="TableParagraph"/>
              <w:rPr>
                <w:rFonts w:ascii="Times New Roman"/>
                <w:sz w:val="10"/>
              </w:rPr>
            </w:pPr>
          </w:p>
          <w:p w:rsidR="00BE1ED7" w:rsidRDefault="00BE1ED7" w:rsidP="00033361">
            <w:pPr>
              <w:pStyle w:val="TableParagraph"/>
              <w:spacing w:before="9"/>
              <w:rPr>
                <w:rFonts w:ascii="Times New Roman"/>
                <w:sz w:val="12"/>
              </w:rPr>
            </w:pPr>
          </w:p>
          <w:p w:rsidR="00BE1ED7" w:rsidRDefault="00BE1ED7" w:rsidP="00033361">
            <w:pPr>
              <w:pStyle w:val="TableParagraph"/>
              <w:ind w:right="6"/>
              <w:jc w:val="right"/>
              <w:rPr>
                <w:sz w:val="10"/>
              </w:rPr>
            </w:pPr>
            <w:r>
              <w:rPr>
                <w:w w:val="103"/>
                <w:sz w:val="10"/>
              </w:rPr>
              <w:t>7</w:t>
            </w:r>
          </w:p>
        </w:tc>
        <w:tc>
          <w:tcPr>
            <w:tcW w:w="342" w:type="dxa"/>
          </w:tcPr>
          <w:p w:rsidR="00BE1ED7" w:rsidRDefault="00BE1ED7" w:rsidP="00033361">
            <w:pPr>
              <w:pStyle w:val="TableParagraph"/>
              <w:rPr>
                <w:rFonts w:ascii="Times New Roman"/>
                <w:sz w:val="10"/>
              </w:rPr>
            </w:pPr>
          </w:p>
          <w:p w:rsidR="00BE1ED7" w:rsidRDefault="00BE1ED7" w:rsidP="00033361">
            <w:pPr>
              <w:pStyle w:val="TableParagraph"/>
              <w:spacing w:before="9"/>
              <w:rPr>
                <w:rFonts w:ascii="Times New Roman"/>
                <w:sz w:val="12"/>
              </w:rPr>
            </w:pPr>
          </w:p>
          <w:p w:rsidR="00BE1ED7" w:rsidRDefault="00BE1ED7" w:rsidP="00033361">
            <w:pPr>
              <w:pStyle w:val="TableParagraph"/>
              <w:ind w:right="8"/>
              <w:jc w:val="right"/>
              <w:rPr>
                <w:sz w:val="10"/>
              </w:rPr>
            </w:pPr>
            <w:r>
              <w:rPr>
                <w:sz w:val="10"/>
              </w:rPr>
              <w:t>26</w:t>
            </w:r>
          </w:p>
        </w:tc>
        <w:tc>
          <w:tcPr>
            <w:tcW w:w="373" w:type="dxa"/>
          </w:tcPr>
          <w:p w:rsidR="00BE1ED7" w:rsidRDefault="00BE1ED7" w:rsidP="00033361">
            <w:pPr>
              <w:pStyle w:val="TableParagraph"/>
              <w:rPr>
                <w:rFonts w:ascii="Times New Roman"/>
                <w:sz w:val="10"/>
              </w:rPr>
            </w:pPr>
          </w:p>
          <w:p w:rsidR="00BE1ED7" w:rsidRDefault="00BE1ED7" w:rsidP="00033361">
            <w:pPr>
              <w:pStyle w:val="TableParagraph"/>
              <w:spacing w:before="9"/>
              <w:rPr>
                <w:rFonts w:ascii="Times New Roman"/>
                <w:sz w:val="12"/>
              </w:rPr>
            </w:pPr>
          </w:p>
          <w:p w:rsidR="00BE1ED7" w:rsidRDefault="00BE1ED7" w:rsidP="00033361">
            <w:pPr>
              <w:pStyle w:val="TableParagraph"/>
              <w:ind w:right="6"/>
              <w:jc w:val="right"/>
              <w:rPr>
                <w:sz w:val="10"/>
              </w:rPr>
            </w:pPr>
            <w:r>
              <w:rPr>
                <w:sz w:val="10"/>
              </w:rPr>
              <w:t>21:15</w:t>
            </w:r>
          </w:p>
        </w:tc>
        <w:tc>
          <w:tcPr>
            <w:tcW w:w="1187" w:type="dxa"/>
            <w:shd w:val="clear" w:color="auto" w:fill="FFD9EF"/>
          </w:tcPr>
          <w:p w:rsidR="00BE1ED7" w:rsidRDefault="00BE1ED7" w:rsidP="00033361">
            <w:pPr>
              <w:pStyle w:val="TableParagraph"/>
              <w:rPr>
                <w:rFonts w:ascii="Times New Roman"/>
                <w:sz w:val="10"/>
              </w:rPr>
            </w:pPr>
          </w:p>
          <w:p w:rsidR="00BE1ED7" w:rsidRDefault="00BE1ED7" w:rsidP="00033361">
            <w:pPr>
              <w:pStyle w:val="TableParagraph"/>
              <w:spacing w:before="9"/>
              <w:rPr>
                <w:rFonts w:ascii="Times New Roman"/>
                <w:sz w:val="12"/>
              </w:rPr>
            </w:pPr>
          </w:p>
          <w:p w:rsidR="00BE1ED7" w:rsidRDefault="00BE1ED7" w:rsidP="00033361">
            <w:pPr>
              <w:pStyle w:val="TableParagraph"/>
              <w:ind w:left="15"/>
              <w:rPr>
                <w:sz w:val="10"/>
              </w:rPr>
            </w:pPr>
            <w:r>
              <w:rPr>
                <w:w w:val="105"/>
                <w:sz w:val="10"/>
              </w:rPr>
              <w:t>major explosion</w:t>
            </w:r>
          </w:p>
        </w:tc>
        <w:tc>
          <w:tcPr>
            <w:tcW w:w="990" w:type="dxa"/>
          </w:tcPr>
          <w:p w:rsidR="00BE1ED7" w:rsidRDefault="00BE1ED7" w:rsidP="00033361">
            <w:pPr>
              <w:pStyle w:val="TableParagraph"/>
              <w:spacing w:before="7"/>
              <w:rPr>
                <w:rFonts w:ascii="Times New Roman"/>
                <w:sz w:val="10"/>
              </w:rPr>
            </w:pPr>
          </w:p>
          <w:p w:rsidR="00BE1ED7" w:rsidRDefault="00BE1ED7" w:rsidP="00033361">
            <w:pPr>
              <w:pStyle w:val="TableParagraph"/>
              <w:spacing w:before="1" w:line="273" w:lineRule="auto"/>
              <w:ind w:left="14" w:right="90"/>
              <w:rPr>
                <w:sz w:val="10"/>
              </w:rPr>
            </w:pPr>
            <w:r>
              <w:rPr>
                <w:sz w:val="10"/>
              </w:rPr>
              <w:t xml:space="preserve">UNIFI‐LGS reports; </w:t>
            </w:r>
            <w:r>
              <w:rPr>
                <w:w w:val="105"/>
                <w:sz w:val="10"/>
              </w:rPr>
              <w:t>INGV bulletins (major explosion)</w:t>
            </w:r>
          </w:p>
        </w:tc>
        <w:tc>
          <w:tcPr>
            <w:tcW w:w="1657" w:type="dxa"/>
            <w:shd w:val="clear" w:color="auto" w:fill="FFD9EF"/>
          </w:tcPr>
          <w:p w:rsidR="00BE1ED7" w:rsidRDefault="00BE1ED7" w:rsidP="00033361">
            <w:pPr>
              <w:pStyle w:val="TableParagraph"/>
              <w:spacing w:before="7"/>
              <w:rPr>
                <w:rFonts w:ascii="Times New Roman"/>
                <w:sz w:val="10"/>
              </w:rPr>
            </w:pPr>
          </w:p>
          <w:p w:rsidR="00BE1ED7" w:rsidRDefault="00BE1ED7" w:rsidP="00033361">
            <w:pPr>
              <w:pStyle w:val="TableParagraph"/>
              <w:spacing w:before="1"/>
              <w:ind w:left="12"/>
              <w:rPr>
                <w:sz w:val="10"/>
              </w:rPr>
            </w:pPr>
            <w:r>
              <w:rPr>
                <w:w w:val="105"/>
                <w:sz w:val="10"/>
              </w:rPr>
              <w:t>seismic displacement 0.22 x10^‐4 m</w:t>
            </w:r>
          </w:p>
          <w:p w:rsidR="00BE1ED7" w:rsidRDefault="00BE1ED7" w:rsidP="00033361">
            <w:pPr>
              <w:pStyle w:val="TableParagraph"/>
              <w:spacing w:before="6"/>
              <w:rPr>
                <w:rFonts w:ascii="Times New Roman"/>
                <w:sz w:val="13"/>
              </w:rPr>
            </w:pPr>
          </w:p>
          <w:p w:rsidR="00BE1ED7" w:rsidRDefault="00BE1ED7" w:rsidP="00033361">
            <w:pPr>
              <w:pStyle w:val="TableParagraph"/>
              <w:ind w:left="12"/>
              <w:rPr>
                <w:sz w:val="10"/>
              </w:rPr>
            </w:pPr>
            <w:r>
              <w:rPr>
                <w:w w:val="105"/>
                <w:sz w:val="10"/>
              </w:rPr>
              <w:t xml:space="preserve">tilt 1.9 </w:t>
            </w:r>
            <w:proofErr w:type="spellStart"/>
            <w:r>
              <w:rPr>
                <w:w w:val="105"/>
                <w:sz w:val="10"/>
              </w:rPr>
              <w:t>μrad</w:t>
            </w:r>
            <w:proofErr w:type="spellEnd"/>
            <w:r>
              <w:rPr>
                <w:w w:val="105"/>
                <w:sz w:val="10"/>
              </w:rPr>
              <w:t xml:space="preserve"> al </w:t>
            </w:r>
            <w:proofErr w:type="spellStart"/>
            <w:r>
              <w:rPr>
                <w:w w:val="105"/>
                <w:sz w:val="10"/>
              </w:rPr>
              <w:t>tiltmetro</w:t>
            </w:r>
            <w:proofErr w:type="spellEnd"/>
            <w:r>
              <w:rPr>
                <w:w w:val="105"/>
                <w:sz w:val="10"/>
              </w:rPr>
              <w:t xml:space="preserve"> OHO</w:t>
            </w:r>
          </w:p>
        </w:tc>
        <w:tc>
          <w:tcPr>
            <w:tcW w:w="611" w:type="dxa"/>
            <w:shd w:val="clear" w:color="auto" w:fill="FFD9EF"/>
          </w:tcPr>
          <w:p w:rsidR="00BE1ED7" w:rsidRDefault="00BE1ED7" w:rsidP="00033361">
            <w:pPr>
              <w:pStyle w:val="TableParagraph"/>
              <w:rPr>
                <w:rFonts w:ascii="Times New Roman"/>
                <w:sz w:val="10"/>
              </w:rPr>
            </w:pPr>
          </w:p>
          <w:p w:rsidR="00BE1ED7" w:rsidRDefault="00BE1ED7" w:rsidP="00033361">
            <w:pPr>
              <w:pStyle w:val="TableParagraph"/>
              <w:spacing w:before="9"/>
              <w:rPr>
                <w:rFonts w:ascii="Times New Roman"/>
                <w:sz w:val="12"/>
              </w:rPr>
            </w:pPr>
          </w:p>
          <w:p w:rsidR="00BE1ED7" w:rsidRDefault="00BE1ED7" w:rsidP="00033361">
            <w:pPr>
              <w:pStyle w:val="TableParagraph"/>
              <w:ind w:left="11"/>
              <w:rPr>
                <w:sz w:val="10"/>
              </w:rPr>
            </w:pPr>
            <w:r>
              <w:rPr>
                <w:w w:val="105"/>
                <w:sz w:val="10"/>
              </w:rPr>
              <w:t>13 Pa</w:t>
            </w:r>
          </w:p>
        </w:tc>
        <w:tc>
          <w:tcPr>
            <w:tcW w:w="373" w:type="dxa"/>
            <w:shd w:val="clear" w:color="auto" w:fill="FFD9EF"/>
          </w:tcPr>
          <w:p w:rsidR="00BE1ED7" w:rsidRDefault="00BE1ED7" w:rsidP="00033361">
            <w:pPr>
              <w:pStyle w:val="TableParagraph"/>
              <w:rPr>
                <w:rFonts w:ascii="Times New Roman"/>
                <w:sz w:val="10"/>
              </w:rPr>
            </w:pPr>
          </w:p>
          <w:p w:rsidR="00BE1ED7" w:rsidRDefault="00BE1ED7" w:rsidP="00033361">
            <w:pPr>
              <w:pStyle w:val="TableParagraph"/>
              <w:spacing w:before="9"/>
              <w:rPr>
                <w:rFonts w:ascii="Times New Roman"/>
                <w:sz w:val="12"/>
              </w:rPr>
            </w:pPr>
          </w:p>
          <w:p w:rsidR="00BE1ED7" w:rsidRDefault="00BE1ED7" w:rsidP="00033361">
            <w:pPr>
              <w:pStyle w:val="TableParagraph"/>
              <w:ind w:left="10"/>
              <w:rPr>
                <w:sz w:val="10"/>
              </w:rPr>
            </w:pPr>
            <w:r>
              <w:rPr>
                <w:w w:val="105"/>
                <w:sz w:val="10"/>
              </w:rPr>
              <w:t>CS+N</w:t>
            </w:r>
          </w:p>
        </w:tc>
        <w:tc>
          <w:tcPr>
            <w:tcW w:w="2574" w:type="dxa"/>
            <w:shd w:val="clear" w:color="auto" w:fill="FFD9EF"/>
          </w:tcPr>
          <w:p w:rsidR="00BE1ED7" w:rsidRDefault="00BE1ED7" w:rsidP="00033361">
            <w:pPr>
              <w:pStyle w:val="TableParagraph"/>
              <w:spacing w:before="53" w:line="273" w:lineRule="auto"/>
              <w:ind w:left="9" w:right="28"/>
              <w:rPr>
                <w:sz w:val="10"/>
              </w:rPr>
            </w:pPr>
            <w:r>
              <w:rPr>
                <w:w w:val="105"/>
                <w:sz w:val="10"/>
              </w:rPr>
              <w:t xml:space="preserve">three explosions, coarse products fell along </w:t>
            </w:r>
            <w:proofErr w:type="spellStart"/>
            <w:r>
              <w:rPr>
                <w:w w:val="105"/>
                <w:sz w:val="10"/>
              </w:rPr>
              <w:t>Sciara</w:t>
            </w:r>
            <w:proofErr w:type="spellEnd"/>
            <w:r>
              <w:rPr>
                <w:w w:val="105"/>
                <w:sz w:val="10"/>
              </w:rPr>
              <w:t xml:space="preserve"> del </w:t>
            </w:r>
            <w:proofErr w:type="spellStart"/>
            <w:r>
              <w:rPr>
                <w:w w:val="105"/>
                <w:sz w:val="10"/>
              </w:rPr>
              <w:t>Fuoco</w:t>
            </w:r>
            <w:proofErr w:type="spellEnd"/>
          </w:p>
          <w:p w:rsidR="00BE1ED7" w:rsidRDefault="00BE1ED7" w:rsidP="00033361">
            <w:pPr>
              <w:pStyle w:val="TableParagraph"/>
              <w:spacing w:before="1"/>
              <w:rPr>
                <w:rFonts w:ascii="Times New Roman"/>
                <w:sz w:val="12"/>
              </w:rPr>
            </w:pPr>
          </w:p>
          <w:p w:rsidR="00BE1ED7" w:rsidRDefault="00BE1ED7" w:rsidP="00033361">
            <w:pPr>
              <w:pStyle w:val="TableParagraph"/>
              <w:ind w:left="9"/>
              <w:rPr>
                <w:sz w:val="10"/>
              </w:rPr>
            </w:pPr>
            <w:r>
              <w:rPr>
                <w:w w:val="105"/>
                <w:sz w:val="10"/>
              </w:rPr>
              <w:t>eruptive column 500 m high, dispersion to the E</w:t>
            </w:r>
          </w:p>
        </w:tc>
        <w:tc>
          <w:tcPr>
            <w:tcW w:w="714" w:type="dxa"/>
          </w:tcPr>
          <w:p w:rsidR="00BE1ED7" w:rsidRDefault="00BE1ED7" w:rsidP="00033361">
            <w:pPr>
              <w:pStyle w:val="TableParagraph"/>
              <w:spacing w:line="106" w:lineRule="exact"/>
              <w:ind w:left="8"/>
              <w:rPr>
                <w:sz w:val="10"/>
              </w:rPr>
            </w:pPr>
            <w:r>
              <w:rPr>
                <w:w w:val="105"/>
                <w:sz w:val="10"/>
              </w:rPr>
              <w:t>Shelter 750 m</w:t>
            </w:r>
          </w:p>
          <w:p w:rsidR="00BE1ED7" w:rsidRDefault="00BE1ED7" w:rsidP="00033361">
            <w:pPr>
              <w:pStyle w:val="TableParagraph"/>
              <w:spacing w:before="17"/>
              <w:ind w:left="8"/>
              <w:rPr>
                <w:sz w:val="10"/>
              </w:rPr>
            </w:pPr>
            <w:proofErr w:type="spellStart"/>
            <w:r>
              <w:rPr>
                <w:w w:val="105"/>
                <w:sz w:val="10"/>
              </w:rPr>
              <w:t>asl</w:t>
            </w:r>
            <w:proofErr w:type="spellEnd"/>
          </w:p>
          <w:p w:rsidR="00BE1ED7" w:rsidRDefault="00BE1ED7" w:rsidP="00033361">
            <w:pPr>
              <w:pStyle w:val="TableParagraph"/>
              <w:rPr>
                <w:rFonts w:ascii="Times New Roman"/>
                <w:sz w:val="12"/>
              </w:rPr>
            </w:pPr>
          </w:p>
          <w:p w:rsidR="00BE1ED7" w:rsidRDefault="00BE1ED7" w:rsidP="00033361">
            <w:pPr>
              <w:pStyle w:val="TableParagraph"/>
              <w:spacing w:line="140" w:lineRule="atLeast"/>
              <w:ind w:left="8" w:right="50"/>
              <w:rPr>
                <w:sz w:val="10"/>
              </w:rPr>
            </w:pPr>
            <w:proofErr w:type="spellStart"/>
            <w:r>
              <w:rPr>
                <w:w w:val="105"/>
                <w:sz w:val="10"/>
              </w:rPr>
              <w:t>Labronzo</w:t>
            </w:r>
            <w:proofErr w:type="spellEnd"/>
            <w:r>
              <w:rPr>
                <w:w w:val="105"/>
                <w:sz w:val="10"/>
              </w:rPr>
              <w:t xml:space="preserve"> 190 m </w:t>
            </w:r>
            <w:proofErr w:type="spellStart"/>
            <w:r>
              <w:rPr>
                <w:w w:val="105"/>
                <w:sz w:val="10"/>
              </w:rPr>
              <w:t>asl</w:t>
            </w:r>
            <w:proofErr w:type="spellEnd"/>
          </w:p>
        </w:tc>
      </w:tr>
      <w:tr w:rsidR="00BE1ED7" w:rsidTr="0058335B">
        <w:trPr>
          <w:trHeight w:val="652"/>
          <w:jc w:val="center"/>
        </w:trPr>
        <w:tc>
          <w:tcPr>
            <w:tcW w:w="334" w:type="dxa"/>
          </w:tcPr>
          <w:p w:rsidR="00BE1ED7" w:rsidRDefault="00BE1ED7" w:rsidP="00033361">
            <w:pPr>
              <w:pStyle w:val="TableParagraph"/>
              <w:rPr>
                <w:rFonts w:ascii="Times New Roman"/>
                <w:sz w:val="10"/>
              </w:rPr>
            </w:pPr>
          </w:p>
          <w:p w:rsidR="00BE1ED7" w:rsidRDefault="00BE1ED7" w:rsidP="00033361">
            <w:pPr>
              <w:pStyle w:val="TableParagraph"/>
              <w:spacing w:before="8"/>
              <w:rPr>
                <w:rFonts w:ascii="Times New Roman"/>
                <w:sz w:val="12"/>
              </w:rPr>
            </w:pPr>
          </w:p>
          <w:p w:rsidR="00BE1ED7" w:rsidRDefault="00BE1ED7" w:rsidP="00033361">
            <w:pPr>
              <w:pStyle w:val="TableParagraph"/>
              <w:ind w:right="7"/>
              <w:jc w:val="right"/>
              <w:rPr>
                <w:sz w:val="10"/>
              </w:rPr>
            </w:pPr>
            <w:r>
              <w:rPr>
                <w:sz w:val="10"/>
              </w:rPr>
              <w:t>2024</w:t>
            </w:r>
          </w:p>
        </w:tc>
        <w:tc>
          <w:tcPr>
            <w:tcW w:w="440" w:type="dxa"/>
          </w:tcPr>
          <w:p w:rsidR="00BE1ED7" w:rsidRDefault="00BE1ED7" w:rsidP="00033361">
            <w:pPr>
              <w:pStyle w:val="TableParagraph"/>
              <w:rPr>
                <w:rFonts w:ascii="Times New Roman"/>
                <w:sz w:val="10"/>
              </w:rPr>
            </w:pPr>
          </w:p>
          <w:p w:rsidR="00BE1ED7" w:rsidRDefault="00BE1ED7" w:rsidP="00033361">
            <w:pPr>
              <w:pStyle w:val="TableParagraph"/>
              <w:spacing w:before="8"/>
              <w:rPr>
                <w:rFonts w:ascii="Times New Roman"/>
                <w:sz w:val="12"/>
              </w:rPr>
            </w:pPr>
          </w:p>
          <w:p w:rsidR="00BE1ED7" w:rsidRDefault="00BE1ED7" w:rsidP="00033361">
            <w:pPr>
              <w:pStyle w:val="TableParagraph"/>
              <w:ind w:right="6"/>
              <w:jc w:val="right"/>
              <w:rPr>
                <w:sz w:val="10"/>
              </w:rPr>
            </w:pPr>
            <w:r>
              <w:rPr>
                <w:w w:val="103"/>
                <w:sz w:val="10"/>
              </w:rPr>
              <w:t>8</w:t>
            </w:r>
          </w:p>
        </w:tc>
        <w:tc>
          <w:tcPr>
            <w:tcW w:w="342" w:type="dxa"/>
          </w:tcPr>
          <w:p w:rsidR="00BE1ED7" w:rsidRDefault="00BE1ED7" w:rsidP="00033361">
            <w:pPr>
              <w:pStyle w:val="TableParagraph"/>
              <w:rPr>
                <w:rFonts w:ascii="Times New Roman"/>
                <w:sz w:val="10"/>
              </w:rPr>
            </w:pPr>
          </w:p>
          <w:p w:rsidR="00BE1ED7" w:rsidRDefault="00BE1ED7" w:rsidP="00033361">
            <w:pPr>
              <w:pStyle w:val="TableParagraph"/>
              <w:spacing w:before="8"/>
              <w:rPr>
                <w:rFonts w:ascii="Times New Roman"/>
                <w:sz w:val="12"/>
              </w:rPr>
            </w:pPr>
          </w:p>
          <w:p w:rsidR="00BE1ED7" w:rsidRDefault="00BE1ED7" w:rsidP="00033361">
            <w:pPr>
              <w:pStyle w:val="TableParagraph"/>
              <w:ind w:right="8"/>
              <w:jc w:val="right"/>
              <w:rPr>
                <w:sz w:val="10"/>
              </w:rPr>
            </w:pPr>
            <w:r>
              <w:rPr>
                <w:sz w:val="10"/>
              </w:rPr>
              <w:t>25</w:t>
            </w:r>
          </w:p>
        </w:tc>
        <w:tc>
          <w:tcPr>
            <w:tcW w:w="373" w:type="dxa"/>
          </w:tcPr>
          <w:p w:rsidR="00BE1ED7" w:rsidRDefault="00BE1ED7" w:rsidP="00033361">
            <w:pPr>
              <w:pStyle w:val="TableParagraph"/>
              <w:rPr>
                <w:rFonts w:ascii="Times New Roman"/>
                <w:sz w:val="10"/>
              </w:rPr>
            </w:pPr>
          </w:p>
          <w:p w:rsidR="00BE1ED7" w:rsidRDefault="00BE1ED7" w:rsidP="00033361">
            <w:pPr>
              <w:pStyle w:val="TableParagraph"/>
              <w:spacing w:before="8"/>
              <w:rPr>
                <w:rFonts w:ascii="Times New Roman"/>
                <w:sz w:val="12"/>
              </w:rPr>
            </w:pPr>
          </w:p>
          <w:p w:rsidR="00BE1ED7" w:rsidRDefault="00BE1ED7" w:rsidP="00033361">
            <w:pPr>
              <w:pStyle w:val="TableParagraph"/>
              <w:ind w:right="5"/>
              <w:jc w:val="right"/>
              <w:rPr>
                <w:sz w:val="10"/>
              </w:rPr>
            </w:pPr>
            <w:r>
              <w:rPr>
                <w:sz w:val="10"/>
              </w:rPr>
              <w:t>9:40</w:t>
            </w:r>
          </w:p>
        </w:tc>
        <w:tc>
          <w:tcPr>
            <w:tcW w:w="1187" w:type="dxa"/>
            <w:shd w:val="clear" w:color="auto" w:fill="FFF3F9"/>
          </w:tcPr>
          <w:p w:rsidR="00BE1ED7" w:rsidRDefault="00BE1ED7" w:rsidP="00033361">
            <w:pPr>
              <w:pStyle w:val="TableParagraph"/>
              <w:rPr>
                <w:rFonts w:ascii="Times New Roman"/>
                <w:sz w:val="10"/>
              </w:rPr>
            </w:pPr>
          </w:p>
          <w:p w:rsidR="00BE1ED7" w:rsidRDefault="00BE1ED7" w:rsidP="00033361">
            <w:pPr>
              <w:pStyle w:val="TableParagraph"/>
              <w:spacing w:before="8"/>
              <w:rPr>
                <w:rFonts w:ascii="Times New Roman"/>
                <w:sz w:val="12"/>
              </w:rPr>
            </w:pPr>
          </w:p>
          <w:p w:rsidR="00BE1ED7" w:rsidRDefault="00BE1ED7" w:rsidP="00033361">
            <w:pPr>
              <w:pStyle w:val="TableParagraph"/>
              <w:ind w:left="15"/>
              <w:rPr>
                <w:sz w:val="10"/>
              </w:rPr>
            </w:pPr>
            <w:r>
              <w:rPr>
                <w:w w:val="105"/>
                <w:sz w:val="10"/>
              </w:rPr>
              <w:t>uncertain major explosion</w:t>
            </w:r>
          </w:p>
        </w:tc>
        <w:tc>
          <w:tcPr>
            <w:tcW w:w="990" w:type="dxa"/>
          </w:tcPr>
          <w:p w:rsidR="00BE1ED7" w:rsidRDefault="00BE1ED7" w:rsidP="00033361">
            <w:pPr>
              <w:pStyle w:val="TableParagraph"/>
              <w:spacing w:line="105" w:lineRule="exact"/>
              <w:ind w:left="14"/>
              <w:rPr>
                <w:sz w:val="10"/>
              </w:rPr>
            </w:pPr>
            <w:r>
              <w:rPr>
                <w:sz w:val="10"/>
              </w:rPr>
              <w:t>UNIFI‐LGS</w:t>
            </w:r>
            <w:r>
              <w:rPr>
                <w:spacing w:val="19"/>
                <w:sz w:val="10"/>
              </w:rPr>
              <w:t xml:space="preserve"> </w:t>
            </w:r>
            <w:r>
              <w:rPr>
                <w:sz w:val="10"/>
              </w:rPr>
              <w:t>reports</w:t>
            </w:r>
          </w:p>
          <w:p w:rsidR="00BE1ED7" w:rsidRDefault="00BE1ED7" w:rsidP="00033361">
            <w:pPr>
              <w:pStyle w:val="TableParagraph"/>
              <w:spacing w:before="17"/>
              <w:ind w:left="14"/>
              <w:rPr>
                <w:sz w:val="10"/>
              </w:rPr>
            </w:pPr>
            <w:r>
              <w:rPr>
                <w:sz w:val="10"/>
              </w:rPr>
              <w:t>(major</w:t>
            </w:r>
            <w:r>
              <w:rPr>
                <w:spacing w:val="17"/>
                <w:sz w:val="10"/>
              </w:rPr>
              <w:t xml:space="preserve"> </w:t>
            </w:r>
            <w:r>
              <w:rPr>
                <w:sz w:val="10"/>
              </w:rPr>
              <w:t>explosion)</w:t>
            </w:r>
          </w:p>
          <w:p w:rsidR="00BE1ED7" w:rsidRDefault="00BE1ED7" w:rsidP="00033361">
            <w:pPr>
              <w:pStyle w:val="TableParagraph"/>
              <w:rPr>
                <w:rFonts w:ascii="Times New Roman"/>
                <w:sz w:val="12"/>
              </w:rPr>
            </w:pPr>
          </w:p>
          <w:p w:rsidR="00BE1ED7" w:rsidRDefault="00BE1ED7" w:rsidP="00033361">
            <w:pPr>
              <w:pStyle w:val="TableParagraph"/>
              <w:spacing w:line="140" w:lineRule="atLeast"/>
              <w:ind w:left="14" w:right="90"/>
              <w:rPr>
                <w:sz w:val="10"/>
              </w:rPr>
            </w:pPr>
            <w:r>
              <w:rPr>
                <w:w w:val="105"/>
                <w:sz w:val="10"/>
              </w:rPr>
              <w:t>INGV bulletins (unclear)</w:t>
            </w:r>
          </w:p>
        </w:tc>
        <w:tc>
          <w:tcPr>
            <w:tcW w:w="1657" w:type="dxa"/>
            <w:shd w:val="clear" w:color="auto" w:fill="FFF3F9"/>
          </w:tcPr>
          <w:p w:rsidR="00BE1ED7" w:rsidRDefault="00BE1ED7" w:rsidP="00033361">
            <w:pPr>
              <w:pStyle w:val="TableParagraph"/>
              <w:spacing w:before="6"/>
              <w:rPr>
                <w:rFonts w:ascii="Times New Roman"/>
                <w:sz w:val="10"/>
              </w:rPr>
            </w:pPr>
          </w:p>
          <w:p w:rsidR="00BE1ED7" w:rsidRDefault="00BE1ED7" w:rsidP="00033361">
            <w:pPr>
              <w:pStyle w:val="TableParagraph"/>
              <w:spacing w:before="1"/>
              <w:ind w:left="12"/>
              <w:rPr>
                <w:sz w:val="10"/>
              </w:rPr>
            </w:pPr>
            <w:r>
              <w:rPr>
                <w:w w:val="105"/>
                <w:sz w:val="10"/>
              </w:rPr>
              <w:t>seismic displacement 0.12 x10^‐4 m</w:t>
            </w:r>
          </w:p>
          <w:p w:rsidR="00BE1ED7" w:rsidRDefault="00BE1ED7" w:rsidP="00033361">
            <w:pPr>
              <w:pStyle w:val="TableParagraph"/>
              <w:spacing w:before="6"/>
              <w:rPr>
                <w:rFonts w:ascii="Times New Roman"/>
                <w:sz w:val="13"/>
              </w:rPr>
            </w:pPr>
          </w:p>
          <w:p w:rsidR="00BE1ED7" w:rsidRDefault="00BE1ED7" w:rsidP="00033361">
            <w:pPr>
              <w:pStyle w:val="TableParagraph"/>
              <w:ind w:left="12"/>
              <w:rPr>
                <w:sz w:val="10"/>
              </w:rPr>
            </w:pPr>
            <w:r>
              <w:rPr>
                <w:w w:val="105"/>
                <w:sz w:val="10"/>
              </w:rPr>
              <w:t xml:space="preserve">tilt 0.4 </w:t>
            </w:r>
            <w:proofErr w:type="spellStart"/>
            <w:r>
              <w:rPr>
                <w:w w:val="105"/>
                <w:sz w:val="10"/>
              </w:rPr>
              <w:t>μrad</w:t>
            </w:r>
            <w:proofErr w:type="spellEnd"/>
            <w:r>
              <w:rPr>
                <w:w w:val="105"/>
                <w:sz w:val="10"/>
              </w:rPr>
              <w:t xml:space="preserve"> al </w:t>
            </w:r>
            <w:proofErr w:type="spellStart"/>
            <w:r>
              <w:rPr>
                <w:w w:val="105"/>
                <w:sz w:val="10"/>
              </w:rPr>
              <w:t>tiltmetro</w:t>
            </w:r>
            <w:proofErr w:type="spellEnd"/>
            <w:r>
              <w:rPr>
                <w:w w:val="105"/>
                <w:sz w:val="10"/>
              </w:rPr>
              <w:t xml:space="preserve"> OHO</w:t>
            </w:r>
          </w:p>
        </w:tc>
        <w:tc>
          <w:tcPr>
            <w:tcW w:w="611" w:type="dxa"/>
            <w:shd w:val="clear" w:color="auto" w:fill="FFF3F9"/>
          </w:tcPr>
          <w:p w:rsidR="00BE1ED7" w:rsidRDefault="00BE1ED7" w:rsidP="00033361">
            <w:pPr>
              <w:pStyle w:val="TableParagraph"/>
              <w:rPr>
                <w:rFonts w:ascii="Times New Roman"/>
                <w:sz w:val="10"/>
              </w:rPr>
            </w:pPr>
          </w:p>
          <w:p w:rsidR="00BE1ED7" w:rsidRDefault="00BE1ED7" w:rsidP="00033361">
            <w:pPr>
              <w:pStyle w:val="TableParagraph"/>
              <w:spacing w:before="8"/>
              <w:rPr>
                <w:rFonts w:ascii="Times New Roman"/>
                <w:sz w:val="12"/>
              </w:rPr>
            </w:pPr>
          </w:p>
          <w:p w:rsidR="00BE1ED7" w:rsidRDefault="00BE1ED7" w:rsidP="00033361">
            <w:pPr>
              <w:pStyle w:val="TableParagraph"/>
              <w:ind w:left="11"/>
              <w:rPr>
                <w:sz w:val="10"/>
              </w:rPr>
            </w:pPr>
            <w:r>
              <w:rPr>
                <w:w w:val="105"/>
                <w:sz w:val="10"/>
              </w:rPr>
              <w:t>80 Pa</w:t>
            </w:r>
          </w:p>
        </w:tc>
        <w:tc>
          <w:tcPr>
            <w:tcW w:w="373" w:type="dxa"/>
            <w:shd w:val="clear" w:color="auto" w:fill="FFF3F9"/>
          </w:tcPr>
          <w:p w:rsidR="00BE1ED7" w:rsidRDefault="00BE1ED7" w:rsidP="00033361">
            <w:pPr>
              <w:pStyle w:val="TableParagraph"/>
              <w:rPr>
                <w:rFonts w:ascii="Times New Roman"/>
                <w:sz w:val="10"/>
              </w:rPr>
            </w:pPr>
          </w:p>
          <w:p w:rsidR="00BE1ED7" w:rsidRDefault="00BE1ED7" w:rsidP="00033361">
            <w:pPr>
              <w:pStyle w:val="TableParagraph"/>
              <w:spacing w:before="8"/>
              <w:rPr>
                <w:rFonts w:ascii="Times New Roman"/>
                <w:sz w:val="12"/>
              </w:rPr>
            </w:pPr>
          </w:p>
          <w:p w:rsidR="00BE1ED7" w:rsidRDefault="00BE1ED7" w:rsidP="00033361">
            <w:pPr>
              <w:pStyle w:val="TableParagraph"/>
              <w:ind w:left="10"/>
              <w:rPr>
                <w:sz w:val="10"/>
              </w:rPr>
            </w:pPr>
            <w:r>
              <w:rPr>
                <w:w w:val="103"/>
                <w:sz w:val="10"/>
              </w:rPr>
              <w:t>N</w:t>
            </w:r>
          </w:p>
        </w:tc>
        <w:tc>
          <w:tcPr>
            <w:tcW w:w="2574" w:type="dxa"/>
            <w:shd w:val="clear" w:color="auto" w:fill="FFF3F9"/>
          </w:tcPr>
          <w:p w:rsidR="00BE1ED7" w:rsidRDefault="00BE1ED7" w:rsidP="00033361">
            <w:pPr>
              <w:pStyle w:val="TableParagraph"/>
              <w:rPr>
                <w:rFonts w:ascii="Times New Roman"/>
                <w:sz w:val="10"/>
              </w:rPr>
            </w:pPr>
          </w:p>
          <w:p w:rsidR="00BE1ED7" w:rsidRDefault="00BE1ED7" w:rsidP="00033361">
            <w:pPr>
              <w:pStyle w:val="TableParagraph"/>
              <w:spacing w:before="76" w:line="273" w:lineRule="auto"/>
              <w:ind w:left="9"/>
              <w:rPr>
                <w:sz w:val="10"/>
              </w:rPr>
            </w:pPr>
            <w:r>
              <w:rPr>
                <w:w w:val="105"/>
                <w:sz w:val="10"/>
              </w:rPr>
              <w:t xml:space="preserve">coarse products fell along </w:t>
            </w:r>
            <w:proofErr w:type="spellStart"/>
            <w:r>
              <w:rPr>
                <w:w w:val="105"/>
                <w:sz w:val="10"/>
              </w:rPr>
              <w:t>Sciara</w:t>
            </w:r>
            <w:proofErr w:type="spellEnd"/>
            <w:r>
              <w:rPr>
                <w:w w:val="105"/>
                <w:sz w:val="10"/>
              </w:rPr>
              <w:t xml:space="preserve"> del </w:t>
            </w:r>
            <w:proofErr w:type="spellStart"/>
            <w:r>
              <w:rPr>
                <w:w w:val="105"/>
                <w:sz w:val="10"/>
              </w:rPr>
              <w:t>Fuoco</w:t>
            </w:r>
            <w:proofErr w:type="spellEnd"/>
            <w:r>
              <w:rPr>
                <w:w w:val="105"/>
                <w:sz w:val="10"/>
              </w:rPr>
              <w:t>, total duration 2 min</w:t>
            </w:r>
          </w:p>
        </w:tc>
        <w:tc>
          <w:tcPr>
            <w:tcW w:w="714" w:type="dxa"/>
          </w:tcPr>
          <w:p w:rsidR="00BE1ED7" w:rsidRPr="00033361" w:rsidRDefault="00BE1ED7" w:rsidP="00033361">
            <w:pPr>
              <w:pStyle w:val="TableParagraph"/>
              <w:spacing w:line="105" w:lineRule="exact"/>
              <w:ind w:left="8"/>
              <w:rPr>
                <w:sz w:val="10"/>
                <w:lang w:val="it-IT"/>
              </w:rPr>
            </w:pPr>
            <w:r w:rsidRPr="00033361">
              <w:rPr>
                <w:w w:val="105"/>
                <w:sz w:val="10"/>
                <w:lang w:val="it-IT"/>
              </w:rPr>
              <w:t>Labronzo 190</w:t>
            </w:r>
          </w:p>
          <w:p w:rsidR="00BE1ED7" w:rsidRPr="00033361" w:rsidRDefault="00BE1ED7" w:rsidP="00033361">
            <w:pPr>
              <w:pStyle w:val="TableParagraph"/>
              <w:spacing w:before="17"/>
              <w:ind w:left="8"/>
              <w:rPr>
                <w:sz w:val="10"/>
                <w:lang w:val="it-IT"/>
              </w:rPr>
            </w:pPr>
            <w:r w:rsidRPr="00033361">
              <w:rPr>
                <w:w w:val="105"/>
                <w:sz w:val="10"/>
                <w:lang w:val="it-IT"/>
              </w:rPr>
              <w:t>m asl</w:t>
            </w:r>
          </w:p>
          <w:p w:rsidR="00BE1ED7" w:rsidRPr="00033361" w:rsidRDefault="00BE1ED7" w:rsidP="00033361">
            <w:pPr>
              <w:pStyle w:val="TableParagraph"/>
              <w:spacing w:before="6"/>
              <w:rPr>
                <w:rFonts w:ascii="Times New Roman"/>
                <w:sz w:val="13"/>
                <w:lang w:val="it-IT"/>
              </w:rPr>
            </w:pPr>
          </w:p>
          <w:p w:rsidR="00BE1ED7" w:rsidRPr="00033361" w:rsidRDefault="00BE1ED7" w:rsidP="00033361">
            <w:pPr>
              <w:pStyle w:val="TableParagraph"/>
              <w:spacing w:before="1"/>
              <w:ind w:left="8"/>
              <w:rPr>
                <w:sz w:val="10"/>
                <w:lang w:val="it-IT"/>
              </w:rPr>
            </w:pPr>
            <w:r w:rsidRPr="00033361">
              <w:rPr>
                <w:w w:val="105"/>
                <w:sz w:val="10"/>
                <w:lang w:val="it-IT"/>
              </w:rPr>
              <w:t>Punta dei Corvi</w:t>
            </w:r>
          </w:p>
          <w:p w:rsidR="00BE1ED7" w:rsidRDefault="00BE1ED7" w:rsidP="00033361">
            <w:pPr>
              <w:pStyle w:val="TableParagraph"/>
              <w:spacing w:before="17" w:line="93" w:lineRule="exact"/>
              <w:ind w:left="8"/>
              <w:rPr>
                <w:sz w:val="10"/>
              </w:rPr>
            </w:pPr>
            <w:r>
              <w:rPr>
                <w:w w:val="105"/>
                <w:sz w:val="10"/>
              </w:rPr>
              <w:t xml:space="preserve">&lt; 100 m </w:t>
            </w:r>
            <w:proofErr w:type="spellStart"/>
            <w:r>
              <w:rPr>
                <w:w w:val="105"/>
                <w:sz w:val="10"/>
              </w:rPr>
              <w:t>asl</w:t>
            </w:r>
            <w:proofErr w:type="spellEnd"/>
          </w:p>
        </w:tc>
      </w:tr>
      <w:tr w:rsidR="00BE1ED7" w:rsidTr="0058335B">
        <w:trPr>
          <w:trHeight w:val="652"/>
          <w:jc w:val="center"/>
        </w:trPr>
        <w:tc>
          <w:tcPr>
            <w:tcW w:w="334" w:type="dxa"/>
          </w:tcPr>
          <w:p w:rsidR="00BE1ED7" w:rsidRDefault="00BE1ED7" w:rsidP="00033361">
            <w:pPr>
              <w:pStyle w:val="TableParagraph"/>
              <w:rPr>
                <w:rFonts w:ascii="Times New Roman"/>
                <w:sz w:val="10"/>
              </w:rPr>
            </w:pPr>
          </w:p>
          <w:p w:rsidR="00BE1ED7" w:rsidRDefault="00BE1ED7" w:rsidP="00033361">
            <w:pPr>
              <w:pStyle w:val="TableParagraph"/>
              <w:spacing w:before="8"/>
              <w:rPr>
                <w:rFonts w:ascii="Times New Roman"/>
                <w:sz w:val="12"/>
              </w:rPr>
            </w:pPr>
          </w:p>
          <w:p w:rsidR="00BE1ED7" w:rsidRDefault="00BE1ED7" w:rsidP="00033361">
            <w:pPr>
              <w:pStyle w:val="TableParagraph"/>
              <w:ind w:right="7"/>
              <w:jc w:val="right"/>
              <w:rPr>
                <w:sz w:val="10"/>
              </w:rPr>
            </w:pPr>
            <w:r>
              <w:rPr>
                <w:sz w:val="10"/>
              </w:rPr>
              <w:t>2024</w:t>
            </w:r>
          </w:p>
        </w:tc>
        <w:tc>
          <w:tcPr>
            <w:tcW w:w="440" w:type="dxa"/>
          </w:tcPr>
          <w:p w:rsidR="00BE1ED7" w:rsidRDefault="00BE1ED7" w:rsidP="00033361">
            <w:pPr>
              <w:pStyle w:val="TableParagraph"/>
              <w:rPr>
                <w:rFonts w:ascii="Times New Roman"/>
                <w:sz w:val="10"/>
              </w:rPr>
            </w:pPr>
          </w:p>
          <w:p w:rsidR="00BE1ED7" w:rsidRDefault="00BE1ED7" w:rsidP="00033361">
            <w:pPr>
              <w:pStyle w:val="TableParagraph"/>
              <w:spacing w:before="8"/>
              <w:rPr>
                <w:rFonts w:ascii="Times New Roman"/>
                <w:sz w:val="12"/>
              </w:rPr>
            </w:pPr>
          </w:p>
          <w:p w:rsidR="00BE1ED7" w:rsidRDefault="00BE1ED7" w:rsidP="00033361">
            <w:pPr>
              <w:pStyle w:val="TableParagraph"/>
              <w:ind w:right="7"/>
              <w:jc w:val="right"/>
              <w:rPr>
                <w:sz w:val="10"/>
              </w:rPr>
            </w:pPr>
            <w:r>
              <w:rPr>
                <w:sz w:val="10"/>
              </w:rPr>
              <w:t>10</w:t>
            </w:r>
          </w:p>
        </w:tc>
        <w:tc>
          <w:tcPr>
            <w:tcW w:w="342" w:type="dxa"/>
          </w:tcPr>
          <w:p w:rsidR="00BE1ED7" w:rsidRDefault="00BE1ED7" w:rsidP="00033361">
            <w:pPr>
              <w:pStyle w:val="TableParagraph"/>
              <w:rPr>
                <w:rFonts w:ascii="Times New Roman"/>
                <w:sz w:val="10"/>
              </w:rPr>
            </w:pPr>
          </w:p>
          <w:p w:rsidR="00BE1ED7" w:rsidRDefault="00BE1ED7" w:rsidP="00033361">
            <w:pPr>
              <w:pStyle w:val="TableParagraph"/>
              <w:spacing w:before="8"/>
              <w:rPr>
                <w:rFonts w:ascii="Times New Roman"/>
                <w:sz w:val="12"/>
              </w:rPr>
            </w:pPr>
          </w:p>
          <w:p w:rsidR="00BE1ED7" w:rsidRDefault="00BE1ED7" w:rsidP="00033361">
            <w:pPr>
              <w:pStyle w:val="TableParagraph"/>
              <w:ind w:right="7"/>
              <w:jc w:val="right"/>
              <w:rPr>
                <w:sz w:val="10"/>
              </w:rPr>
            </w:pPr>
            <w:r>
              <w:rPr>
                <w:w w:val="103"/>
                <w:sz w:val="10"/>
              </w:rPr>
              <w:t>6</w:t>
            </w:r>
          </w:p>
        </w:tc>
        <w:tc>
          <w:tcPr>
            <w:tcW w:w="373" w:type="dxa"/>
          </w:tcPr>
          <w:p w:rsidR="00BE1ED7" w:rsidRDefault="00BE1ED7" w:rsidP="00033361">
            <w:pPr>
              <w:pStyle w:val="TableParagraph"/>
              <w:rPr>
                <w:rFonts w:ascii="Times New Roman"/>
                <w:sz w:val="10"/>
              </w:rPr>
            </w:pPr>
          </w:p>
          <w:p w:rsidR="00BE1ED7" w:rsidRDefault="00BE1ED7" w:rsidP="00033361">
            <w:pPr>
              <w:pStyle w:val="TableParagraph"/>
              <w:spacing w:before="8"/>
              <w:rPr>
                <w:rFonts w:ascii="Times New Roman"/>
                <w:sz w:val="12"/>
              </w:rPr>
            </w:pPr>
          </w:p>
          <w:p w:rsidR="00BE1ED7" w:rsidRDefault="00BE1ED7" w:rsidP="00033361">
            <w:pPr>
              <w:pStyle w:val="TableParagraph"/>
              <w:ind w:right="7"/>
              <w:jc w:val="right"/>
              <w:rPr>
                <w:sz w:val="10"/>
              </w:rPr>
            </w:pPr>
            <w:r>
              <w:rPr>
                <w:sz w:val="10"/>
              </w:rPr>
              <w:t>0:17</w:t>
            </w:r>
          </w:p>
        </w:tc>
        <w:tc>
          <w:tcPr>
            <w:tcW w:w="1187" w:type="dxa"/>
            <w:shd w:val="clear" w:color="auto" w:fill="FFD9EF"/>
          </w:tcPr>
          <w:p w:rsidR="00BE1ED7" w:rsidRDefault="00BE1ED7" w:rsidP="00033361">
            <w:pPr>
              <w:pStyle w:val="TableParagraph"/>
              <w:rPr>
                <w:rFonts w:ascii="Times New Roman"/>
                <w:sz w:val="10"/>
              </w:rPr>
            </w:pPr>
          </w:p>
          <w:p w:rsidR="00BE1ED7" w:rsidRDefault="00BE1ED7" w:rsidP="00033361">
            <w:pPr>
              <w:pStyle w:val="TableParagraph"/>
              <w:spacing w:before="8"/>
              <w:rPr>
                <w:rFonts w:ascii="Times New Roman"/>
                <w:sz w:val="12"/>
              </w:rPr>
            </w:pPr>
          </w:p>
          <w:p w:rsidR="00BE1ED7" w:rsidRDefault="00BE1ED7" w:rsidP="00033361">
            <w:pPr>
              <w:pStyle w:val="TableParagraph"/>
              <w:ind w:left="15"/>
              <w:rPr>
                <w:sz w:val="10"/>
              </w:rPr>
            </w:pPr>
            <w:r>
              <w:rPr>
                <w:w w:val="105"/>
                <w:sz w:val="10"/>
              </w:rPr>
              <w:t>major explosion</w:t>
            </w:r>
          </w:p>
        </w:tc>
        <w:tc>
          <w:tcPr>
            <w:tcW w:w="990" w:type="dxa"/>
          </w:tcPr>
          <w:p w:rsidR="00BE1ED7" w:rsidRDefault="00BE1ED7" w:rsidP="00033361">
            <w:pPr>
              <w:pStyle w:val="TableParagraph"/>
              <w:spacing w:before="6"/>
              <w:rPr>
                <w:rFonts w:ascii="Times New Roman"/>
                <w:sz w:val="10"/>
              </w:rPr>
            </w:pPr>
          </w:p>
          <w:p w:rsidR="00BE1ED7" w:rsidRDefault="00BE1ED7" w:rsidP="00033361">
            <w:pPr>
              <w:pStyle w:val="TableParagraph"/>
              <w:spacing w:before="1" w:line="273" w:lineRule="auto"/>
              <w:ind w:left="14" w:right="90"/>
              <w:rPr>
                <w:sz w:val="10"/>
              </w:rPr>
            </w:pPr>
            <w:r>
              <w:rPr>
                <w:sz w:val="10"/>
              </w:rPr>
              <w:t xml:space="preserve">UNIFI‐LGS reports; </w:t>
            </w:r>
            <w:r>
              <w:rPr>
                <w:w w:val="105"/>
                <w:sz w:val="10"/>
              </w:rPr>
              <w:t>INGV bulletins (major explosion)</w:t>
            </w:r>
          </w:p>
        </w:tc>
        <w:tc>
          <w:tcPr>
            <w:tcW w:w="1657" w:type="dxa"/>
            <w:shd w:val="clear" w:color="auto" w:fill="FFD9EF"/>
          </w:tcPr>
          <w:p w:rsidR="00BE1ED7" w:rsidRDefault="00BE1ED7" w:rsidP="00033361">
            <w:pPr>
              <w:pStyle w:val="TableParagraph"/>
              <w:spacing w:before="6"/>
              <w:rPr>
                <w:rFonts w:ascii="Times New Roman"/>
                <w:sz w:val="10"/>
              </w:rPr>
            </w:pPr>
          </w:p>
          <w:p w:rsidR="00BE1ED7" w:rsidRDefault="00BE1ED7" w:rsidP="00033361">
            <w:pPr>
              <w:pStyle w:val="TableParagraph"/>
              <w:spacing w:before="1"/>
              <w:ind w:left="12"/>
              <w:rPr>
                <w:sz w:val="10"/>
              </w:rPr>
            </w:pPr>
            <w:r>
              <w:rPr>
                <w:w w:val="105"/>
                <w:sz w:val="10"/>
              </w:rPr>
              <w:t>seismic displacement 0.4 x10^‐4 m</w:t>
            </w:r>
          </w:p>
          <w:p w:rsidR="00BE1ED7" w:rsidRDefault="00BE1ED7" w:rsidP="00033361">
            <w:pPr>
              <w:pStyle w:val="TableParagraph"/>
              <w:spacing w:before="6"/>
              <w:rPr>
                <w:rFonts w:ascii="Times New Roman"/>
                <w:sz w:val="13"/>
              </w:rPr>
            </w:pPr>
          </w:p>
          <w:p w:rsidR="00BE1ED7" w:rsidRDefault="00BE1ED7" w:rsidP="00033361">
            <w:pPr>
              <w:pStyle w:val="TableParagraph"/>
              <w:ind w:left="12"/>
              <w:rPr>
                <w:sz w:val="10"/>
              </w:rPr>
            </w:pPr>
            <w:r>
              <w:rPr>
                <w:w w:val="105"/>
                <w:sz w:val="10"/>
              </w:rPr>
              <w:t xml:space="preserve">tilt 1.6 </w:t>
            </w:r>
            <w:proofErr w:type="spellStart"/>
            <w:r>
              <w:rPr>
                <w:w w:val="105"/>
                <w:sz w:val="10"/>
              </w:rPr>
              <w:t>μrad</w:t>
            </w:r>
            <w:proofErr w:type="spellEnd"/>
            <w:r>
              <w:rPr>
                <w:w w:val="105"/>
                <w:sz w:val="10"/>
              </w:rPr>
              <w:t xml:space="preserve"> al </w:t>
            </w:r>
            <w:proofErr w:type="spellStart"/>
            <w:r>
              <w:rPr>
                <w:w w:val="105"/>
                <w:sz w:val="10"/>
              </w:rPr>
              <w:t>tiltmetro</w:t>
            </w:r>
            <w:proofErr w:type="spellEnd"/>
            <w:r>
              <w:rPr>
                <w:w w:val="105"/>
                <w:sz w:val="10"/>
              </w:rPr>
              <w:t xml:space="preserve"> OHO</w:t>
            </w:r>
          </w:p>
        </w:tc>
        <w:tc>
          <w:tcPr>
            <w:tcW w:w="611" w:type="dxa"/>
            <w:shd w:val="clear" w:color="auto" w:fill="FFD9EF"/>
          </w:tcPr>
          <w:p w:rsidR="00BE1ED7" w:rsidRDefault="00BE1ED7" w:rsidP="00033361">
            <w:pPr>
              <w:pStyle w:val="TableParagraph"/>
              <w:rPr>
                <w:rFonts w:ascii="Times New Roman"/>
                <w:sz w:val="10"/>
              </w:rPr>
            </w:pPr>
          </w:p>
          <w:p w:rsidR="00BE1ED7" w:rsidRDefault="00BE1ED7" w:rsidP="00033361">
            <w:pPr>
              <w:pStyle w:val="TableParagraph"/>
              <w:spacing w:before="8"/>
              <w:rPr>
                <w:rFonts w:ascii="Times New Roman"/>
                <w:sz w:val="12"/>
              </w:rPr>
            </w:pPr>
          </w:p>
          <w:p w:rsidR="00BE1ED7" w:rsidRDefault="00BE1ED7" w:rsidP="00033361">
            <w:pPr>
              <w:pStyle w:val="TableParagraph"/>
              <w:ind w:left="11"/>
              <w:rPr>
                <w:sz w:val="10"/>
              </w:rPr>
            </w:pPr>
            <w:r>
              <w:rPr>
                <w:w w:val="105"/>
                <w:sz w:val="10"/>
              </w:rPr>
              <w:t>200 Pa</w:t>
            </w:r>
          </w:p>
        </w:tc>
        <w:tc>
          <w:tcPr>
            <w:tcW w:w="373" w:type="dxa"/>
            <w:shd w:val="clear" w:color="auto" w:fill="FFD9EF"/>
          </w:tcPr>
          <w:p w:rsidR="00BE1ED7" w:rsidRDefault="00BE1ED7" w:rsidP="00033361">
            <w:pPr>
              <w:pStyle w:val="TableParagraph"/>
              <w:rPr>
                <w:rFonts w:ascii="Times New Roman"/>
                <w:sz w:val="10"/>
              </w:rPr>
            </w:pPr>
          </w:p>
          <w:p w:rsidR="00BE1ED7" w:rsidRDefault="00BE1ED7" w:rsidP="00033361">
            <w:pPr>
              <w:pStyle w:val="TableParagraph"/>
              <w:spacing w:before="8"/>
              <w:rPr>
                <w:rFonts w:ascii="Times New Roman"/>
                <w:sz w:val="12"/>
              </w:rPr>
            </w:pPr>
          </w:p>
          <w:p w:rsidR="00BE1ED7" w:rsidRDefault="00BE1ED7" w:rsidP="00033361">
            <w:pPr>
              <w:pStyle w:val="TableParagraph"/>
              <w:ind w:left="10"/>
              <w:rPr>
                <w:sz w:val="10"/>
              </w:rPr>
            </w:pPr>
            <w:r>
              <w:rPr>
                <w:w w:val="105"/>
                <w:sz w:val="10"/>
              </w:rPr>
              <w:t>CS+N</w:t>
            </w:r>
          </w:p>
        </w:tc>
        <w:tc>
          <w:tcPr>
            <w:tcW w:w="2574" w:type="dxa"/>
            <w:shd w:val="clear" w:color="auto" w:fill="FFD9EF"/>
          </w:tcPr>
          <w:p w:rsidR="00BE1ED7" w:rsidRDefault="00BE1ED7" w:rsidP="00033361">
            <w:pPr>
              <w:pStyle w:val="TableParagraph"/>
              <w:spacing w:line="105" w:lineRule="exact"/>
              <w:ind w:left="9"/>
              <w:rPr>
                <w:sz w:val="10"/>
              </w:rPr>
            </w:pPr>
            <w:r>
              <w:rPr>
                <w:w w:val="105"/>
                <w:sz w:val="10"/>
              </w:rPr>
              <w:t xml:space="preserve">radial products </w:t>
            </w:r>
            <w:proofErr w:type="spellStart"/>
            <w:r>
              <w:rPr>
                <w:w w:val="105"/>
                <w:sz w:val="10"/>
              </w:rPr>
              <w:t>abundandly</w:t>
            </w:r>
            <w:proofErr w:type="spellEnd"/>
            <w:r>
              <w:rPr>
                <w:w w:val="105"/>
                <w:sz w:val="10"/>
              </w:rPr>
              <w:t xml:space="preserve"> fell along </w:t>
            </w:r>
            <w:proofErr w:type="spellStart"/>
            <w:r>
              <w:rPr>
                <w:w w:val="105"/>
                <w:sz w:val="10"/>
              </w:rPr>
              <w:t>Sciara</w:t>
            </w:r>
            <w:proofErr w:type="spellEnd"/>
            <w:r>
              <w:rPr>
                <w:w w:val="105"/>
                <w:sz w:val="10"/>
              </w:rPr>
              <w:t xml:space="preserve"> del </w:t>
            </w:r>
            <w:proofErr w:type="spellStart"/>
            <w:r>
              <w:rPr>
                <w:w w:val="105"/>
                <w:sz w:val="10"/>
              </w:rPr>
              <w:t>Fuoco</w:t>
            </w:r>
            <w:proofErr w:type="spellEnd"/>
            <w:r>
              <w:rPr>
                <w:w w:val="105"/>
                <w:sz w:val="10"/>
              </w:rPr>
              <w:t>, total</w:t>
            </w:r>
          </w:p>
          <w:p w:rsidR="00BE1ED7" w:rsidRDefault="00BE1ED7" w:rsidP="00033361">
            <w:pPr>
              <w:pStyle w:val="TableParagraph"/>
              <w:spacing w:before="17"/>
              <w:ind w:left="9"/>
              <w:rPr>
                <w:sz w:val="10"/>
              </w:rPr>
            </w:pPr>
            <w:r>
              <w:rPr>
                <w:w w:val="105"/>
                <w:sz w:val="10"/>
              </w:rPr>
              <w:t>duration 3 min</w:t>
            </w:r>
          </w:p>
          <w:p w:rsidR="00BE1ED7" w:rsidRDefault="00BE1ED7" w:rsidP="00033361">
            <w:pPr>
              <w:pStyle w:val="TableParagraph"/>
              <w:rPr>
                <w:rFonts w:ascii="Times New Roman"/>
                <w:sz w:val="12"/>
              </w:rPr>
            </w:pPr>
          </w:p>
          <w:p w:rsidR="00BE1ED7" w:rsidRDefault="00BE1ED7" w:rsidP="00033361">
            <w:pPr>
              <w:pStyle w:val="TableParagraph"/>
              <w:spacing w:line="140" w:lineRule="atLeast"/>
              <w:ind w:left="9" w:right="18"/>
              <w:rPr>
                <w:sz w:val="10"/>
              </w:rPr>
            </w:pPr>
            <w:r>
              <w:rPr>
                <w:w w:val="105"/>
                <w:sz w:val="10"/>
              </w:rPr>
              <w:t>products channelized in the canyon, but they did not reach the coastline</w:t>
            </w:r>
          </w:p>
        </w:tc>
        <w:tc>
          <w:tcPr>
            <w:tcW w:w="714" w:type="dxa"/>
          </w:tcPr>
          <w:p w:rsidR="00BE1ED7" w:rsidRDefault="00BE1ED7" w:rsidP="00033361">
            <w:pPr>
              <w:pStyle w:val="TableParagraph"/>
              <w:rPr>
                <w:rFonts w:ascii="Times New Roman"/>
                <w:sz w:val="10"/>
              </w:rPr>
            </w:pPr>
          </w:p>
          <w:p w:rsidR="00BE1ED7" w:rsidRDefault="00BE1ED7" w:rsidP="00033361">
            <w:pPr>
              <w:pStyle w:val="TableParagraph"/>
              <w:spacing w:before="76" w:line="273" w:lineRule="auto"/>
              <w:ind w:left="8" w:right="50"/>
              <w:rPr>
                <w:sz w:val="10"/>
              </w:rPr>
            </w:pPr>
            <w:proofErr w:type="spellStart"/>
            <w:r>
              <w:rPr>
                <w:w w:val="105"/>
                <w:sz w:val="10"/>
              </w:rPr>
              <w:t>Labronzo</w:t>
            </w:r>
            <w:proofErr w:type="spellEnd"/>
            <w:r>
              <w:rPr>
                <w:w w:val="105"/>
                <w:sz w:val="10"/>
              </w:rPr>
              <w:t xml:space="preserve"> 190 m </w:t>
            </w:r>
            <w:proofErr w:type="spellStart"/>
            <w:r>
              <w:rPr>
                <w:w w:val="105"/>
                <w:sz w:val="10"/>
              </w:rPr>
              <w:t>asl</w:t>
            </w:r>
            <w:proofErr w:type="spellEnd"/>
          </w:p>
        </w:tc>
      </w:tr>
      <w:tr w:rsidR="00BE1ED7" w:rsidTr="0058335B">
        <w:trPr>
          <w:trHeight w:val="652"/>
          <w:jc w:val="center"/>
        </w:trPr>
        <w:tc>
          <w:tcPr>
            <w:tcW w:w="334" w:type="dxa"/>
          </w:tcPr>
          <w:p w:rsidR="00BE1ED7" w:rsidRDefault="00BE1ED7" w:rsidP="00033361">
            <w:pPr>
              <w:pStyle w:val="TableParagraph"/>
              <w:rPr>
                <w:rFonts w:ascii="Times New Roman"/>
                <w:sz w:val="10"/>
              </w:rPr>
            </w:pPr>
          </w:p>
          <w:p w:rsidR="00BE1ED7" w:rsidRDefault="00BE1ED7" w:rsidP="00033361">
            <w:pPr>
              <w:pStyle w:val="TableParagraph"/>
              <w:spacing w:before="8"/>
              <w:rPr>
                <w:rFonts w:ascii="Times New Roman"/>
                <w:sz w:val="12"/>
              </w:rPr>
            </w:pPr>
          </w:p>
          <w:p w:rsidR="00BE1ED7" w:rsidRDefault="00BE1ED7" w:rsidP="00033361">
            <w:pPr>
              <w:pStyle w:val="TableParagraph"/>
              <w:ind w:right="7"/>
              <w:jc w:val="right"/>
              <w:rPr>
                <w:sz w:val="10"/>
              </w:rPr>
            </w:pPr>
            <w:r>
              <w:rPr>
                <w:sz w:val="10"/>
              </w:rPr>
              <w:t>2024</w:t>
            </w:r>
          </w:p>
        </w:tc>
        <w:tc>
          <w:tcPr>
            <w:tcW w:w="440" w:type="dxa"/>
          </w:tcPr>
          <w:p w:rsidR="00BE1ED7" w:rsidRDefault="00BE1ED7" w:rsidP="00033361">
            <w:pPr>
              <w:pStyle w:val="TableParagraph"/>
              <w:rPr>
                <w:rFonts w:ascii="Times New Roman"/>
                <w:sz w:val="10"/>
              </w:rPr>
            </w:pPr>
          </w:p>
          <w:p w:rsidR="00BE1ED7" w:rsidRDefault="00BE1ED7" w:rsidP="00033361">
            <w:pPr>
              <w:pStyle w:val="TableParagraph"/>
              <w:spacing w:before="8"/>
              <w:rPr>
                <w:rFonts w:ascii="Times New Roman"/>
                <w:sz w:val="12"/>
              </w:rPr>
            </w:pPr>
          </w:p>
          <w:p w:rsidR="00BE1ED7" w:rsidRDefault="00BE1ED7" w:rsidP="00033361">
            <w:pPr>
              <w:pStyle w:val="TableParagraph"/>
              <w:ind w:right="6"/>
              <w:jc w:val="right"/>
              <w:rPr>
                <w:sz w:val="10"/>
              </w:rPr>
            </w:pPr>
            <w:r>
              <w:rPr>
                <w:sz w:val="10"/>
              </w:rPr>
              <w:t>11</w:t>
            </w:r>
          </w:p>
        </w:tc>
        <w:tc>
          <w:tcPr>
            <w:tcW w:w="342" w:type="dxa"/>
          </w:tcPr>
          <w:p w:rsidR="00BE1ED7" w:rsidRDefault="00BE1ED7" w:rsidP="00033361">
            <w:pPr>
              <w:pStyle w:val="TableParagraph"/>
              <w:rPr>
                <w:rFonts w:ascii="Times New Roman"/>
                <w:sz w:val="10"/>
              </w:rPr>
            </w:pPr>
          </w:p>
          <w:p w:rsidR="00BE1ED7" w:rsidRDefault="00BE1ED7" w:rsidP="00033361">
            <w:pPr>
              <w:pStyle w:val="TableParagraph"/>
              <w:spacing w:before="8"/>
              <w:rPr>
                <w:rFonts w:ascii="Times New Roman"/>
                <w:sz w:val="12"/>
              </w:rPr>
            </w:pPr>
          </w:p>
          <w:p w:rsidR="00BE1ED7" w:rsidRDefault="00BE1ED7" w:rsidP="00033361">
            <w:pPr>
              <w:pStyle w:val="TableParagraph"/>
              <w:ind w:right="7"/>
              <w:jc w:val="right"/>
              <w:rPr>
                <w:sz w:val="10"/>
              </w:rPr>
            </w:pPr>
            <w:r>
              <w:rPr>
                <w:w w:val="103"/>
                <w:sz w:val="10"/>
              </w:rPr>
              <w:t>2</w:t>
            </w:r>
          </w:p>
        </w:tc>
        <w:tc>
          <w:tcPr>
            <w:tcW w:w="373" w:type="dxa"/>
          </w:tcPr>
          <w:p w:rsidR="00BE1ED7" w:rsidRDefault="00BE1ED7" w:rsidP="00033361">
            <w:pPr>
              <w:pStyle w:val="TableParagraph"/>
              <w:rPr>
                <w:rFonts w:ascii="Times New Roman"/>
                <w:sz w:val="10"/>
              </w:rPr>
            </w:pPr>
          </w:p>
          <w:p w:rsidR="00BE1ED7" w:rsidRDefault="00BE1ED7" w:rsidP="00033361">
            <w:pPr>
              <w:pStyle w:val="TableParagraph"/>
              <w:spacing w:before="8"/>
              <w:rPr>
                <w:rFonts w:ascii="Times New Roman"/>
                <w:sz w:val="12"/>
              </w:rPr>
            </w:pPr>
          </w:p>
          <w:p w:rsidR="00BE1ED7" w:rsidRDefault="00BE1ED7" w:rsidP="00033361">
            <w:pPr>
              <w:pStyle w:val="TableParagraph"/>
              <w:ind w:right="6"/>
              <w:jc w:val="right"/>
              <w:rPr>
                <w:sz w:val="10"/>
              </w:rPr>
            </w:pPr>
            <w:r>
              <w:rPr>
                <w:sz w:val="10"/>
              </w:rPr>
              <w:t>14:20</w:t>
            </w:r>
          </w:p>
        </w:tc>
        <w:tc>
          <w:tcPr>
            <w:tcW w:w="1187" w:type="dxa"/>
            <w:shd w:val="clear" w:color="auto" w:fill="E7EFEF"/>
          </w:tcPr>
          <w:p w:rsidR="00BE1ED7" w:rsidRDefault="00BE1ED7" w:rsidP="00033361">
            <w:pPr>
              <w:pStyle w:val="TableParagraph"/>
              <w:rPr>
                <w:rFonts w:ascii="Times New Roman"/>
                <w:sz w:val="10"/>
              </w:rPr>
            </w:pPr>
          </w:p>
          <w:p w:rsidR="00BE1ED7" w:rsidRDefault="00BE1ED7" w:rsidP="00033361">
            <w:pPr>
              <w:pStyle w:val="TableParagraph"/>
              <w:spacing w:before="8"/>
              <w:rPr>
                <w:rFonts w:ascii="Times New Roman"/>
                <w:sz w:val="12"/>
              </w:rPr>
            </w:pPr>
          </w:p>
          <w:p w:rsidR="00BE1ED7" w:rsidRDefault="00BE1ED7" w:rsidP="00033361">
            <w:pPr>
              <w:pStyle w:val="TableParagraph"/>
              <w:ind w:left="15"/>
              <w:rPr>
                <w:sz w:val="10"/>
              </w:rPr>
            </w:pPr>
            <w:r>
              <w:rPr>
                <w:w w:val="105"/>
                <w:sz w:val="10"/>
              </w:rPr>
              <w:t>not a major explosion</w:t>
            </w:r>
          </w:p>
        </w:tc>
        <w:tc>
          <w:tcPr>
            <w:tcW w:w="990" w:type="dxa"/>
          </w:tcPr>
          <w:p w:rsidR="00BE1ED7" w:rsidRDefault="00BE1ED7" w:rsidP="00033361">
            <w:pPr>
              <w:pStyle w:val="TableParagraph"/>
              <w:spacing w:line="105" w:lineRule="exact"/>
              <w:ind w:left="14"/>
              <w:rPr>
                <w:sz w:val="10"/>
              </w:rPr>
            </w:pPr>
            <w:r>
              <w:rPr>
                <w:sz w:val="10"/>
              </w:rPr>
              <w:t>UNIFI‐LGS</w:t>
            </w:r>
            <w:r>
              <w:rPr>
                <w:spacing w:val="19"/>
                <w:sz w:val="10"/>
              </w:rPr>
              <w:t xml:space="preserve"> </w:t>
            </w:r>
            <w:r>
              <w:rPr>
                <w:sz w:val="10"/>
              </w:rPr>
              <w:t>reports</w:t>
            </w:r>
          </w:p>
          <w:p w:rsidR="00BE1ED7" w:rsidRDefault="00BE1ED7" w:rsidP="00033361">
            <w:pPr>
              <w:pStyle w:val="TableParagraph"/>
              <w:spacing w:before="17"/>
              <w:ind w:left="14"/>
              <w:rPr>
                <w:sz w:val="10"/>
              </w:rPr>
            </w:pPr>
            <w:r>
              <w:rPr>
                <w:sz w:val="10"/>
              </w:rPr>
              <w:t>(major</w:t>
            </w:r>
            <w:r>
              <w:rPr>
                <w:spacing w:val="17"/>
                <w:sz w:val="10"/>
              </w:rPr>
              <w:t xml:space="preserve"> </w:t>
            </w:r>
            <w:r>
              <w:rPr>
                <w:sz w:val="10"/>
              </w:rPr>
              <w:t>explosion)</w:t>
            </w:r>
          </w:p>
          <w:p w:rsidR="00BE1ED7" w:rsidRDefault="00BE1ED7" w:rsidP="00033361">
            <w:pPr>
              <w:pStyle w:val="TableParagraph"/>
              <w:rPr>
                <w:rFonts w:ascii="Times New Roman"/>
                <w:sz w:val="12"/>
              </w:rPr>
            </w:pPr>
          </w:p>
          <w:p w:rsidR="00BE1ED7" w:rsidRDefault="00BE1ED7" w:rsidP="00033361">
            <w:pPr>
              <w:pStyle w:val="TableParagraph"/>
              <w:spacing w:line="140" w:lineRule="atLeast"/>
              <w:ind w:left="14" w:right="90"/>
              <w:rPr>
                <w:sz w:val="10"/>
              </w:rPr>
            </w:pPr>
            <w:r>
              <w:rPr>
                <w:w w:val="105"/>
                <w:sz w:val="10"/>
              </w:rPr>
              <w:t>INGV bulletins (unclear)</w:t>
            </w:r>
          </w:p>
        </w:tc>
        <w:tc>
          <w:tcPr>
            <w:tcW w:w="1657" w:type="dxa"/>
          </w:tcPr>
          <w:p w:rsidR="00BE1ED7" w:rsidRDefault="00BE1ED7" w:rsidP="00033361">
            <w:pPr>
              <w:pStyle w:val="TableParagraph"/>
              <w:spacing w:before="6"/>
              <w:rPr>
                <w:rFonts w:ascii="Times New Roman"/>
                <w:sz w:val="10"/>
              </w:rPr>
            </w:pPr>
          </w:p>
          <w:p w:rsidR="00BE1ED7" w:rsidRDefault="00BE1ED7" w:rsidP="00033361">
            <w:pPr>
              <w:pStyle w:val="TableParagraph"/>
              <w:spacing w:before="1"/>
              <w:ind w:left="12"/>
              <w:rPr>
                <w:sz w:val="10"/>
              </w:rPr>
            </w:pPr>
            <w:r>
              <w:rPr>
                <w:w w:val="105"/>
                <w:sz w:val="10"/>
              </w:rPr>
              <w:t>seismic displacement 0.19 x10^‐4 m</w:t>
            </w:r>
          </w:p>
          <w:p w:rsidR="00BE1ED7" w:rsidRDefault="00BE1ED7" w:rsidP="00033361">
            <w:pPr>
              <w:pStyle w:val="TableParagraph"/>
              <w:spacing w:before="6"/>
              <w:rPr>
                <w:rFonts w:ascii="Times New Roman"/>
                <w:sz w:val="13"/>
              </w:rPr>
            </w:pPr>
          </w:p>
          <w:p w:rsidR="00BE1ED7" w:rsidRDefault="00BE1ED7" w:rsidP="00033361">
            <w:pPr>
              <w:pStyle w:val="TableParagraph"/>
              <w:ind w:left="12"/>
              <w:rPr>
                <w:sz w:val="10"/>
              </w:rPr>
            </w:pPr>
            <w:r>
              <w:rPr>
                <w:w w:val="105"/>
                <w:sz w:val="10"/>
              </w:rPr>
              <w:t xml:space="preserve">tilt 0.6 </w:t>
            </w:r>
            <w:proofErr w:type="spellStart"/>
            <w:r>
              <w:rPr>
                <w:w w:val="105"/>
                <w:sz w:val="10"/>
              </w:rPr>
              <w:t>μrad</w:t>
            </w:r>
            <w:proofErr w:type="spellEnd"/>
            <w:r>
              <w:rPr>
                <w:w w:val="105"/>
                <w:sz w:val="10"/>
              </w:rPr>
              <w:t xml:space="preserve"> al </w:t>
            </w:r>
            <w:proofErr w:type="spellStart"/>
            <w:r>
              <w:rPr>
                <w:w w:val="105"/>
                <w:sz w:val="10"/>
              </w:rPr>
              <w:t>tiltmetro</w:t>
            </w:r>
            <w:proofErr w:type="spellEnd"/>
            <w:r>
              <w:rPr>
                <w:w w:val="105"/>
                <w:sz w:val="10"/>
              </w:rPr>
              <w:t xml:space="preserve"> OHO</w:t>
            </w:r>
          </w:p>
        </w:tc>
        <w:tc>
          <w:tcPr>
            <w:tcW w:w="611" w:type="dxa"/>
          </w:tcPr>
          <w:p w:rsidR="00BE1ED7" w:rsidRDefault="00BE1ED7" w:rsidP="00033361">
            <w:pPr>
              <w:pStyle w:val="TableParagraph"/>
              <w:rPr>
                <w:rFonts w:ascii="Times New Roman"/>
                <w:sz w:val="10"/>
              </w:rPr>
            </w:pPr>
          </w:p>
          <w:p w:rsidR="00BE1ED7" w:rsidRDefault="00BE1ED7" w:rsidP="00033361">
            <w:pPr>
              <w:pStyle w:val="TableParagraph"/>
              <w:spacing w:before="8"/>
              <w:rPr>
                <w:rFonts w:ascii="Times New Roman"/>
                <w:sz w:val="12"/>
              </w:rPr>
            </w:pPr>
          </w:p>
          <w:p w:rsidR="00BE1ED7" w:rsidRDefault="00BE1ED7" w:rsidP="00033361">
            <w:pPr>
              <w:pStyle w:val="TableParagraph"/>
              <w:ind w:left="11"/>
              <w:rPr>
                <w:sz w:val="10"/>
              </w:rPr>
            </w:pPr>
            <w:r>
              <w:rPr>
                <w:w w:val="105"/>
                <w:sz w:val="10"/>
              </w:rPr>
              <w:t>58 Pa</w:t>
            </w:r>
          </w:p>
        </w:tc>
        <w:tc>
          <w:tcPr>
            <w:tcW w:w="373" w:type="dxa"/>
          </w:tcPr>
          <w:p w:rsidR="00BE1ED7" w:rsidRDefault="00BE1ED7" w:rsidP="00033361">
            <w:pPr>
              <w:pStyle w:val="TableParagraph"/>
              <w:rPr>
                <w:rFonts w:ascii="Times New Roman"/>
                <w:sz w:val="10"/>
              </w:rPr>
            </w:pPr>
          </w:p>
          <w:p w:rsidR="00BE1ED7" w:rsidRDefault="00BE1ED7" w:rsidP="00033361">
            <w:pPr>
              <w:pStyle w:val="TableParagraph"/>
              <w:spacing w:before="8"/>
              <w:rPr>
                <w:rFonts w:ascii="Times New Roman"/>
                <w:sz w:val="12"/>
              </w:rPr>
            </w:pPr>
          </w:p>
          <w:p w:rsidR="00BE1ED7" w:rsidRDefault="00BE1ED7" w:rsidP="00033361">
            <w:pPr>
              <w:pStyle w:val="TableParagraph"/>
              <w:ind w:left="10"/>
              <w:rPr>
                <w:sz w:val="10"/>
              </w:rPr>
            </w:pPr>
            <w:r>
              <w:rPr>
                <w:w w:val="103"/>
                <w:sz w:val="10"/>
              </w:rPr>
              <w:t>N</w:t>
            </w:r>
          </w:p>
        </w:tc>
        <w:tc>
          <w:tcPr>
            <w:tcW w:w="2574" w:type="dxa"/>
          </w:tcPr>
          <w:p w:rsidR="00BE1ED7" w:rsidRDefault="00BE1ED7" w:rsidP="00033361">
            <w:pPr>
              <w:pStyle w:val="TableParagraph"/>
              <w:spacing w:before="6"/>
              <w:rPr>
                <w:rFonts w:ascii="Times New Roman"/>
                <w:sz w:val="10"/>
              </w:rPr>
            </w:pPr>
          </w:p>
          <w:p w:rsidR="00BE1ED7" w:rsidRDefault="00BE1ED7" w:rsidP="00033361">
            <w:pPr>
              <w:pStyle w:val="TableParagraph"/>
              <w:spacing w:before="1" w:line="273" w:lineRule="auto"/>
              <w:ind w:left="9" w:right="28"/>
              <w:rPr>
                <w:sz w:val="10"/>
              </w:rPr>
            </w:pPr>
            <w:r>
              <w:rPr>
                <w:w w:val="105"/>
                <w:sz w:val="10"/>
              </w:rPr>
              <w:t xml:space="preserve">products are ejected over 200 m high and fell along </w:t>
            </w:r>
            <w:proofErr w:type="spellStart"/>
            <w:r>
              <w:rPr>
                <w:w w:val="105"/>
                <w:sz w:val="10"/>
              </w:rPr>
              <w:t>Sciara</w:t>
            </w:r>
            <w:proofErr w:type="spellEnd"/>
            <w:r>
              <w:rPr>
                <w:w w:val="105"/>
                <w:sz w:val="10"/>
              </w:rPr>
              <w:t xml:space="preserve"> del </w:t>
            </w:r>
            <w:proofErr w:type="spellStart"/>
            <w:r>
              <w:rPr>
                <w:w w:val="105"/>
                <w:sz w:val="10"/>
              </w:rPr>
              <w:t>Fuoco</w:t>
            </w:r>
            <w:proofErr w:type="spellEnd"/>
            <w:r>
              <w:rPr>
                <w:w w:val="105"/>
                <w:sz w:val="10"/>
              </w:rPr>
              <w:t xml:space="preserve"> and some reach the coastline, total duration 4 min and 30s</w:t>
            </w:r>
          </w:p>
        </w:tc>
        <w:tc>
          <w:tcPr>
            <w:tcW w:w="714" w:type="dxa"/>
          </w:tcPr>
          <w:p w:rsidR="00BE1ED7" w:rsidRPr="00033361" w:rsidRDefault="00BE1ED7" w:rsidP="00033361">
            <w:pPr>
              <w:pStyle w:val="TableParagraph"/>
              <w:spacing w:line="105" w:lineRule="exact"/>
              <w:ind w:left="8"/>
              <w:rPr>
                <w:sz w:val="10"/>
                <w:lang w:val="it-IT"/>
              </w:rPr>
            </w:pPr>
            <w:r w:rsidRPr="00033361">
              <w:rPr>
                <w:w w:val="105"/>
                <w:sz w:val="10"/>
                <w:lang w:val="it-IT"/>
              </w:rPr>
              <w:t>Labronzo 190</w:t>
            </w:r>
          </w:p>
          <w:p w:rsidR="00BE1ED7" w:rsidRPr="00033361" w:rsidRDefault="00BE1ED7" w:rsidP="00033361">
            <w:pPr>
              <w:pStyle w:val="TableParagraph"/>
              <w:spacing w:before="17"/>
              <w:ind w:left="8"/>
              <w:rPr>
                <w:sz w:val="10"/>
                <w:lang w:val="it-IT"/>
              </w:rPr>
            </w:pPr>
            <w:r w:rsidRPr="00033361">
              <w:rPr>
                <w:w w:val="105"/>
                <w:sz w:val="10"/>
                <w:lang w:val="it-IT"/>
              </w:rPr>
              <w:t>m asl</w:t>
            </w:r>
          </w:p>
          <w:p w:rsidR="00BE1ED7" w:rsidRPr="00033361" w:rsidRDefault="00BE1ED7" w:rsidP="00033361">
            <w:pPr>
              <w:pStyle w:val="TableParagraph"/>
              <w:spacing w:before="6"/>
              <w:rPr>
                <w:rFonts w:ascii="Times New Roman"/>
                <w:sz w:val="13"/>
                <w:lang w:val="it-IT"/>
              </w:rPr>
            </w:pPr>
          </w:p>
          <w:p w:rsidR="00BE1ED7" w:rsidRPr="00033361" w:rsidRDefault="00BE1ED7" w:rsidP="00033361">
            <w:pPr>
              <w:pStyle w:val="TableParagraph"/>
              <w:spacing w:before="1"/>
              <w:ind w:left="8"/>
              <w:rPr>
                <w:sz w:val="10"/>
                <w:lang w:val="it-IT"/>
              </w:rPr>
            </w:pPr>
            <w:r w:rsidRPr="00033361">
              <w:rPr>
                <w:w w:val="105"/>
                <w:sz w:val="10"/>
                <w:lang w:val="it-IT"/>
              </w:rPr>
              <w:t>Punta dei Corvi</w:t>
            </w:r>
          </w:p>
          <w:p w:rsidR="00BE1ED7" w:rsidRDefault="00BE1ED7" w:rsidP="00033361">
            <w:pPr>
              <w:pStyle w:val="TableParagraph"/>
              <w:spacing w:before="17" w:line="93" w:lineRule="exact"/>
              <w:ind w:left="8"/>
              <w:rPr>
                <w:sz w:val="10"/>
              </w:rPr>
            </w:pPr>
            <w:r>
              <w:rPr>
                <w:w w:val="105"/>
                <w:sz w:val="10"/>
              </w:rPr>
              <w:t xml:space="preserve">&lt; 100 m </w:t>
            </w:r>
            <w:proofErr w:type="spellStart"/>
            <w:r>
              <w:rPr>
                <w:w w:val="105"/>
                <w:sz w:val="10"/>
              </w:rPr>
              <w:t>asl</w:t>
            </w:r>
            <w:proofErr w:type="spellEnd"/>
          </w:p>
        </w:tc>
      </w:tr>
      <w:tr w:rsidR="00BE1ED7" w:rsidTr="0058335B">
        <w:trPr>
          <w:trHeight w:val="110"/>
          <w:jc w:val="center"/>
        </w:trPr>
        <w:tc>
          <w:tcPr>
            <w:tcW w:w="334" w:type="dxa"/>
          </w:tcPr>
          <w:p w:rsidR="00BE1ED7" w:rsidRDefault="00BE1ED7" w:rsidP="00033361">
            <w:pPr>
              <w:pStyle w:val="TableParagraph"/>
              <w:spacing w:line="90" w:lineRule="exact"/>
              <w:ind w:right="7"/>
              <w:jc w:val="right"/>
              <w:rPr>
                <w:sz w:val="10"/>
              </w:rPr>
            </w:pPr>
            <w:r>
              <w:rPr>
                <w:sz w:val="10"/>
              </w:rPr>
              <w:t>2025</w:t>
            </w:r>
          </w:p>
        </w:tc>
        <w:tc>
          <w:tcPr>
            <w:tcW w:w="440" w:type="dxa"/>
          </w:tcPr>
          <w:p w:rsidR="00BE1ED7" w:rsidRDefault="00BE1ED7" w:rsidP="00033361">
            <w:pPr>
              <w:pStyle w:val="TableParagraph"/>
              <w:spacing w:line="90" w:lineRule="exact"/>
              <w:ind w:right="5"/>
              <w:jc w:val="right"/>
              <w:rPr>
                <w:sz w:val="10"/>
              </w:rPr>
            </w:pPr>
            <w:r>
              <w:rPr>
                <w:w w:val="103"/>
                <w:sz w:val="10"/>
              </w:rPr>
              <w:t>‐</w:t>
            </w:r>
          </w:p>
        </w:tc>
        <w:tc>
          <w:tcPr>
            <w:tcW w:w="342" w:type="dxa"/>
          </w:tcPr>
          <w:p w:rsidR="00BE1ED7" w:rsidRDefault="00BE1ED7" w:rsidP="00033361">
            <w:pPr>
              <w:pStyle w:val="TableParagraph"/>
              <w:spacing w:line="90" w:lineRule="exact"/>
              <w:ind w:right="6"/>
              <w:jc w:val="right"/>
              <w:rPr>
                <w:sz w:val="10"/>
              </w:rPr>
            </w:pPr>
            <w:r>
              <w:rPr>
                <w:w w:val="103"/>
                <w:sz w:val="10"/>
              </w:rPr>
              <w:t>‐</w:t>
            </w:r>
          </w:p>
        </w:tc>
        <w:tc>
          <w:tcPr>
            <w:tcW w:w="373" w:type="dxa"/>
          </w:tcPr>
          <w:p w:rsidR="00BE1ED7" w:rsidRDefault="00BE1ED7" w:rsidP="00033361">
            <w:pPr>
              <w:pStyle w:val="TableParagraph"/>
              <w:spacing w:line="90" w:lineRule="exact"/>
              <w:ind w:right="7"/>
              <w:jc w:val="right"/>
              <w:rPr>
                <w:sz w:val="10"/>
              </w:rPr>
            </w:pPr>
            <w:r>
              <w:rPr>
                <w:w w:val="103"/>
                <w:sz w:val="10"/>
              </w:rPr>
              <w:t>‐</w:t>
            </w:r>
          </w:p>
        </w:tc>
        <w:tc>
          <w:tcPr>
            <w:tcW w:w="1187" w:type="dxa"/>
          </w:tcPr>
          <w:p w:rsidR="00BE1ED7" w:rsidRDefault="00BE1ED7" w:rsidP="00033361">
            <w:pPr>
              <w:pStyle w:val="TableParagraph"/>
              <w:spacing w:line="90" w:lineRule="exact"/>
              <w:ind w:left="15"/>
              <w:rPr>
                <w:sz w:val="10"/>
              </w:rPr>
            </w:pPr>
            <w:r>
              <w:rPr>
                <w:w w:val="105"/>
                <w:sz w:val="10"/>
              </w:rPr>
              <w:t>ordinary activity</w:t>
            </w:r>
          </w:p>
        </w:tc>
        <w:tc>
          <w:tcPr>
            <w:tcW w:w="990" w:type="dxa"/>
          </w:tcPr>
          <w:p w:rsidR="00BE1ED7" w:rsidRDefault="00BE1ED7" w:rsidP="00033361">
            <w:pPr>
              <w:pStyle w:val="TableParagraph"/>
              <w:spacing w:line="90" w:lineRule="exact"/>
              <w:ind w:left="14"/>
              <w:rPr>
                <w:sz w:val="10"/>
              </w:rPr>
            </w:pPr>
            <w:r>
              <w:rPr>
                <w:w w:val="103"/>
                <w:sz w:val="10"/>
              </w:rPr>
              <w:t>‐</w:t>
            </w:r>
          </w:p>
        </w:tc>
        <w:tc>
          <w:tcPr>
            <w:tcW w:w="1657" w:type="dxa"/>
          </w:tcPr>
          <w:p w:rsidR="00BE1ED7" w:rsidRDefault="00BE1ED7" w:rsidP="00033361">
            <w:pPr>
              <w:pStyle w:val="TableParagraph"/>
              <w:spacing w:line="90" w:lineRule="exact"/>
              <w:ind w:left="12"/>
              <w:rPr>
                <w:sz w:val="10"/>
              </w:rPr>
            </w:pPr>
            <w:r>
              <w:rPr>
                <w:w w:val="103"/>
                <w:sz w:val="10"/>
              </w:rPr>
              <w:t>‐</w:t>
            </w:r>
          </w:p>
        </w:tc>
        <w:tc>
          <w:tcPr>
            <w:tcW w:w="611" w:type="dxa"/>
          </w:tcPr>
          <w:p w:rsidR="00BE1ED7" w:rsidRDefault="00BE1ED7" w:rsidP="00033361">
            <w:pPr>
              <w:pStyle w:val="TableParagraph"/>
              <w:spacing w:line="90" w:lineRule="exact"/>
              <w:ind w:left="11"/>
              <w:rPr>
                <w:sz w:val="10"/>
              </w:rPr>
            </w:pPr>
            <w:r>
              <w:rPr>
                <w:w w:val="103"/>
                <w:sz w:val="10"/>
              </w:rPr>
              <w:t>‐</w:t>
            </w:r>
          </w:p>
        </w:tc>
        <w:tc>
          <w:tcPr>
            <w:tcW w:w="373" w:type="dxa"/>
          </w:tcPr>
          <w:p w:rsidR="00BE1ED7" w:rsidRDefault="00BE1ED7" w:rsidP="00033361">
            <w:pPr>
              <w:pStyle w:val="TableParagraph"/>
              <w:spacing w:line="90" w:lineRule="exact"/>
              <w:ind w:left="10"/>
              <w:rPr>
                <w:sz w:val="10"/>
              </w:rPr>
            </w:pPr>
            <w:r>
              <w:rPr>
                <w:w w:val="103"/>
                <w:sz w:val="10"/>
              </w:rPr>
              <w:t>‐</w:t>
            </w:r>
          </w:p>
        </w:tc>
        <w:tc>
          <w:tcPr>
            <w:tcW w:w="2574" w:type="dxa"/>
          </w:tcPr>
          <w:p w:rsidR="00BE1ED7" w:rsidRDefault="00BE1ED7" w:rsidP="00033361">
            <w:pPr>
              <w:pStyle w:val="TableParagraph"/>
              <w:spacing w:line="90" w:lineRule="exact"/>
              <w:ind w:left="9"/>
              <w:rPr>
                <w:sz w:val="10"/>
              </w:rPr>
            </w:pPr>
            <w:r>
              <w:rPr>
                <w:w w:val="103"/>
                <w:sz w:val="10"/>
              </w:rPr>
              <w:t>‐</w:t>
            </w:r>
          </w:p>
        </w:tc>
        <w:tc>
          <w:tcPr>
            <w:tcW w:w="714" w:type="dxa"/>
          </w:tcPr>
          <w:p w:rsidR="00BE1ED7" w:rsidRDefault="00BE1ED7" w:rsidP="00033361">
            <w:pPr>
              <w:pStyle w:val="TableParagraph"/>
              <w:spacing w:line="90" w:lineRule="exact"/>
              <w:ind w:left="8"/>
              <w:rPr>
                <w:sz w:val="10"/>
              </w:rPr>
            </w:pPr>
            <w:r>
              <w:rPr>
                <w:w w:val="103"/>
                <w:sz w:val="10"/>
              </w:rPr>
              <w:t>‐</w:t>
            </w:r>
          </w:p>
        </w:tc>
      </w:tr>
      <w:tr w:rsidR="00BE1ED7" w:rsidRPr="005C3C4C" w:rsidTr="0058335B">
        <w:trPr>
          <w:trHeight w:val="661"/>
          <w:jc w:val="center"/>
        </w:trPr>
        <w:tc>
          <w:tcPr>
            <w:tcW w:w="334" w:type="dxa"/>
          </w:tcPr>
          <w:p w:rsidR="00BE1ED7" w:rsidRDefault="00BE1ED7" w:rsidP="00033361">
            <w:pPr>
              <w:pStyle w:val="TableParagraph"/>
              <w:rPr>
                <w:rFonts w:ascii="Times New Roman"/>
                <w:sz w:val="10"/>
              </w:rPr>
            </w:pPr>
          </w:p>
          <w:p w:rsidR="00BE1ED7" w:rsidRDefault="00BE1ED7" w:rsidP="00033361">
            <w:pPr>
              <w:pStyle w:val="TableParagraph"/>
              <w:spacing w:before="6"/>
              <w:rPr>
                <w:rFonts w:ascii="Times New Roman"/>
                <w:sz w:val="13"/>
              </w:rPr>
            </w:pPr>
          </w:p>
          <w:p w:rsidR="00BE1ED7" w:rsidRDefault="00BE1ED7" w:rsidP="00033361">
            <w:pPr>
              <w:pStyle w:val="TableParagraph"/>
              <w:ind w:right="7"/>
              <w:jc w:val="right"/>
              <w:rPr>
                <w:sz w:val="10"/>
              </w:rPr>
            </w:pPr>
            <w:r>
              <w:rPr>
                <w:sz w:val="10"/>
              </w:rPr>
              <w:t>2026</w:t>
            </w:r>
          </w:p>
        </w:tc>
        <w:tc>
          <w:tcPr>
            <w:tcW w:w="440" w:type="dxa"/>
          </w:tcPr>
          <w:p w:rsidR="00BE1ED7" w:rsidRDefault="00BE1ED7" w:rsidP="00033361">
            <w:pPr>
              <w:pStyle w:val="TableParagraph"/>
              <w:rPr>
                <w:rFonts w:ascii="Times New Roman"/>
                <w:sz w:val="10"/>
              </w:rPr>
            </w:pPr>
          </w:p>
          <w:p w:rsidR="00BE1ED7" w:rsidRDefault="00BE1ED7" w:rsidP="00033361">
            <w:pPr>
              <w:pStyle w:val="TableParagraph"/>
              <w:spacing w:before="6"/>
              <w:rPr>
                <w:rFonts w:ascii="Times New Roman"/>
                <w:sz w:val="13"/>
              </w:rPr>
            </w:pPr>
          </w:p>
          <w:p w:rsidR="00BE1ED7" w:rsidRDefault="00BE1ED7" w:rsidP="00033361">
            <w:pPr>
              <w:pStyle w:val="TableParagraph"/>
              <w:ind w:right="6"/>
              <w:jc w:val="right"/>
              <w:rPr>
                <w:sz w:val="10"/>
              </w:rPr>
            </w:pPr>
            <w:r>
              <w:rPr>
                <w:w w:val="103"/>
                <w:sz w:val="10"/>
              </w:rPr>
              <w:t>5</w:t>
            </w:r>
          </w:p>
        </w:tc>
        <w:tc>
          <w:tcPr>
            <w:tcW w:w="342" w:type="dxa"/>
          </w:tcPr>
          <w:p w:rsidR="00BE1ED7" w:rsidRDefault="00BE1ED7" w:rsidP="00033361">
            <w:pPr>
              <w:pStyle w:val="TableParagraph"/>
              <w:rPr>
                <w:rFonts w:ascii="Times New Roman"/>
                <w:sz w:val="10"/>
              </w:rPr>
            </w:pPr>
          </w:p>
          <w:p w:rsidR="00BE1ED7" w:rsidRDefault="00BE1ED7" w:rsidP="00033361">
            <w:pPr>
              <w:pStyle w:val="TableParagraph"/>
              <w:spacing w:before="6"/>
              <w:rPr>
                <w:rFonts w:ascii="Times New Roman"/>
                <w:sz w:val="13"/>
              </w:rPr>
            </w:pPr>
          </w:p>
          <w:p w:rsidR="00BE1ED7" w:rsidRDefault="00BE1ED7" w:rsidP="00033361">
            <w:pPr>
              <w:pStyle w:val="TableParagraph"/>
              <w:ind w:right="8"/>
              <w:jc w:val="right"/>
              <w:rPr>
                <w:sz w:val="10"/>
              </w:rPr>
            </w:pPr>
            <w:r>
              <w:rPr>
                <w:sz w:val="10"/>
              </w:rPr>
              <w:t>23</w:t>
            </w:r>
          </w:p>
        </w:tc>
        <w:tc>
          <w:tcPr>
            <w:tcW w:w="373" w:type="dxa"/>
          </w:tcPr>
          <w:p w:rsidR="00BE1ED7" w:rsidRDefault="00BE1ED7" w:rsidP="00033361">
            <w:pPr>
              <w:pStyle w:val="TableParagraph"/>
              <w:rPr>
                <w:rFonts w:ascii="Times New Roman"/>
                <w:sz w:val="10"/>
              </w:rPr>
            </w:pPr>
          </w:p>
          <w:p w:rsidR="00BE1ED7" w:rsidRDefault="00BE1ED7" w:rsidP="00033361">
            <w:pPr>
              <w:pStyle w:val="TableParagraph"/>
              <w:spacing w:before="6"/>
              <w:rPr>
                <w:rFonts w:ascii="Times New Roman"/>
                <w:sz w:val="13"/>
              </w:rPr>
            </w:pPr>
          </w:p>
          <w:p w:rsidR="00BE1ED7" w:rsidRDefault="00BE1ED7" w:rsidP="00033361">
            <w:pPr>
              <w:pStyle w:val="TableParagraph"/>
              <w:ind w:right="6"/>
              <w:jc w:val="right"/>
              <w:rPr>
                <w:sz w:val="10"/>
              </w:rPr>
            </w:pPr>
            <w:r>
              <w:rPr>
                <w:sz w:val="10"/>
              </w:rPr>
              <w:t>17:03</w:t>
            </w:r>
          </w:p>
        </w:tc>
        <w:tc>
          <w:tcPr>
            <w:tcW w:w="1187" w:type="dxa"/>
            <w:shd w:val="clear" w:color="auto" w:fill="E7EFEF"/>
          </w:tcPr>
          <w:p w:rsidR="00BE1ED7" w:rsidRDefault="00BE1ED7" w:rsidP="00033361">
            <w:pPr>
              <w:pStyle w:val="TableParagraph"/>
              <w:rPr>
                <w:rFonts w:ascii="Times New Roman"/>
                <w:sz w:val="10"/>
              </w:rPr>
            </w:pPr>
          </w:p>
          <w:p w:rsidR="00BE1ED7" w:rsidRDefault="00BE1ED7" w:rsidP="00033361">
            <w:pPr>
              <w:pStyle w:val="TableParagraph"/>
              <w:spacing w:before="6"/>
              <w:rPr>
                <w:rFonts w:ascii="Times New Roman"/>
                <w:sz w:val="13"/>
              </w:rPr>
            </w:pPr>
          </w:p>
          <w:p w:rsidR="00BE1ED7" w:rsidRDefault="00BE1ED7" w:rsidP="00033361">
            <w:pPr>
              <w:pStyle w:val="TableParagraph"/>
              <w:ind w:left="15"/>
              <w:rPr>
                <w:sz w:val="10"/>
              </w:rPr>
            </w:pPr>
            <w:r>
              <w:rPr>
                <w:w w:val="105"/>
                <w:sz w:val="10"/>
              </w:rPr>
              <w:t>not a major explosion</w:t>
            </w:r>
          </w:p>
        </w:tc>
        <w:tc>
          <w:tcPr>
            <w:tcW w:w="990" w:type="dxa"/>
          </w:tcPr>
          <w:p w:rsidR="00BE1ED7" w:rsidRDefault="00BE1ED7" w:rsidP="00033361">
            <w:pPr>
              <w:pStyle w:val="TableParagraph"/>
              <w:spacing w:line="114" w:lineRule="exact"/>
              <w:ind w:left="14"/>
              <w:rPr>
                <w:sz w:val="10"/>
              </w:rPr>
            </w:pPr>
            <w:r>
              <w:rPr>
                <w:sz w:val="10"/>
              </w:rPr>
              <w:t>UNIFI‐LGS</w:t>
            </w:r>
            <w:r>
              <w:rPr>
                <w:spacing w:val="19"/>
                <w:sz w:val="10"/>
              </w:rPr>
              <w:t xml:space="preserve"> </w:t>
            </w:r>
            <w:r>
              <w:rPr>
                <w:sz w:val="10"/>
              </w:rPr>
              <w:t>reports</w:t>
            </w:r>
          </w:p>
          <w:p w:rsidR="00BE1ED7" w:rsidRDefault="00BE1ED7" w:rsidP="00033361">
            <w:pPr>
              <w:pStyle w:val="TableParagraph"/>
              <w:spacing w:before="17"/>
              <w:ind w:left="14"/>
              <w:rPr>
                <w:sz w:val="10"/>
              </w:rPr>
            </w:pPr>
            <w:r>
              <w:rPr>
                <w:sz w:val="10"/>
              </w:rPr>
              <w:t>(major</w:t>
            </w:r>
            <w:r>
              <w:rPr>
                <w:spacing w:val="17"/>
                <w:sz w:val="10"/>
              </w:rPr>
              <w:t xml:space="preserve"> </w:t>
            </w:r>
            <w:r>
              <w:rPr>
                <w:sz w:val="10"/>
              </w:rPr>
              <w:t>explosion)</w:t>
            </w:r>
          </w:p>
          <w:p w:rsidR="00BE1ED7" w:rsidRDefault="00BE1ED7" w:rsidP="00033361">
            <w:pPr>
              <w:pStyle w:val="TableParagraph"/>
              <w:rPr>
                <w:rFonts w:ascii="Times New Roman"/>
                <w:sz w:val="12"/>
              </w:rPr>
            </w:pPr>
          </w:p>
          <w:p w:rsidR="00BE1ED7" w:rsidRDefault="00BE1ED7" w:rsidP="00033361">
            <w:pPr>
              <w:pStyle w:val="TableParagraph"/>
              <w:spacing w:line="140" w:lineRule="atLeast"/>
              <w:ind w:left="14" w:right="90"/>
              <w:rPr>
                <w:sz w:val="10"/>
              </w:rPr>
            </w:pPr>
            <w:r>
              <w:rPr>
                <w:w w:val="105"/>
                <w:sz w:val="10"/>
              </w:rPr>
              <w:t>INGV bulletins (unclear)</w:t>
            </w:r>
          </w:p>
        </w:tc>
        <w:tc>
          <w:tcPr>
            <w:tcW w:w="1657" w:type="dxa"/>
          </w:tcPr>
          <w:p w:rsidR="00BE1ED7" w:rsidRDefault="00BE1ED7" w:rsidP="00033361">
            <w:pPr>
              <w:pStyle w:val="TableParagraph"/>
              <w:spacing w:before="4" w:line="278" w:lineRule="exact"/>
              <w:ind w:left="12" w:hanging="1"/>
              <w:rPr>
                <w:sz w:val="10"/>
              </w:rPr>
            </w:pPr>
            <w:r>
              <w:rPr>
                <w:w w:val="105"/>
                <w:sz w:val="10"/>
              </w:rPr>
              <w:t xml:space="preserve">seismic displacement 0.13 x10^‐4 m tilt 0.7 </w:t>
            </w:r>
            <w:proofErr w:type="spellStart"/>
            <w:r>
              <w:rPr>
                <w:w w:val="105"/>
                <w:sz w:val="10"/>
              </w:rPr>
              <w:t>μrad</w:t>
            </w:r>
            <w:proofErr w:type="spellEnd"/>
            <w:r>
              <w:rPr>
                <w:w w:val="105"/>
                <w:sz w:val="10"/>
              </w:rPr>
              <w:t xml:space="preserve"> al </w:t>
            </w:r>
            <w:proofErr w:type="spellStart"/>
            <w:r>
              <w:rPr>
                <w:w w:val="105"/>
                <w:sz w:val="10"/>
              </w:rPr>
              <w:t>tiltmetro</w:t>
            </w:r>
            <w:proofErr w:type="spellEnd"/>
            <w:r>
              <w:rPr>
                <w:w w:val="105"/>
                <w:sz w:val="10"/>
              </w:rPr>
              <w:t xml:space="preserve"> OHO</w:t>
            </w:r>
          </w:p>
        </w:tc>
        <w:tc>
          <w:tcPr>
            <w:tcW w:w="611" w:type="dxa"/>
          </w:tcPr>
          <w:p w:rsidR="00BE1ED7" w:rsidRDefault="00BE1ED7" w:rsidP="00033361">
            <w:pPr>
              <w:pStyle w:val="TableParagraph"/>
              <w:rPr>
                <w:rFonts w:ascii="Times New Roman"/>
                <w:sz w:val="10"/>
              </w:rPr>
            </w:pPr>
          </w:p>
          <w:p w:rsidR="00BE1ED7" w:rsidRDefault="00BE1ED7" w:rsidP="00033361">
            <w:pPr>
              <w:pStyle w:val="TableParagraph"/>
              <w:spacing w:before="6"/>
              <w:rPr>
                <w:rFonts w:ascii="Times New Roman"/>
                <w:sz w:val="13"/>
              </w:rPr>
            </w:pPr>
          </w:p>
          <w:p w:rsidR="00BE1ED7" w:rsidRDefault="00BE1ED7" w:rsidP="00033361">
            <w:pPr>
              <w:pStyle w:val="TableParagraph"/>
              <w:ind w:left="11"/>
              <w:rPr>
                <w:sz w:val="10"/>
              </w:rPr>
            </w:pPr>
            <w:r>
              <w:rPr>
                <w:w w:val="105"/>
                <w:sz w:val="10"/>
              </w:rPr>
              <w:t>54 Pa</w:t>
            </w:r>
          </w:p>
        </w:tc>
        <w:tc>
          <w:tcPr>
            <w:tcW w:w="373" w:type="dxa"/>
          </w:tcPr>
          <w:p w:rsidR="00BE1ED7" w:rsidRDefault="00BE1ED7" w:rsidP="00033361">
            <w:pPr>
              <w:pStyle w:val="TableParagraph"/>
              <w:rPr>
                <w:rFonts w:ascii="Times New Roman"/>
                <w:sz w:val="10"/>
              </w:rPr>
            </w:pPr>
          </w:p>
          <w:p w:rsidR="00BE1ED7" w:rsidRDefault="00BE1ED7" w:rsidP="00033361">
            <w:pPr>
              <w:pStyle w:val="TableParagraph"/>
              <w:spacing w:before="6"/>
              <w:rPr>
                <w:rFonts w:ascii="Times New Roman"/>
                <w:sz w:val="13"/>
              </w:rPr>
            </w:pPr>
          </w:p>
          <w:p w:rsidR="00BE1ED7" w:rsidRDefault="00BE1ED7" w:rsidP="00033361">
            <w:pPr>
              <w:pStyle w:val="TableParagraph"/>
              <w:ind w:left="10"/>
              <w:rPr>
                <w:sz w:val="10"/>
              </w:rPr>
            </w:pPr>
            <w:r>
              <w:rPr>
                <w:w w:val="105"/>
                <w:sz w:val="10"/>
              </w:rPr>
              <w:t>CS</w:t>
            </w:r>
          </w:p>
        </w:tc>
        <w:tc>
          <w:tcPr>
            <w:tcW w:w="2574" w:type="dxa"/>
          </w:tcPr>
          <w:p w:rsidR="00BE1ED7" w:rsidRDefault="00BE1ED7" w:rsidP="00033361">
            <w:pPr>
              <w:pStyle w:val="TableParagraph"/>
              <w:rPr>
                <w:rFonts w:ascii="Times New Roman"/>
                <w:sz w:val="10"/>
              </w:rPr>
            </w:pPr>
          </w:p>
          <w:p w:rsidR="00BE1ED7" w:rsidRDefault="00BE1ED7" w:rsidP="00033361">
            <w:pPr>
              <w:pStyle w:val="TableParagraph"/>
              <w:spacing w:before="6"/>
              <w:rPr>
                <w:rFonts w:ascii="Times New Roman"/>
                <w:sz w:val="13"/>
              </w:rPr>
            </w:pPr>
          </w:p>
          <w:p w:rsidR="00BE1ED7" w:rsidRDefault="00BE1ED7" w:rsidP="00033361">
            <w:pPr>
              <w:pStyle w:val="TableParagraph"/>
              <w:ind w:left="9"/>
              <w:rPr>
                <w:sz w:val="10"/>
              </w:rPr>
            </w:pPr>
            <w:r>
              <w:rPr>
                <w:w w:val="105"/>
                <w:sz w:val="10"/>
              </w:rPr>
              <w:t>hot products are ejected 200 m high and fell towards west</w:t>
            </w:r>
          </w:p>
        </w:tc>
        <w:tc>
          <w:tcPr>
            <w:tcW w:w="714" w:type="dxa"/>
          </w:tcPr>
          <w:p w:rsidR="00BE1ED7" w:rsidRPr="00033361" w:rsidRDefault="00BE1ED7" w:rsidP="00033361">
            <w:pPr>
              <w:pStyle w:val="TableParagraph"/>
              <w:spacing w:line="114" w:lineRule="exact"/>
              <w:ind w:left="8"/>
              <w:rPr>
                <w:sz w:val="10"/>
                <w:lang w:val="it-IT"/>
              </w:rPr>
            </w:pPr>
            <w:r w:rsidRPr="00033361">
              <w:rPr>
                <w:w w:val="105"/>
                <w:sz w:val="10"/>
                <w:lang w:val="it-IT"/>
              </w:rPr>
              <w:t>Il Pizzo 900 m</w:t>
            </w:r>
          </w:p>
          <w:p w:rsidR="00BE1ED7" w:rsidRPr="00033361" w:rsidRDefault="00BE1ED7" w:rsidP="00033361">
            <w:pPr>
              <w:pStyle w:val="TableParagraph"/>
              <w:spacing w:before="17"/>
              <w:ind w:left="8"/>
              <w:rPr>
                <w:sz w:val="10"/>
                <w:lang w:val="it-IT"/>
              </w:rPr>
            </w:pPr>
            <w:r w:rsidRPr="00033361">
              <w:rPr>
                <w:w w:val="105"/>
                <w:sz w:val="10"/>
                <w:lang w:val="it-IT"/>
              </w:rPr>
              <w:t>asl</w:t>
            </w:r>
          </w:p>
          <w:p w:rsidR="00BE1ED7" w:rsidRPr="00033361" w:rsidRDefault="00BE1ED7" w:rsidP="00033361">
            <w:pPr>
              <w:pStyle w:val="TableParagraph"/>
              <w:rPr>
                <w:rFonts w:ascii="Times New Roman"/>
                <w:sz w:val="12"/>
                <w:lang w:val="it-IT"/>
              </w:rPr>
            </w:pPr>
          </w:p>
          <w:p w:rsidR="00BE1ED7" w:rsidRPr="00033361" w:rsidRDefault="00BE1ED7" w:rsidP="00033361">
            <w:pPr>
              <w:pStyle w:val="TableParagraph"/>
              <w:spacing w:line="140" w:lineRule="atLeast"/>
              <w:ind w:left="8" w:right="20" w:hanging="1"/>
              <w:rPr>
                <w:sz w:val="10"/>
                <w:lang w:val="it-IT"/>
              </w:rPr>
            </w:pPr>
            <w:r w:rsidRPr="00033361">
              <w:rPr>
                <w:w w:val="105"/>
                <w:sz w:val="10"/>
                <w:lang w:val="it-IT"/>
              </w:rPr>
              <w:t xml:space="preserve">Roccette 710 </w:t>
            </w:r>
            <w:r w:rsidRPr="00033361">
              <w:rPr>
                <w:spacing w:val="-16"/>
                <w:w w:val="105"/>
                <w:sz w:val="10"/>
                <w:lang w:val="it-IT"/>
              </w:rPr>
              <w:t xml:space="preserve">m </w:t>
            </w:r>
            <w:r w:rsidRPr="00033361">
              <w:rPr>
                <w:w w:val="105"/>
                <w:sz w:val="10"/>
                <w:lang w:val="it-IT"/>
              </w:rPr>
              <w:t>asl</w:t>
            </w:r>
          </w:p>
        </w:tc>
      </w:tr>
      <w:tr w:rsidR="00BE1ED7" w:rsidRPr="005C3C4C" w:rsidTr="0058335B">
        <w:trPr>
          <w:trHeight w:val="789"/>
          <w:jc w:val="center"/>
        </w:trPr>
        <w:tc>
          <w:tcPr>
            <w:tcW w:w="334" w:type="dxa"/>
          </w:tcPr>
          <w:p w:rsidR="00BE1ED7" w:rsidRPr="00033361" w:rsidRDefault="00BE1ED7" w:rsidP="00033361">
            <w:pPr>
              <w:pStyle w:val="TableParagraph"/>
              <w:rPr>
                <w:rFonts w:ascii="Times New Roman"/>
                <w:sz w:val="10"/>
                <w:lang w:val="it-IT"/>
              </w:rPr>
            </w:pPr>
          </w:p>
          <w:p w:rsidR="00BE1ED7" w:rsidRPr="00033361" w:rsidRDefault="00BE1ED7" w:rsidP="00033361">
            <w:pPr>
              <w:pStyle w:val="TableParagraph"/>
              <w:rPr>
                <w:rFonts w:ascii="Times New Roman"/>
                <w:sz w:val="10"/>
                <w:lang w:val="it-IT"/>
              </w:rPr>
            </w:pPr>
          </w:p>
          <w:p w:rsidR="00BE1ED7" w:rsidRPr="00033361" w:rsidRDefault="00BE1ED7" w:rsidP="00033361">
            <w:pPr>
              <w:pStyle w:val="TableParagraph"/>
              <w:spacing w:before="6"/>
              <w:rPr>
                <w:rFonts w:ascii="Times New Roman"/>
                <w:sz w:val="8"/>
                <w:lang w:val="it-IT"/>
              </w:rPr>
            </w:pPr>
          </w:p>
          <w:p w:rsidR="00BE1ED7" w:rsidRDefault="00BE1ED7" w:rsidP="00033361">
            <w:pPr>
              <w:pStyle w:val="TableParagraph"/>
              <w:ind w:right="7"/>
              <w:jc w:val="right"/>
              <w:rPr>
                <w:sz w:val="10"/>
              </w:rPr>
            </w:pPr>
            <w:r>
              <w:rPr>
                <w:sz w:val="10"/>
              </w:rPr>
              <w:t>2026</w:t>
            </w:r>
          </w:p>
        </w:tc>
        <w:tc>
          <w:tcPr>
            <w:tcW w:w="440" w:type="dxa"/>
          </w:tcPr>
          <w:p w:rsidR="00BE1ED7" w:rsidRDefault="00BE1ED7" w:rsidP="00033361">
            <w:pPr>
              <w:pStyle w:val="TableParagraph"/>
              <w:rPr>
                <w:rFonts w:ascii="Times New Roman"/>
                <w:sz w:val="10"/>
              </w:rPr>
            </w:pPr>
          </w:p>
          <w:p w:rsidR="00BE1ED7" w:rsidRDefault="00BE1ED7" w:rsidP="00033361">
            <w:pPr>
              <w:pStyle w:val="TableParagraph"/>
              <w:rPr>
                <w:rFonts w:ascii="Times New Roman"/>
                <w:sz w:val="10"/>
              </w:rPr>
            </w:pPr>
          </w:p>
          <w:p w:rsidR="00BE1ED7" w:rsidRDefault="00BE1ED7" w:rsidP="00033361">
            <w:pPr>
              <w:pStyle w:val="TableParagraph"/>
              <w:spacing w:before="6"/>
              <w:rPr>
                <w:rFonts w:ascii="Times New Roman"/>
                <w:sz w:val="8"/>
              </w:rPr>
            </w:pPr>
          </w:p>
          <w:p w:rsidR="00BE1ED7" w:rsidRDefault="00BE1ED7" w:rsidP="00033361">
            <w:pPr>
              <w:pStyle w:val="TableParagraph"/>
              <w:ind w:right="6"/>
              <w:jc w:val="right"/>
              <w:rPr>
                <w:sz w:val="10"/>
              </w:rPr>
            </w:pPr>
            <w:r>
              <w:rPr>
                <w:w w:val="103"/>
                <w:sz w:val="10"/>
              </w:rPr>
              <w:t>6</w:t>
            </w:r>
          </w:p>
        </w:tc>
        <w:tc>
          <w:tcPr>
            <w:tcW w:w="342" w:type="dxa"/>
          </w:tcPr>
          <w:p w:rsidR="00BE1ED7" w:rsidRDefault="00BE1ED7" w:rsidP="00033361">
            <w:pPr>
              <w:pStyle w:val="TableParagraph"/>
              <w:rPr>
                <w:rFonts w:ascii="Times New Roman"/>
                <w:sz w:val="10"/>
              </w:rPr>
            </w:pPr>
          </w:p>
          <w:p w:rsidR="00BE1ED7" w:rsidRDefault="00BE1ED7" w:rsidP="00033361">
            <w:pPr>
              <w:pStyle w:val="TableParagraph"/>
              <w:rPr>
                <w:rFonts w:ascii="Times New Roman"/>
                <w:sz w:val="10"/>
              </w:rPr>
            </w:pPr>
          </w:p>
          <w:p w:rsidR="00BE1ED7" w:rsidRDefault="00BE1ED7" w:rsidP="00033361">
            <w:pPr>
              <w:pStyle w:val="TableParagraph"/>
              <w:spacing w:before="6"/>
              <w:rPr>
                <w:rFonts w:ascii="Times New Roman"/>
                <w:sz w:val="8"/>
              </w:rPr>
            </w:pPr>
          </w:p>
          <w:p w:rsidR="00BE1ED7" w:rsidRDefault="00BE1ED7" w:rsidP="00033361">
            <w:pPr>
              <w:pStyle w:val="TableParagraph"/>
              <w:ind w:right="8"/>
              <w:jc w:val="right"/>
              <w:rPr>
                <w:sz w:val="10"/>
              </w:rPr>
            </w:pPr>
            <w:r>
              <w:rPr>
                <w:sz w:val="10"/>
              </w:rPr>
              <w:t>12</w:t>
            </w:r>
          </w:p>
        </w:tc>
        <w:tc>
          <w:tcPr>
            <w:tcW w:w="373" w:type="dxa"/>
          </w:tcPr>
          <w:p w:rsidR="00BE1ED7" w:rsidRDefault="00BE1ED7" w:rsidP="00033361">
            <w:pPr>
              <w:pStyle w:val="TableParagraph"/>
              <w:rPr>
                <w:rFonts w:ascii="Times New Roman"/>
                <w:sz w:val="10"/>
              </w:rPr>
            </w:pPr>
          </w:p>
          <w:p w:rsidR="00BE1ED7" w:rsidRDefault="00BE1ED7" w:rsidP="00033361">
            <w:pPr>
              <w:pStyle w:val="TableParagraph"/>
              <w:rPr>
                <w:rFonts w:ascii="Times New Roman"/>
                <w:sz w:val="10"/>
              </w:rPr>
            </w:pPr>
          </w:p>
          <w:p w:rsidR="00BE1ED7" w:rsidRDefault="00BE1ED7" w:rsidP="00033361">
            <w:pPr>
              <w:pStyle w:val="TableParagraph"/>
              <w:spacing w:before="6"/>
              <w:rPr>
                <w:rFonts w:ascii="Times New Roman"/>
                <w:sz w:val="8"/>
              </w:rPr>
            </w:pPr>
          </w:p>
          <w:p w:rsidR="00BE1ED7" w:rsidRDefault="00BE1ED7" w:rsidP="00033361">
            <w:pPr>
              <w:pStyle w:val="TableParagraph"/>
              <w:ind w:right="5"/>
              <w:jc w:val="right"/>
              <w:rPr>
                <w:sz w:val="10"/>
              </w:rPr>
            </w:pPr>
            <w:r>
              <w:rPr>
                <w:sz w:val="10"/>
              </w:rPr>
              <w:t>5:12</w:t>
            </w:r>
          </w:p>
        </w:tc>
        <w:tc>
          <w:tcPr>
            <w:tcW w:w="1187" w:type="dxa"/>
            <w:shd w:val="clear" w:color="auto" w:fill="FFD9EF"/>
          </w:tcPr>
          <w:p w:rsidR="00BE1ED7" w:rsidRDefault="00BE1ED7" w:rsidP="00033361">
            <w:pPr>
              <w:pStyle w:val="TableParagraph"/>
              <w:rPr>
                <w:rFonts w:ascii="Times New Roman"/>
                <w:sz w:val="10"/>
              </w:rPr>
            </w:pPr>
          </w:p>
          <w:p w:rsidR="00BE1ED7" w:rsidRDefault="00BE1ED7" w:rsidP="00033361">
            <w:pPr>
              <w:pStyle w:val="TableParagraph"/>
              <w:rPr>
                <w:rFonts w:ascii="Times New Roman"/>
                <w:sz w:val="10"/>
              </w:rPr>
            </w:pPr>
          </w:p>
          <w:p w:rsidR="00BE1ED7" w:rsidRDefault="00BE1ED7" w:rsidP="00033361">
            <w:pPr>
              <w:pStyle w:val="TableParagraph"/>
              <w:spacing w:before="6"/>
              <w:rPr>
                <w:rFonts w:ascii="Times New Roman"/>
                <w:sz w:val="8"/>
              </w:rPr>
            </w:pPr>
          </w:p>
          <w:p w:rsidR="00BE1ED7" w:rsidRDefault="00BE1ED7" w:rsidP="00033361">
            <w:pPr>
              <w:pStyle w:val="TableParagraph"/>
              <w:ind w:left="15"/>
              <w:rPr>
                <w:sz w:val="10"/>
              </w:rPr>
            </w:pPr>
            <w:r>
              <w:rPr>
                <w:w w:val="105"/>
                <w:sz w:val="10"/>
              </w:rPr>
              <w:t>major explosion</w:t>
            </w:r>
          </w:p>
        </w:tc>
        <w:tc>
          <w:tcPr>
            <w:tcW w:w="990" w:type="dxa"/>
          </w:tcPr>
          <w:p w:rsidR="00BE1ED7" w:rsidRDefault="00BE1ED7" w:rsidP="00033361">
            <w:pPr>
              <w:pStyle w:val="TableParagraph"/>
              <w:rPr>
                <w:rFonts w:ascii="Times New Roman"/>
                <w:sz w:val="10"/>
              </w:rPr>
            </w:pPr>
          </w:p>
          <w:p w:rsidR="00BE1ED7" w:rsidRDefault="00BE1ED7" w:rsidP="00033361">
            <w:pPr>
              <w:pStyle w:val="TableParagraph"/>
              <w:spacing w:before="74" w:line="273" w:lineRule="auto"/>
              <w:ind w:left="14" w:right="90"/>
              <w:rPr>
                <w:sz w:val="10"/>
              </w:rPr>
            </w:pPr>
            <w:r>
              <w:rPr>
                <w:sz w:val="10"/>
              </w:rPr>
              <w:t xml:space="preserve">UNIFI‐LGS reports; </w:t>
            </w:r>
            <w:r>
              <w:rPr>
                <w:w w:val="105"/>
                <w:sz w:val="10"/>
              </w:rPr>
              <w:t>INGV bulletins (major explosion)</w:t>
            </w:r>
          </w:p>
        </w:tc>
        <w:tc>
          <w:tcPr>
            <w:tcW w:w="1657" w:type="dxa"/>
            <w:shd w:val="clear" w:color="auto" w:fill="FFD9EF"/>
          </w:tcPr>
          <w:p w:rsidR="00BE1ED7" w:rsidRDefault="00BE1ED7" w:rsidP="00033361">
            <w:pPr>
              <w:pStyle w:val="TableParagraph"/>
              <w:rPr>
                <w:rFonts w:ascii="Times New Roman"/>
                <w:sz w:val="10"/>
              </w:rPr>
            </w:pPr>
          </w:p>
          <w:p w:rsidR="00BE1ED7" w:rsidRDefault="00BE1ED7" w:rsidP="00033361">
            <w:pPr>
              <w:pStyle w:val="TableParagraph"/>
              <w:spacing w:before="74" w:line="547" w:lineRule="auto"/>
              <w:ind w:left="12" w:right="46"/>
              <w:rPr>
                <w:sz w:val="10"/>
              </w:rPr>
            </w:pPr>
            <w:r>
              <w:rPr>
                <w:w w:val="105"/>
                <w:sz w:val="10"/>
              </w:rPr>
              <w:t xml:space="preserve">seismic displacement 0.2 x10^‐4 m tilt 0.3 </w:t>
            </w:r>
            <w:proofErr w:type="spellStart"/>
            <w:r>
              <w:rPr>
                <w:w w:val="105"/>
                <w:sz w:val="10"/>
              </w:rPr>
              <w:t>μrad</w:t>
            </w:r>
            <w:proofErr w:type="spellEnd"/>
            <w:r>
              <w:rPr>
                <w:w w:val="105"/>
                <w:sz w:val="10"/>
              </w:rPr>
              <w:t xml:space="preserve"> al </w:t>
            </w:r>
            <w:proofErr w:type="spellStart"/>
            <w:r>
              <w:rPr>
                <w:w w:val="105"/>
                <w:sz w:val="10"/>
              </w:rPr>
              <w:t>tiltmetro</w:t>
            </w:r>
            <w:proofErr w:type="spellEnd"/>
            <w:r>
              <w:rPr>
                <w:w w:val="105"/>
                <w:sz w:val="10"/>
              </w:rPr>
              <w:t xml:space="preserve"> OHO</w:t>
            </w:r>
          </w:p>
        </w:tc>
        <w:tc>
          <w:tcPr>
            <w:tcW w:w="611" w:type="dxa"/>
            <w:shd w:val="clear" w:color="auto" w:fill="FFD9EF"/>
          </w:tcPr>
          <w:p w:rsidR="00BE1ED7" w:rsidRDefault="00BE1ED7" w:rsidP="00033361">
            <w:pPr>
              <w:pStyle w:val="TableParagraph"/>
              <w:rPr>
                <w:rFonts w:ascii="Times New Roman"/>
                <w:sz w:val="10"/>
              </w:rPr>
            </w:pPr>
          </w:p>
          <w:p w:rsidR="00BE1ED7" w:rsidRDefault="00BE1ED7" w:rsidP="00033361">
            <w:pPr>
              <w:pStyle w:val="TableParagraph"/>
              <w:rPr>
                <w:rFonts w:ascii="Times New Roman"/>
                <w:sz w:val="10"/>
              </w:rPr>
            </w:pPr>
          </w:p>
          <w:p w:rsidR="00BE1ED7" w:rsidRDefault="00BE1ED7" w:rsidP="00033361">
            <w:pPr>
              <w:pStyle w:val="TableParagraph"/>
              <w:spacing w:before="6"/>
              <w:rPr>
                <w:rFonts w:ascii="Times New Roman"/>
                <w:sz w:val="8"/>
              </w:rPr>
            </w:pPr>
          </w:p>
          <w:p w:rsidR="00BE1ED7" w:rsidRDefault="00BE1ED7" w:rsidP="00033361">
            <w:pPr>
              <w:pStyle w:val="TableParagraph"/>
              <w:ind w:left="11"/>
              <w:rPr>
                <w:sz w:val="10"/>
              </w:rPr>
            </w:pPr>
            <w:r>
              <w:rPr>
                <w:w w:val="105"/>
                <w:sz w:val="10"/>
              </w:rPr>
              <w:t>276 Pa</w:t>
            </w:r>
          </w:p>
        </w:tc>
        <w:tc>
          <w:tcPr>
            <w:tcW w:w="373" w:type="dxa"/>
            <w:shd w:val="clear" w:color="auto" w:fill="FFD9EF"/>
          </w:tcPr>
          <w:p w:rsidR="00BE1ED7" w:rsidRDefault="00BE1ED7" w:rsidP="00033361">
            <w:pPr>
              <w:pStyle w:val="TableParagraph"/>
              <w:rPr>
                <w:rFonts w:ascii="Times New Roman"/>
                <w:sz w:val="10"/>
              </w:rPr>
            </w:pPr>
          </w:p>
          <w:p w:rsidR="00BE1ED7" w:rsidRDefault="00BE1ED7" w:rsidP="00033361">
            <w:pPr>
              <w:pStyle w:val="TableParagraph"/>
              <w:rPr>
                <w:rFonts w:ascii="Times New Roman"/>
                <w:sz w:val="10"/>
              </w:rPr>
            </w:pPr>
          </w:p>
          <w:p w:rsidR="00BE1ED7" w:rsidRDefault="00BE1ED7" w:rsidP="00033361">
            <w:pPr>
              <w:pStyle w:val="TableParagraph"/>
              <w:spacing w:before="6"/>
              <w:rPr>
                <w:rFonts w:ascii="Times New Roman"/>
                <w:sz w:val="8"/>
              </w:rPr>
            </w:pPr>
          </w:p>
          <w:p w:rsidR="00BE1ED7" w:rsidRDefault="00BE1ED7" w:rsidP="00033361">
            <w:pPr>
              <w:pStyle w:val="TableParagraph"/>
              <w:ind w:left="10"/>
              <w:rPr>
                <w:sz w:val="10"/>
              </w:rPr>
            </w:pPr>
            <w:r>
              <w:rPr>
                <w:w w:val="103"/>
                <w:sz w:val="10"/>
              </w:rPr>
              <w:t>N</w:t>
            </w:r>
          </w:p>
        </w:tc>
        <w:tc>
          <w:tcPr>
            <w:tcW w:w="2574" w:type="dxa"/>
            <w:shd w:val="clear" w:color="auto" w:fill="FFD9EF"/>
          </w:tcPr>
          <w:p w:rsidR="00BE1ED7" w:rsidRDefault="00BE1ED7" w:rsidP="00033361">
            <w:pPr>
              <w:pStyle w:val="TableParagraph"/>
              <w:spacing w:line="105" w:lineRule="exact"/>
              <w:ind w:left="9"/>
              <w:rPr>
                <w:sz w:val="10"/>
              </w:rPr>
            </w:pPr>
            <w:r>
              <w:rPr>
                <w:w w:val="105"/>
                <w:sz w:val="10"/>
              </w:rPr>
              <w:t xml:space="preserve">coarse products prevalently fell on upper </w:t>
            </w:r>
            <w:proofErr w:type="spellStart"/>
            <w:r>
              <w:rPr>
                <w:w w:val="105"/>
                <w:sz w:val="10"/>
              </w:rPr>
              <w:t>Sciara</w:t>
            </w:r>
            <w:proofErr w:type="spellEnd"/>
            <w:r>
              <w:rPr>
                <w:w w:val="105"/>
                <w:sz w:val="10"/>
              </w:rPr>
              <w:t xml:space="preserve"> del </w:t>
            </w:r>
            <w:proofErr w:type="spellStart"/>
            <w:r>
              <w:rPr>
                <w:w w:val="105"/>
                <w:sz w:val="10"/>
              </w:rPr>
              <w:t>Fuoco</w:t>
            </w:r>
            <w:proofErr w:type="spellEnd"/>
          </w:p>
          <w:p w:rsidR="00BE1ED7" w:rsidRDefault="00BE1ED7" w:rsidP="00033361">
            <w:pPr>
              <w:pStyle w:val="TableParagraph"/>
              <w:spacing w:before="17" w:line="273" w:lineRule="auto"/>
              <w:ind w:left="9" w:hanging="1"/>
              <w:rPr>
                <w:sz w:val="10"/>
              </w:rPr>
            </w:pPr>
            <w:r>
              <w:rPr>
                <w:w w:val="105"/>
                <w:sz w:val="10"/>
              </w:rPr>
              <w:t>and channelized in the canyon, but they did not reach the coastline</w:t>
            </w:r>
          </w:p>
          <w:p w:rsidR="00BE1ED7" w:rsidRDefault="00BE1ED7" w:rsidP="00033361">
            <w:pPr>
              <w:pStyle w:val="TableParagraph"/>
              <w:spacing w:before="6"/>
              <w:rPr>
                <w:rFonts w:ascii="Times New Roman"/>
                <w:sz w:val="10"/>
              </w:rPr>
            </w:pPr>
          </w:p>
          <w:p w:rsidR="00BE1ED7" w:rsidRDefault="00BE1ED7" w:rsidP="00033361">
            <w:pPr>
              <w:pStyle w:val="TableParagraph"/>
              <w:spacing w:line="140" w:lineRule="atLeast"/>
              <w:ind w:left="9"/>
              <w:rPr>
                <w:sz w:val="10"/>
              </w:rPr>
            </w:pPr>
            <w:r>
              <w:rPr>
                <w:w w:val="105"/>
                <w:sz w:val="10"/>
              </w:rPr>
              <w:t xml:space="preserve">thermal anomaly </w:t>
            </w:r>
            <w:proofErr w:type="spellStart"/>
            <w:r>
              <w:rPr>
                <w:w w:val="105"/>
                <w:sz w:val="10"/>
              </w:rPr>
              <w:t>proxymal</w:t>
            </w:r>
            <w:proofErr w:type="spellEnd"/>
            <w:r>
              <w:rPr>
                <w:w w:val="105"/>
                <w:sz w:val="10"/>
              </w:rPr>
              <w:t xml:space="preserve"> to the craters lasted for several hours</w:t>
            </w:r>
          </w:p>
        </w:tc>
        <w:tc>
          <w:tcPr>
            <w:tcW w:w="714" w:type="dxa"/>
          </w:tcPr>
          <w:p w:rsidR="00BE1ED7" w:rsidRPr="00033361" w:rsidRDefault="00BE1ED7" w:rsidP="00033361">
            <w:pPr>
              <w:pStyle w:val="TableParagraph"/>
              <w:spacing w:line="105" w:lineRule="exact"/>
              <w:ind w:left="8"/>
              <w:rPr>
                <w:sz w:val="10"/>
                <w:lang w:val="it-IT"/>
              </w:rPr>
            </w:pPr>
            <w:r w:rsidRPr="00033361">
              <w:rPr>
                <w:w w:val="105"/>
                <w:sz w:val="10"/>
                <w:lang w:val="it-IT"/>
              </w:rPr>
              <w:t>Il Pizzo 900 m</w:t>
            </w:r>
          </w:p>
          <w:p w:rsidR="00BE1ED7" w:rsidRPr="00033361" w:rsidRDefault="00BE1ED7" w:rsidP="00033361">
            <w:pPr>
              <w:pStyle w:val="TableParagraph"/>
              <w:spacing w:before="17"/>
              <w:ind w:left="8"/>
              <w:rPr>
                <w:sz w:val="10"/>
                <w:lang w:val="it-IT"/>
              </w:rPr>
            </w:pPr>
            <w:r w:rsidRPr="00033361">
              <w:rPr>
                <w:w w:val="105"/>
                <w:sz w:val="10"/>
                <w:lang w:val="it-IT"/>
              </w:rPr>
              <w:t>asl</w:t>
            </w:r>
          </w:p>
          <w:p w:rsidR="00BE1ED7" w:rsidRPr="00033361" w:rsidRDefault="00BE1ED7" w:rsidP="00033361">
            <w:pPr>
              <w:pStyle w:val="TableParagraph"/>
              <w:spacing w:before="6"/>
              <w:rPr>
                <w:rFonts w:ascii="Times New Roman"/>
                <w:sz w:val="13"/>
                <w:lang w:val="it-IT"/>
              </w:rPr>
            </w:pPr>
          </w:p>
          <w:p w:rsidR="00BE1ED7" w:rsidRPr="00033361" w:rsidRDefault="00BE1ED7" w:rsidP="00033361">
            <w:pPr>
              <w:pStyle w:val="TableParagraph"/>
              <w:spacing w:before="1" w:line="273" w:lineRule="auto"/>
              <w:ind w:left="8" w:right="20" w:hanging="1"/>
              <w:rPr>
                <w:sz w:val="10"/>
                <w:lang w:val="it-IT"/>
              </w:rPr>
            </w:pPr>
            <w:r w:rsidRPr="00033361">
              <w:rPr>
                <w:w w:val="105"/>
                <w:sz w:val="10"/>
                <w:lang w:val="it-IT"/>
              </w:rPr>
              <w:t xml:space="preserve">Roccette 710 </w:t>
            </w:r>
            <w:r w:rsidRPr="00033361">
              <w:rPr>
                <w:spacing w:val="-16"/>
                <w:w w:val="105"/>
                <w:sz w:val="10"/>
                <w:lang w:val="it-IT"/>
              </w:rPr>
              <w:t xml:space="preserve">m </w:t>
            </w:r>
            <w:r w:rsidRPr="00033361">
              <w:rPr>
                <w:w w:val="105"/>
                <w:sz w:val="10"/>
                <w:lang w:val="it-IT"/>
              </w:rPr>
              <w:t>asl</w:t>
            </w:r>
          </w:p>
        </w:tc>
      </w:tr>
    </w:tbl>
    <w:p w:rsidR="000270A2" w:rsidRPr="00033361" w:rsidRDefault="000270A2">
      <w:pPr>
        <w:rPr>
          <w:color w:val="FF0000"/>
          <w:lang w:val="it-IT"/>
        </w:rPr>
      </w:pPr>
    </w:p>
    <w:p w:rsidR="0058335B" w:rsidRPr="00CA7975" w:rsidRDefault="0058335B">
      <w:pPr>
        <w:rPr>
          <w:rFonts w:eastAsia="Times New Roman" w:cstheme="minorHAnsi"/>
          <w:b/>
          <w:i/>
          <w:color w:val="FF0000"/>
          <w:lang w:val="it-IT"/>
        </w:rPr>
      </w:pPr>
      <w:r w:rsidRPr="00CA7975">
        <w:rPr>
          <w:rFonts w:cstheme="minorHAnsi"/>
          <w:b/>
          <w:i/>
          <w:color w:val="FF0000"/>
          <w:lang w:val="it-IT"/>
        </w:rPr>
        <w:br w:type="page"/>
      </w:r>
    </w:p>
    <w:p w:rsidR="00532CAC" w:rsidRPr="00532CAC" w:rsidRDefault="00E16844" w:rsidP="00532CAC">
      <w:pPr>
        <w:pStyle w:val="SMcaption"/>
        <w:jc w:val="both"/>
        <w:rPr>
          <w:rFonts w:asciiTheme="minorHAnsi" w:hAnsiTheme="minorHAnsi" w:cstheme="minorHAnsi"/>
          <w:i/>
          <w:sz w:val="22"/>
          <w:szCs w:val="22"/>
        </w:rPr>
      </w:pPr>
      <w:r>
        <w:rPr>
          <w:rFonts w:asciiTheme="minorHAnsi" w:hAnsiTheme="minorHAnsi" w:cstheme="minorHAnsi"/>
          <w:b/>
          <w:i/>
          <w:color w:val="FF0000"/>
          <w:sz w:val="22"/>
          <w:szCs w:val="22"/>
        </w:rPr>
        <w:lastRenderedPageBreak/>
        <w:t>Table S</w:t>
      </w:r>
      <w:r w:rsidR="008A1534">
        <w:rPr>
          <w:rFonts w:asciiTheme="minorHAnsi" w:hAnsiTheme="minorHAnsi" w:cstheme="minorHAnsi"/>
          <w:b/>
          <w:i/>
          <w:color w:val="FF0000"/>
          <w:sz w:val="22"/>
          <w:szCs w:val="22"/>
        </w:rPr>
        <w:t>5</w:t>
      </w:r>
      <w:r w:rsidR="00532CAC" w:rsidRPr="00532CAC">
        <w:rPr>
          <w:rFonts w:asciiTheme="minorHAnsi" w:hAnsiTheme="minorHAnsi" w:cstheme="minorHAnsi"/>
          <w:b/>
          <w:i/>
          <w:color w:val="FF0000"/>
          <w:sz w:val="22"/>
          <w:szCs w:val="22"/>
        </w:rPr>
        <w:t xml:space="preserve">. </w:t>
      </w:r>
      <w:proofErr w:type="gramStart"/>
      <w:r w:rsidR="00532CAC" w:rsidRPr="00532CAC">
        <w:rPr>
          <w:rFonts w:asciiTheme="minorHAnsi" w:hAnsiTheme="minorHAnsi" w:cstheme="minorHAnsi"/>
          <w:i/>
          <w:color w:val="FF0000"/>
          <w:sz w:val="22"/>
          <w:szCs w:val="22"/>
        </w:rPr>
        <w:t>Summary of the estimates of the p ratio between the number of major explosions and paroxysms that are discussed in th</w:t>
      </w:r>
      <w:r w:rsidR="003529C0">
        <w:rPr>
          <w:rFonts w:asciiTheme="minorHAnsi" w:hAnsiTheme="minorHAnsi" w:cstheme="minorHAnsi"/>
          <w:i/>
          <w:color w:val="FF0000"/>
          <w:sz w:val="22"/>
          <w:szCs w:val="22"/>
        </w:rPr>
        <w:t>is</w:t>
      </w:r>
      <w:r w:rsidR="00532CAC" w:rsidRPr="00532CAC">
        <w:rPr>
          <w:rFonts w:asciiTheme="minorHAnsi" w:hAnsiTheme="minorHAnsi" w:cstheme="minorHAnsi"/>
          <w:i/>
          <w:color w:val="FF0000"/>
          <w:sz w:val="22"/>
          <w:szCs w:val="22"/>
        </w:rPr>
        <w:t xml:space="preserve"> </w:t>
      </w:r>
      <w:r w:rsidR="00386818">
        <w:rPr>
          <w:rFonts w:asciiTheme="minorHAnsi" w:hAnsiTheme="minorHAnsi" w:cstheme="minorHAnsi"/>
          <w:i/>
          <w:color w:val="FF0000"/>
          <w:sz w:val="22"/>
          <w:szCs w:val="22"/>
        </w:rPr>
        <w:t>study</w:t>
      </w:r>
      <w:r w:rsidR="00532CAC" w:rsidRPr="00532CAC">
        <w:rPr>
          <w:rFonts w:asciiTheme="minorHAnsi" w:hAnsiTheme="minorHAnsi" w:cstheme="minorHAnsi"/>
          <w:i/>
          <w:color w:val="FF0000"/>
          <w:sz w:val="22"/>
          <w:szCs w:val="22"/>
        </w:rPr>
        <w:t>.</w:t>
      </w:r>
      <w:proofErr w:type="gramEnd"/>
      <w:r w:rsidR="00532CAC" w:rsidRPr="00532CAC">
        <w:rPr>
          <w:rFonts w:asciiTheme="minorHAnsi" w:hAnsiTheme="minorHAnsi" w:cstheme="minorHAnsi"/>
          <w:i/>
          <w:color w:val="FF0000"/>
          <w:sz w:val="22"/>
          <w:szCs w:val="22"/>
        </w:rPr>
        <w:t xml:space="preserve"> These values include the average value and the confidence interval based on a binomial test.</w:t>
      </w:r>
    </w:p>
    <w:p w:rsidR="00532CAC" w:rsidRDefault="00532CAC" w:rsidP="00532CAC">
      <w:pPr>
        <w:pStyle w:val="SMcaption"/>
        <w:jc w:val="both"/>
        <w:rPr>
          <w:rFonts w:ascii="Myriad Pro" w:hAnsi="Myriad Pro"/>
          <w:sz w:val="22"/>
          <w:szCs w:val="22"/>
        </w:rPr>
      </w:pPr>
    </w:p>
    <w:tbl>
      <w:tblPr>
        <w:tblW w:w="8480" w:type="dxa"/>
        <w:jc w:val="center"/>
        <w:tblInd w:w="93" w:type="dxa"/>
        <w:tblLook w:val="04A0" w:firstRow="1" w:lastRow="0" w:firstColumn="1" w:lastColumn="0" w:noHBand="0" w:noVBand="1"/>
      </w:tblPr>
      <w:tblGrid>
        <w:gridCol w:w="1100"/>
        <w:gridCol w:w="1380"/>
        <w:gridCol w:w="1200"/>
        <w:gridCol w:w="1200"/>
        <w:gridCol w:w="1200"/>
        <w:gridCol w:w="1200"/>
        <w:gridCol w:w="1200"/>
      </w:tblGrid>
      <w:tr w:rsidR="00532CAC" w:rsidRPr="00256BD1" w:rsidTr="00CE336C">
        <w:trPr>
          <w:trHeight w:val="515"/>
          <w:jc w:val="center"/>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2CAC" w:rsidRPr="00532CAC" w:rsidRDefault="00532CAC" w:rsidP="001D73AF">
            <w:pPr>
              <w:rPr>
                <w:rFonts w:ascii="Calibri" w:hAnsi="Calibri" w:cs="Calibri"/>
                <w:color w:val="FF0000"/>
                <w:sz w:val="20"/>
              </w:rPr>
            </w:pPr>
            <w:r w:rsidRPr="00532CAC">
              <w:rPr>
                <w:rFonts w:ascii="Calibri" w:hAnsi="Calibri" w:cs="Calibri"/>
                <w:color w:val="FF0000"/>
                <w:sz w:val="2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532CAC" w:rsidRPr="00532CAC" w:rsidRDefault="00532CAC" w:rsidP="001D73AF">
            <w:pPr>
              <w:rPr>
                <w:rFonts w:ascii="Calibri" w:hAnsi="Calibri" w:cs="Calibri"/>
                <w:color w:val="FF0000"/>
                <w:sz w:val="20"/>
              </w:rPr>
            </w:pPr>
            <w:r w:rsidRPr="00532CAC">
              <w:rPr>
                <w:rFonts w:ascii="Calibri" w:hAnsi="Calibri" w:cs="Calibri"/>
                <w:color w:val="FF0000"/>
                <w:sz w:val="20"/>
              </w:rPr>
              <w:t>Time interval</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532CAC" w:rsidRPr="00532CAC" w:rsidRDefault="00532CAC" w:rsidP="001D73AF">
            <w:pPr>
              <w:jc w:val="right"/>
              <w:rPr>
                <w:rFonts w:ascii="Calibri" w:hAnsi="Calibri" w:cs="Calibri"/>
                <w:color w:val="FF0000"/>
                <w:sz w:val="20"/>
              </w:rPr>
            </w:pPr>
            <w:r w:rsidRPr="00532CAC">
              <w:rPr>
                <w:rFonts w:ascii="Calibri" w:hAnsi="Calibri" w:cs="Calibri"/>
                <w:color w:val="FF0000"/>
                <w:sz w:val="20"/>
              </w:rPr>
              <w:t xml:space="preserve">from 1/1970 </w:t>
            </w:r>
            <w:r w:rsidRPr="00532CAC">
              <w:rPr>
                <w:rFonts w:ascii="Calibri" w:hAnsi="Calibri" w:cs="Calibri"/>
                <w:color w:val="FF0000"/>
                <w:sz w:val="20"/>
              </w:rPr>
              <w:br/>
              <w:t>to 10/2023</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532CAC" w:rsidRPr="00532CAC" w:rsidRDefault="00532CAC" w:rsidP="001D73AF">
            <w:pPr>
              <w:jc w:val="right"/>
              <w:rPr>
                <w:rFonts w:ascii="Calibri" w:hAnsi="Calibri" w:cs="Calibri"/>
                <w:color w:val="FF0000"/>
                <w:sz w:val="20"/>
              </w:rPr>
            </w:pPr>
            <w:r w:rsidRPr="00532CAC">
              <w:rPr>
                <w:rFonts w:ascii="Calibri" w:hAnsi="Calibri" w:cs="Calibri"/>
                <w:color w:val="FF0000"/>
                <w:sz w:val="20"/>
              </w:rPr>
              <w:t>from 1/2003</w:t>
            </w:r>
            <w:r w:rsidRPr="00532CAC">
              <w:rPr>
                <w:rFonts w:ascii="Calibri" w:hAnsi="Calibri" w:cs="Calibri"/>
                <w:color w:val="FF0000"/>
                <w:sz w:val="20"/>
              </w:rPr>
              <w:br/>
              <w:t xml:space="preserve"> to 10/2023</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532CAC" w:rsidRPr="00532CAC" w:rsidRDefault="00532CAC" w:rsidP="001D73AF">
            <w:pPr>
              <w:jc w:val="right"/>
              <w:rPr>
                <w:rFonts w:ascii="Calibri" w:hAnsi="Calibri" w:cs="Calibri"/>
                <w:color w:val="FF0000"/>
                <w:sz w:val="20"/>
              </w:rPr>
            </w:pPr>
            <w:r w:rsidRPr="00532CAC">
              <w:rPr>
                <w:rFonts w:ascii="Calibri" w:hAnsi="Calibri" w:cs="Calibri"/>
                <w:color w:val="FF0000"/>
                <w:sz w:val="20"/>
              </w:rPr>
              <w:t xml:space="preserve">from 1/2003 </w:t>
            </w:r>
            <w:r w:rsidRPr="00532CAC">
              <w:rPr>
                <w:rFonts w:ascii="Calibri" w:hAnsi="Calibri" w:cs="Calibri"/>
                <w:color w:val="FF0000"/>
                <w:sz w:val="20"/>
              </w:rPr>
              <w:br/>
              <w:t>to 6/2026</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532CAC" w:rsidRPr="00532CAC" w:rsidRDefault="00CE336C" w:rsidP="001D73AF">
            <w:pPr>
              <w:jc w:val="right"/>
              <w:rPr>
                <w:rFonts w:ascii="Calibri" w:hAnsi="Calibri" w:cs="Calibri"/>
                <w:color w:val="FF0000"/>
                <w:sz w:val="20"/>
              </w:rPr>
            </w:pPr>
            <w:r w:rsidRPr="00532CAC">
              <w:rPr>
                <w:rFonts w:ascii="Calibri" w:hAnsi="Calibri" w:cs="Calibri"/>
                <w:color w:val="FF0000"/>
                <w:sz w:val="20"/>
              </w:rPr>
              <w:t xml:space="preserve">from 1/1879 </w:t>
            </w:r>
            <w:r w:rsidRPr="00532CAC">
              <w:rPr>
                <w:rFonts w:ascii="Calibri" w:hAnsi="Calibri" w:cs="Calibri"/>
                <w:color w:val="FF0000"/>
                <w:sz w:val="20"/>
              </w:rPr>
              <w:br/>
              <w:t>to 10/2023</w:t>
            </w:r>
          </w:p>
        </w:tc>
        <w:tc>
          <w:tcPr>
            <w:tcW w:w="1200" w:type="dxa"/>
            <w:tcBorders>
              <w:top w:val="single" w:sz="4" w:space="0" w:color="auto"/>
              <w:left w:val="nil"/>
              <w:bottom w:val="single" w:sz="4" w:space="0" w:color="auto"/>
              <w:right w:val="single" w:sz="4" w:space="0" w:color="auto"/>
            </w:tcBorders>
            <w:shd w:val="clear" w:color="auto" w:fill="auto"/>
            <w:vAlign w:val="center"/>
          </w:tcPr>
          <w:p w:rsidR="00532CAC" w:rsidRPr="00532CAC" w:rsidRDefault="00CE336C" w:rsidP="001D73AF">
            <w:pPr>
              <w:jc w:val="right"/>
              <w:rPr>
                <w:rFonts w:ascii="Calibri" w:hAnsi="Calibri" w:cs="Calibri"/>
                <w:color w:val="FF0000"/>
                <w:sz w:val="20"/>
              </w:rPr>
            </w:pPr>
            <w:r w:rsidRPr="00532CAC">
              <w:rPr>
                <w:rFonts w:ascii="Calibri" w:hAnsi="Calibri" w:cs="Calibri"/>
                <w:color w:val="FF0000"/>
                <w:sz w:val="20"/>
              </w:rPr>
              <w:t>next 50 years,</w:t>
            </w:r>
            <w:r w:rsidRPr="00532CAC">
              <w:rPr>
                <w:rFonts w:ascii="Calibri" w:hAnsi="Calibri" w:cs="Calibri"/>
                <w:color w:val="FF0000"/>
                <w:sz w:val="20"/>
              </w:rPr>
              <w:br/>
              <w:t>avg. stat. models</w:t>
            </w:r>
          </w:p>
        </w:tc>
      </w:tr>
      <w:tr w:rsidR="00532CAC" w:rsidRPr="00256BD1" w:rsidTr="00CE336C">
        <w:trPr>
          <w:trHeight w:val="1001"/>
          <w:jc w:val="center"/>
        </w:trPr>
        <w:tc>
          <w:tcPr>
            <w:tcW w:w="1100" w:type="dxa"/>
            <w:vMerge w:val="restart"/>
            <w:tcBorders>
              <w:top w:val="nil"/>
              <w:left w:val="single" w:sz="4" w:space="0" w:color="auto"/>
              <w:bottom w:val="single" w:sz="4" w:space="0" w:color="auto"/>
              <w:right w:val="single" w:sz="4" w:space="0" w:color="auto"/>
            </w:tcBorders>
            <w:shd w:val="clear" w:color="auto" w:fill="auto"/>
            <w:vAlign w:val="center"/>
            <w:hideMark/>
          </w:tcPr>
          <w:p w:rsidR="00532CAC" w:rsidRPr="00532CAC" w:rsidRDefault="00532CAC" w:rsidP="001D73AF">
            <w:pPr>
              <w:rPr>
                <w:rFonts w:ascii="Calibri" w:hAnsi="Calibri" w:cs="Calibri"/>
                <w:color w:val="FF0000"/>
                <w:sz w:val="20"/>
              </w:rPr>
            </w:pPr>
            <w:r w:rsidRPr="00532CAC">
              <w:rPr>
                <w:rFonts w:ascii="Calibri" w:hAnsi="Calibri" w:cs="Calibri"/>
                <w:color w:val="FF0000"/>
                <w:sz w:val="20"/>
              </w:rPr>
              <w:t>excluding uncertain major explosions</w:t>
            </w:r>
          </w:p>
        </w:tc>
        <w:tc>
          <w:tcPr>
            <w:tcW w:w="1380" w:type="dxa"/>
            <w:tcBorders>
              <w:top w:val="nil"/>
              <w:left w:val="nil"/>
              <w:bottom w:val="single" w:sz="4" w:space="0" w:color="auto"/>
              <w:right w:val="single" w:sz="4" w:space="0" w:color="auto"/>
            </w:tcBorders>
            <w:shd w:val="clear" w:color="auto" w:fill="auto"/>
            <w:vAlign w:val="center"/>
            <w:hideMark/>
          </w:tcPr>
          <w:p w:rsidR="00532CAC" w:rsidRPr="00532CAC" w:rsidRDefault="00532CAC" w:rsidP="001D73AF">
            <w:pPr>
              <w:rPr>
                <w:rFonts w:ascii="Calibri" w:hAnsi="Calibri" w:cs="Calibri"/>
                <w:color w:val="FF0000"/>
                <w:sz w:val="20"/>
              </w:rPr>
            </w:pPr>
            <w:r w:rsidRPr="00532CAC">
              <w:rPr>
                <w:rFonts w:ascii="Calibri" w:hAnsi="Calibri" w:cs="Calibri"/>
                <w:color w:val="FF0000"/>
                <w:sz w:val="20"/>
              </w:rPr>
              <w:t>p average ratio</w:t>
            </w:r>
          </w:p>
        </w:tc>
        <w:tc>
          <w:tcPr>
            <w:tcW w:w="1200" w:type="dxa"/>
            <w:tcBorders>
              <w:top w:val="nil"/>
              <w:left w:val="nil"/>
              <w:bottom w:val="single" w:sz="4" w:space="0" w:color="auto"/>
              <w:right w:val="single" w:sz="4" w:space="0" w:color="auto"/>
            </w:tcBorders>
            <w:shd w:val="clear" w:color="auto" w:fill="auto"/>
            <w:noWrap/>
            <w:vAlign w:val="center"/>
            <w:hideMark/>
          </w:tcPr>
          <w:p w:rsidR="00532CAC" w:rsidRPr="00532CAC" w:rsidRDefault="00532CAC" w:rsidP="001D73AF">
            <w:pPr>
              <w:jc w:val="right"/>
              <w:rPr>
                <w:rFonts w:ascii="Calibri" w:hAnsi="Calibri" w:cs="Calibri"/>
                <w:color w:val="FF0000"/>
                <w:sz w:val="20"/>
              </w:rPr>
            </w:pPr>
            <w:r w:rsidRPr="00532CAC">
              <w:rPr>
                <w:rFonts w:ascii="Calibri" w:hAnsi="Calibri" w:cs="Calibri"/>
                <w:color w:val="FF0000"/>
                <w:sz w:val="20"/>
              </w:rPr>
              <w:t>7.3%</w:t>
            </w:r>
          </w:p>
        </w:tc>
        <w:tc>
          <w:tcPr>
            <w:tcW w:w="1200" w:type="dxa"/>
            <w:tcBorders>
              <w:top w:val="nil"/>
              <w:left w:val="nil"/>
              <w:bottom w:val="single" w:sz="4" w:space="0" w:color="auto"/>
              <w:right w:val="single" w:sz="4" w:space="0" w:color="auto"/>
            </w:tcBorders>
            <w:shd w:val="clear" w:color="auto" w:fill="auto"/>
            <w:noWrap/>
            <w:vAlign w:val="center"/>
            <w:hideMark/>
          </w:tcPr>
          <w:p w:rsidR="00532CAC" w:rsidRPr="00532CAC" w:rsidRDefault="00532CAC" w:rsidP="001D73AF">
            <w:pPr>
              <w:jc w:val="right"/>
              <w:rPr>
                <w:rFonts w:ascii="Calibri" w:hAnsi="Calibri" w:cs="Calibri"/>
                <w:color w:val="FF0000"/>
                <w:sz w:val="20"/>
              </w:rPr>
            </w:pPr>
            <w:r w:rsidRPr="00532CAC">
              <w:rPr>
                <w:rFonts w:ascii="Calibri" w:hAnsi="Calibri" w:cs="Calibri"/>
                <w:color w:val="FF0000"/>
                <w:sz w:val="20"/>
              </w:rPr>
              <w:t>12%</w:t>
            </w:r>
          </w:p>
        </w:tc>
        <w:tc>
          <w:tcPr>
            <w:tcW w:w="1200" w:type="dxa"/>
            <w:tcBorders>
              <w:top w:val="nil"/>
              <w:left w:val="nil"/>
              <w:bottom w:val="single" w:sz="4" w:space="0" w:color="auto"/>
              <w:right w:val="single" w:sz="4" w:space="0" w:color="auto"/>
            </w:tcBorders>
            <w:shd w:val="clear" w:color="auto" w:fill="auto"/>
            <w:noWrap/>
            <w:vAlign w:val="center"/>
            <w:hideMark/>
          </w:tcPr>
          <w:p w:rsidR="00532CAC" w:rsidRPr="00532CAC" w:rsidRDefault="00532CAC" w:rsidP="001D73AF">
            <w:pPr>
              <w:jc w:val="right"/>
              <w:rPr>
                <w:rFonts w:ascii="Calibri" w:hAnsi="Calibri" w:cs="Calibri"/>
                <w:color w:val="FF0000"/>
                <w:sz w:val="20"/>
              </w:rPr>
            </w:pPr>
            <w:r w:rsidRPr="00532CAC">
              <w:rPr>
                <w:rFonts w:ascii="Calibri" w:hAnsi="Calibri" w:cs="Calibri"/>
                <w:color w:val="FF0000"/>
                <w:sz w:val="20"/>
              </w:rPr>
              <w:t>13%</w:t>
            </w:r>
          </w:p>
        </w:tc>
        <w:tc>
          <w:tcPr>
            <w:tcW w:w="1200" w:type="dxa"/>
            <w:tcBorders>
              <w:top w:val="nil"/>
              <w:left w:val="nil"/>
              <w:bottom w:val="single" w:sz="4" w:space="0" w:color="auto"/>
              <w:right w:val="single" w:sz="4" w:space="0" w:color="auto"/>
            </w:tcBorders>
            <w:shd w:val="clear" w:color="auto" w:fill="auto"/>
            <w:noWrap/>
            <w:vAlign w:val="center"/>
            <w:hideMark/>
          </w:tcPr>
          <w:p w:rsidR="00532CAC" w:rsidRPr="00532CAC" w:rsidRDefault="00CE336C" w:rsidP="001D73AF">
            <w:pPr>
              <w:jc w:val="right"/>
              <w:rPr>
                <w:rFonts w:ascii="Calibri" w:hAnsi="Calibri" w:cs="Calibri"/>
                <w:color w:val="FF0000"/>
                <w:sz w:val="20"/>
              </w:rPr>
            </w:pPr>
            <w:r w:rsidRPr="00532CAC">
              <w:rPr>
                <w:rFonts w:ascii="Calibri" w:hAnsi="Calibri" w:cs="Calibri"/>
                <w:color w:val="FF0000"/>
                <w:sz w:val="20"/>
              </w:rPr>
              <w:t>30%</w:t>
            </w:r>
          </w:p>
        </w:tc>
        <w:tc>
          <w:tcPr>
            <w:tcW w:w="1200" w:type="dxa"/>
            <w:tcBorders>
              <w:top w:val="nil"/>
              <w:left w:val="nil"/>
              <w:bottom w:val="single" w:sz="4" w:space="0" w:color="auto"/>
              <w:right w:val="single" w:sz="4" w:space="0" w:color="auto"/>
            </w:tcBorders>
            <w:shd w:val="clear" w:color="auto" w:fill="auto"/>
            <w:noWrap/>
            <w:vAlign w:val="center"/>
          </w:tcPr>
          <w:p w:rsidR="00532CAC" w:rsidRPr="00532CAC" w:rsidRDefault="00CE336C" w:rsidP="001D73AF">
            <w:pPr>
              <w:jc w:val="right"/>
              <w:rPr>
                <w:rFonts w:ascii="Calibri" w:hAnsi="Calibri" w:cs="Calibri"/>
                <w:color w:val="FF0000"/>
                <w:sz w:val="20"/>
              </w:rPr>
            </w:pPr>
            <w:r w:rsidRPr="00532CAC">
              <w:rPr>
                <w:rFonts w:ascii="Calibri" w:hAnsi="Calibri" w:cs="Calibri"/>
                <w:color w:val="FF0000"/>
                <w:sz w:val="20"/>
              </w:rPr>
              <w:t>21%</w:t>
            </w:r>
          </w:p>
        </w:tc>
      </w:tr>
      <w:tr w:rsidR="00532CAC" w:rsidRPr="00256BD1" w:rsidTr="00CE336C">
        <w:trPr>
          <w:trHeight w:val="1001"/>
          <w:jc w:val="center"/>
        </w:trPr>
        <w:tc>
          <w:tcPr>
            <w:tcW w:w="1100" w:type="dxa"/>
            <w:vMerge/>
            <w:tcBorders>
              <w:top w:val="nil"/>
              <w:left w:val="single" w:sz="4" w:space="0" w:color="auto"/>
              <w:bottom w:val="single" w:sz="4" w:space="0" w:color="auto"/>
              <w:right w:val="single" w:sz="4" w:space="0" w:color="auto"/>
            </w:tcBorders>
            <w:vAlign w:val="center"/>
            <w:hideMark/>
          </w:tcPr>
          <w:p w:rsidR="00532CAC" w:rsidRPr="00532CAC" w:rsidRDefault="00532CAC" w:rsidP="001D73AF">
            <w:pPr>
              <w:rPr>
                <w:rFonts w:ascii="Calibri" w:hAnsi="Calibri" w:cs="Calibri"/>
                <w:color w:val="FF0000"/>
                <w:sz w:val="20"/>
              </w:rPr>
            </w:pPr>
          </w:p>
        </w:tc>
        <w:tc>
          <w:tcPr>
            <w:tcW w:w="1380" w:type="dxa"/>
            <w:tcBorders>
              <w:top w:val="nil"/>
              <w:left w:val="nil"/>
              <w:bottom w:val="single" w:sz="4" w:space="0" w:color="auto"/>
              <w:right w:val="single" w:sz="4" w:space="0" w:color="auto"/>
            </w:tcBorders>
            <w:shd w:val="clear" w:color="auto" w:fill="auto"/>
            <w:vAlign w:val="center"/>
            <w:hideMark/>
          </w:tcPr>
          <w:p w:rsidR="00532CAC" w:rsidRPr="00532CAC" w:rsidRDefault="00532CAC" w:rsidP="001D73AF">
            <w:pPr>
              <w:rPr>
                <w:rFonts w:ascii="Calibri" w:hAnsi="Calibri" w:cs="Calibri"/>
                <w:color w:val="FF0000"/>
                <w:sz w:val="20"/>
              </w:rPr>
            </w:pPr>
            <w:r w:rsidRPr="00532CAC">
              <w:rPr>
                <w:rFonts w:ascii="Calibri" w:hAnsi="Calibri" w:cs="Calibri"/>
                <w:color w:val="FF0000"/>
                <w:sz w:val="20"/>
              </w:rPr>
              <w:t>p confidence interval 90%</w:t>
            </w:r>
          </w:p>
        </w:tc>
        <w:tc>
          <w:tcPr>
            <w:tcW w:w="1200" w:type="dxa"/>
            <w:tcBorders>
              <w:top w:val="nil"/>
              <w:left w:val="nil"/>
              <w:bottom w:val="single" w:sz="4" w:space="0" w:color="auto"/>
              <w:right w:val="single" w:sz="4" w:space="0" w:color="auto"/>
            </w:tcBorders>
            <w:shd w:val="clear" w:color="auto" w:fill="auto"/>
            <w:noWrap/>
            <w:vAlign w:val="center"/>
            <w:hideMark/>
          </w:tcPr>
          <w:p w:rsidR="00532CAC" w:rsidRPr="00532CAC" w:rsidRDefault="00532CAC" w:rsidP="001D73AF">
            <w:pPr>
              <w:jc w:val="right"/>
              <w:rPr>
                <w:rFonts w:ascii="Calibri" w:hAnsi="Calibri" w:cs="Calibri"/>
                <w:color w:val="FF0000"/>
                <w:sz w:val="20"/>
              </w:rPr>
            </w:pPr>
            <w:r w:rsidRPr="00532CAC">
              <w:rPr>
                <w:rFonts w:ascii="Calibri" w:hAnsi="Calibri" w:cs="Calibri"/>
                <w:color w:val="FF0000"/>
                <w:sz w:val="20"/>
              </w:rPr>
              <w:t>2.5% - 16%</w:t>
            </w:r>
          </w:p>
        </w:tc>
        <w:tc>
          <w:tcPr>
            <w:tcW w:w="1200" w:type="dxa"/>
            <w:tcBorders>
              <w:top w:val="nil"/>
              <w:left w:val="nil"/>
              <w:bottom w:val="single" w:sz="4" w:space="0" w:color="auto"/>
              <w:right w:val="single" w:sz="4" w:space="0" w:color="auto"/>
            </w:tcBorders>
            <w:shd w:val="clear" w:color="auto" w:fill="auto"/>
            <w:noWrap/>
            <w:vAlign w:val="center"/>
            <w:hideMark/>
          </w:tcPr>
          <w:p w:rsidR="00532CAC" w:rsidRPr="00532CAC" w:rsidRDefault="00532CAC" w:rsidP="001D73AF">
            <w:pPr>
              <w:jc w:val="right"/>
              <w:rPr>
                <w:rFonts w:ascii="Calibri" w:hAnsi="Calibri" w:cs="Calibri"/>
                <w:color w:val="FF0000"/>
                <w:sz w:val="20"/>
              </w:rPr>
            </w:pPr>
            <w:r w:rsidRPr="00532CAC">
              <w:rPr>
                <w:rFonts w:ascii="Calibri" w:hAnsi="Calibri" w:cs="Calibri"/>
                <w:color w:val="FF0000"/>
                <w:sz w:val="20"/>
              </w:rPr>
              <w:t>4.2% - 26%</w:t>
            </w:r>
          </w:p>
        </w:tc>
        <w:tc>
          <w:tcPr>
            <w:tcW w:w="1200" w:type="dxa"/>
            <w:tcBorders>
              <w:top w:val="nil"/>
              <w:left w:val="nil"/>
              <w:bottom w:val="single" w:sz="4" w:space="0" w:color="auto"/>
              <w:right w:val="single" w:sz="4" w:space="0" w:color="auto"/>
            </w:tcBorders>
            <w:shd w:val="clear" w:color="auto" w:fill="auto"/>
            <w:noWrap/>
            <w:vAlign w:val="center"/>
            <w:hideMark/>
          </w:tcPr>
          <w:p w:rsidR="00532CAC" w:rsidRPr="00532CAC" w:rsidRDefault="00532CAC" w:rsidP="001D73AF">
            <w:pPr>
              <w:jc w:val="right"/>
              <w:rPr>
                <w:rFonts w:ascii="Calibri" w:hAnsi="Calibri" w:cs="Calibri"/>
                <w:color w:val="FF0000"/>
                <w:sz w:val="20"/>
              </w:rPr>
            </w:pPr>
            <w:r w:rsidRPr="00532CAC">
              <w:rPr>
                <w:rFonts w:ascii="Calibri" w:hAnsi="Calibri" w:cs="Calibri"/>
                <w:color w:val="FF0000"/>
                <w:sz w:val="20"/>
              </w:rPr>
              <w:t>5.3% - 26%</w:t>
            </w:r>
          </w:p>
        </w:tc>
        <w:tc>
          <w:tcPr>
            <w:tcW w:w="1200" w:type="dxa"/>
            <w:tcBorders>
              <w:top w:val="nil"/>
              <w:left w:val="nil"/>
              <w:bottom w:val="single" w:sz="4" w:space="0" w:color="auto"/>
              <w:right w:val="single" w:sz="4" w:space="0" w:color="auto"/>
            </w:tcBorders>
            <w:shd w:val="clear" w:color="auto" w:fill="auto"/>
            <w:noWrap/>
            <w:vAlign w:val="center"/>
            <w:hideMark/>
          </w:tcPr>
          <w:p w:rsidR="00532CAC" w:rsidRPr="00532CAC" w:rsidRDefault="00CE336C" w:rsidP="001D73AF">
            <w:pPr>
              <w:jc w:val="right"/>
              <w:rPr>
                <w:rFonts w:ascii="Calibri" w:hAnsi="Calibri" w:cs="Calibri"/>
                <w:color w:val="FF0000"/>
                <w:sz w:val="20"/>
              </w:rPr>
            </w:pPr>
            <w:r w:rsidRPr="00532CAC">
              <w:rPr>
                <w:rFonts w:ascii="Calibri" w:hAnsi="Calibri" w:cs="Calibri"/>
                <w:color w:val="FF0000"/>
                <w:sz w:val="20"/>
              </w:rPr>
              <w:t>24% - 38%</w:t>
            </w:r>
          </w:p>
        </w:tc>
        <w:tc>
          <w:tcPr>
            <w:tcW w:w="1200" w:type="dxa"/>
            <w:tcBorders>
              <w:top w:val="nil"/>
              <w:left w:val="nil"/>
              <w:bottom w:val="single" w:sz="4" w:space="0" w:color="auto"/>
              <w:right w:val="single" w:sz="4" w:space="0" w:color="auto"/>
            </w:tcBorders>
            <w:shd w:val="clear" w:color="auto" w:fill="auto"/>
            <w:noWrap/>
            <w:vAlign w:val="center"/>
          </w:tcPr>
          <w:p w:rsidR="00532CAC" w:rsidRPr="00532CAC" w:rsidRDefault="00CE336C" w:rsidP="001D73AF">
            <w:pPr>
              <w:jc w:val="right"/>
              <w:rPr>
                <w:rFonts w:ascii="Calibri" w:hAnsi="Calibri" w:cs="Calibri"/>
                <w:color w:val="FF0000"/>
                <w:sz w:val="20"/>
              </w:rPr>
            </w:pPr>
            <w:r w:rsidRPr="00532CAC">
              <w:rPr>
                <w:rFonts w:ascii="Calibri" w:hAnsi="Calibri" w:cs="Calibri"/>
                <w:color w:val="FF0000"/>
                <w:sz w:val="20"/>
              </w:rPr>
              <w:t>13% - 29%</w:t>
            </w:r>
          </w:p>
        </w:tc>
      </w:tr>
      <w:tr w:rsidR="00532CAC" w:rsidRPr="00256BD1" w:rsidTr="00CE336C">
        <w:trPr>
          <w:trHeight w:val="1001"/>
          <w:jc w:val="center"/>
        </w:trPr>
        <w:tc>
          <w:tcPr>
            <w:tcW w:w="1100" w:type="dxa"/>
            <w:vMerge w:val="restart"/>
            <w:tcBorders>
              <w:top w:val="nil"/>
              <w:left w:val="single" w:sz="4" w:space="0" w:color="auto"/>
              <w:bottom w:val="single" w:sz="4" w:space="0" w:color="auto"/>
              <w:right w:val="single" w:sz="4" w:space="0" w:color="auto"/>
            </w:tcBorders>
            <w:shd w:val="clear" w:color="auto" w:fill="auto"/>
            <w:vAlign w:val="center"/>
            <w:hideMark/>
          </w:tcPr>
          <w:p w:rsidR="00532CAC" w:rsidRPr="00532CAC" w:rsidRDefault="00532CAC" w:rsidP="001D73AF">
            <w:pPr>
              <w:rPr>
                <w:rFonts w:ascii="Calibri" w:hAnsi="Calibri" w:cs="Calibri"/>
                <w:color w:val="FF0000"/>
                <w:sz w:val="20"/>
              </w:rPr>
            </w:pPr>
            <w:r w:rsidRPr="00532CAC">
              <w:rPr>
                <w:rFonts w:ascii="Calibri" w:hAnsi="Calibri" w:cs="Calibri"/>
                <w:color w:val="FF0000"/>
                <w:sz w:val="20"/>
              </w:rPr>
              <w:t>including uncertain major explosions</w:t>
            </w:r>
          </w:p>
        </w:tc>
        <w:tc>
          <w:tcPr>
            <w:tcW w:w="1380" w:type="dxa"/>
            <w:tcBorders>
              <w:top w:val="nil"/>
              <w:left w:val="nil"/>
              <w:bottom w:val="single" w:sz="4" w:space="0" w:color="auto"/>
              <w:right w:val="single" w:sz="4" w:space="0" w:color="auto"/>
            </w:tcBorders>
            <w:shd w:val="clear" w:color="auto" w:fill="auto"/>
            <w:vAlign w:val="center"/>
            <w:hideMark/>
          </w:tcPr>
          <w:p w:rsidR="00532CAC" w:rsidRPr="00532CAC" w:rsidRDefault="00532CAC" w:rsidP="001D73AF">
            <w:pPr>
              <w:rPr>
                <w:rFonts w:ascii="Calibri" w:hAnsi="Calibri" w:cs="Calibri"/>
                <w:color w:val="FF0000"/>
                <w:sz w:val="20"/>
              </w:rPr>
            </w:pPr>
            <w:r w:rsidRPr="00532CAC">
              <w:rPr>
                <w:rFonts w:ascii="Calibri" w:hAnsi="Calibri" w:cs="Calibri"/>
                <w:color w:val="FF0000"/>
                <w:sz w:val="20"/>
              </w:rPr>
              <w:t>p average ratio</w:t>
            </w:r>
          </w:p>
        </w:tc>
        <w:tc>
          <w:tcPr>
            <w:tcW w:w="1200" w:type="dxa"/>
            <w:tcBorders>
              <w:top w:val="nil"/>
              <w:left w:val="nil"/>
              <w:bottom w:val="single" w:sz="4" w:space="0" w:color="auto"/>
              <w:right w:val="single" w:sz="4" w:space="0" w:color="auto"/>
            </w:tcBorders>
            <w:shd w:val="clear" w:color="auto" w:fill="auto"/>
            <w:noWrap/>
            <w:vAlign w:val="center"/>
            <w:hideMark/>
          </w:tcPr>
          <w:p w:rsidR="00532CAC" w:rsidRPr="00532CAC" w:rsidRDefault="00532CAC" w:rsidP="001D73AF">
            <w:pPr>
              <w:jc w:val="right"/>
              <w:rPr>
                <w:rFonts w:ascii="Calibri" w:hAnsi="Calibri" w:cs="Calibri"/>
                <w:color w:val="FF0000"/>
                <w:sz w:val="20"/>
              </w:rPr>
            </w:pPr>
            <w:r w:rsidRPr="00532CAC">
              <w:rPr>
                <w:rFonts w:ascii="Calibri" w:hAnsi="Calibri" w:cs="Calibri"/>
                <w:color w:val="FF0000"/>
                <w:sz w:val="20"/>
              </w:rPr>
              <w:t>4.5%</w:t>
            </w:r>
          </w:p>
        </w:tc>
        <w:tc>
          <w:tcPr>
            <w:tcW w:w="1200" w:type="dxa"/>
            <w:tcBorders>
              <w:top w:val="nil"/>
              <w:left w:val="nil"/>
              <w:bottom w:val="single" w:sz="4" w:space="0" w:color="auto"/>
              <w:right w:val="single" w:sz="4" w:space="0" w:color="auto"/>
            </w:tcBorders>
            <w:shd w:val="clear" w:color="auto" w:fill="auto"/>
            <w:noWrap/>
            <w:vAlign w:val="center"/>
            <w:hideMark/>
          </w:tcPr>
          <w:p w:rsidR="00532CAC" w:rsidRPr="00532CAC" w:rsidRDefault="00532CAC" w:rsidP="001D73AF">
            <w:pPr>
              <w:jc w:val="right"/>
              <w:rPr>
                <w:rFonts w:ascii="Calibri" w:hAnsi="Calibri" w:cs="Calibri"/>
                <w:color w:val="FF0000"/>
                <w:sz w:val="20"/>
              </w:rPr>
            </w:pPr>
            <w:r w:rsidRPr="00532CAC">
              <w:rPr>
                <w:rFonts w:ascii="Calibri" w:hAnsi="Calibri" w:cs="Calibri"/>
                <w:color w:val="FF0000"/>
                <w:sz w:val="20"/>
              </w:rPr>
              <w:t>8.3%</w:t>
            </w:r>
          </w:p>
        </w:tc>
        <w:tc>
          <w:tcPr>
            <w:tcW w:w="1200" w:type="dxa"/>
            <w:tcBorders>
              <w:top w:val="nil"/>
              <w:left w:val="nil"/>
              <w:bottom w:val="single" w:sz="4" w:space="0" w:color="auto"/>
              <w:right w:val="single" w:sz="4" w:space="0" w:color="auto"/>
            </w:tcBorders>
            <w:shd w:val="clear" w:color="auto" w:fill="auto"/>
            <w:noWrap/>
            <w:vAlign w:val="center"/>
            <w:hideMark/>
          </w:tcPr>
          <w:p w:rsidR="00532CAC" w:rsidRPr="00532CAC" w:rsidRDefault="00532CAC" w:rsidP="001D73AF">
            <w:pPr>
              <w:jc w:val="right"/>
              <w:rPr>
                <w:rFonts w:ascii="Calibri" w:hAnsi="Calibri" w:cs="Calibri"/>
                <w:color w:val="FF0000"/>
                <w:sz w:val="20"/>
              </w:rPr>
            </w:pPr>
            <w:r w:rsidRPr="00532CAC">
              <w:rPr>
                <w:rFonts w:ascii="Calibri" w:hAnsi="Calibri" w:cs="Calibri"/>
                <w:color w:val="FF0000"/>
                <w:sz w:val="20"/>
              </w:rPr>
              <w:t>8.8%</w:t>
            </w:r>
          </w:p>
        </w:tc>
        <w:tc>
          <w:tcPr>
            <w:tcW w:w="1200" w:type="dxa"/>
            <w:tcBorders>
              <w:top w:val="nil"/>
              <w:left w:val="nil"/>
              <w:bottom w:val="single" w:sz="4" w:space="0" w:color="auto"/>
              <w:right w:val="single" w:sz="4" w:space="0" w:color="auto"/>
            </w:tcBorders>
            <w:shd w:val="clear" w:color="auto" w:fill="auto"/>
            <w:noWrap/>
            <w:vAlign w:val="center"/>
            <w:hideMark/>
          </w:tcPr>
          <w:p w:rsidR="00532CAC" w:rsidRPr="00532CAC" w:rsidRDefault="00CE336C" w:rsidP="001D73AF">
            <w:pPr>
              <w:jc w:val="right"/>
              <w:rPr>
                <w:rFonts w:ascii="Calibri" w:hAnsi="Calibri" w:cs="Calibri"/>
                <w:color w:val="FF0000"/>
                <w:sz w:val="20"/>
              </w:rPr>
            </w:pPr>
            <w:r w:rsidRPr="00532CAC">
              <w:rPr>
                <w:rFonts w:ascii="Calibri" w:hAnsi="Calibri" w:cs="Calibri"/>
                <w:color w:val="FF0000"/>
                <w:sz w:val="20"/>
              </w:rPr>
              <w:t>19%</w:t>
            </w:r>
          </w:p>
        </w:tc>
        <w:tc>
          <w:tcPr>
            <w:tcW w:w="1200" w:type="dxa"/>
            <w:tcBorders>
              <w:top w:val="nil"/>
              <w:left w:val="nil"/>
              <w:bottom w:val="single" w:sz="4" w:space="0" w:color="auto"/>
              <w:right w:val="single" w:sz="4" w:space="0" w:color="auto"/>
            </w:tcBorders>
            <w:shd w:val="clear" w:color="auto" w:fill="auto"/>
            <w:noWrap/>
            <w:vAlign w:val="center"/>
          </w:tcPr>
          <w:p w:rsidR="00532CAC" w:rsidRPr="00532CAC" w:rsidRDefault="00CE336C" w:rsidP="001D73AF">
            <w:pPr>
              <w:jc w:val="right"/>
              <w:rPr>
                <w:rFonts w:ascii="Calibri" w:hAnsi="Calibri" w:cs="Calibri"/>
                <w:color w:val="FF0000"/>
                <w:sz w:val="20"/>
              </w:rPr>
            </w:pPr>
            <w:r w:rsidRPr="00532CAC">
              <w:rPr>
                <w:rFonts w:ascii="Calibri" w:hAnsi="Calibri" w:cs="Calibri"/>
                <w:color w:val="FF0000"/>
                <w:sz w:val="20"/>
              </w:rPr>
              <w:t>14%</w:t>
            </w:r>
          </w:p>
        </w:tc>
      </w:tr>
      <w:tr w:rsidR="00532CAC" w:rsidRPr="00256BD1" w:rsidTr="00CE336C">
        <w:trPr>
          <w:trHeight w:val="1001"/>
          <w:jc w:val="center"/>
        </w:trPr>
        <w:tc>
          <w:tcPr>
            <w:tcW w:w="1100" w:type="dxa"/>
            <w:vMerge/>
            <w:tcBorders>
              <w:top w:val="nil"/>
              <w:left w:val="single" w:sz="4" w:space="0" w:color="auto"/>
              <w:bottom w:val="single" w:sz="4" w:space="0" w:color="auto"/>
              <w:right w:val="single" w:sz="4" w:space="0" w:color="auto"/>
            </w:tcBorders>
            <w:vAlign w:val="center"/>
            <w:hideMark/>
          </w:tcPr>
          <w:p w:rsidR="00532CAC" w:rsidRPr="00532CAC" w:rsidRDefault="00532CAC" w:rsidP="001D73AF">
            <w:pPr>
              <w:rPr>
                <w:rFonts w:ascii="Calibri" w:hAnsi="Calibri" w:cs="Calibri"/>
                <w:color w:val="FF0000"/>
                <w:sz w:val="20"/>
              </w:rPr>
            </w:pPr>
          </w:p>
        </w:tc>
        <w:tc>
          <w:tcPr>
            <w:tcW w:w="1380" w:type="dxa"/>
            <w:tcBorders>
              <w:top w:val="nil"/>
              <w:left w:val="nil"/>
              <w:bottom w:val="single" w:sz="4" w:space="0" w:color="auto"/>
              <w:right w:val="single" w:sz="4" w:space="0" w:color="auto"/>
            </w:tcBorders>
            <w:shd w:val="clear" w:color="auto" w:fill="auto"/>
            <w:vAlign w:val="center"/>
            <w:hideMark/>
          </w:tcPr>
          <w:p w:rsidR="00532CAC" w:rsidRPr="00532CAC" w:rsidRDefault="00532CAC" w:rsidP="001D73AF">
            <w:pPr>
              <w:rPr>
                <w:rFonts w:ascii="Calibri" w:hAnsi="Calibri" w:cs="Calibri"/>
                <w:color w:val="FF0000"/>
                <w:sz w:val="20"/>
              </w:rPr>
            </w:pPr>
            <w:r w:rsidRPr="00532CAC">
              <w:rPr>
                <w:rFonts w:ascii="Calibri" w:hAnsi="Calibri" w:cs="Calibri"/>
                <w:color w:val="FF0000"/>
                <w:sz w:val="20"/>
              </w:rPr>
              <w:t>p confidence interval 90%</w:t>
            </w:r>
          </w:p>
        </w:tc>
        <w:tc>
          <w:tcPr>
            <w:tcW w:w="1200" w:type="dxa"/>
            <w:tcBorders>
              <w:top w:val="nil"/>
              <w:left w:val="nil"/>
              <w:bottom w:val="single" w:sz="4" w:space="0" w:color="auto"/>
              <w:right w:val="single" w:sz="4" w:space="0" w:color="auto"/>
            </w:tcBorders>
            <w:shd w:val="clear" w:color="auto" w:fill="auto"/>
            <w:noWrap/>
            <w:vAlign w:val="center"/>
            <w:hideMark/>
          </w:tcPr>
          <w:p w:rsidR="00532CAC" w:rsidRPr="00532CAC" w:rsidRDefault="00532CAC" w:rsidP="001D73AF">
            <w:pPr>
              <w:jc w:val="right"/>
              <w:rPr>
                <w:rFonts w:ascii="Calibri" w:hAnsi="Calibri" w:cs="Calibri"/>
                <w:color w:val="FF0000"/>
                <w:sz w:val="20"/>
              </w:rPr>
            </w:pPr>
            <w:r w:rsidRPr="00532CAC">
              <w:rPr>
                <w:rFonts w:ascii="Calibri" w:hAnsi="Calibri" w:cs="Calibri"/>
                <w:color w:val="FF0000"/>
                <w:sz w:val="20"/>
              </w:rPr>
              <w:t>1.5% - 10%</w:t>
            </w:r>
          </w:p>
        </w:tc>
        <w:tc>
          <w:tcPr>
            <w:tcW w:w="1200" w:type="dxa"/>
            <w:tcBorders>
              <w:top w:val="nil"/>
              <w:left w:val="nil"/>
              <w:bottom w:val="single" w:sz="4" w:space="0" w:color="auto"/>
              <w:right w:val="single" w:sz="4" w:space="0" w:color="auto"/>
            </w:tcBorders>
            <w:shd w:val="clear" w:color="auto" w:fill="auto"/>
            <w:noWrap/>
            <w:vAlign w:val="center"/>
            <w:hideMark/>
          </w:tcPr>
          <w:p w:rsidR="00532CAC" w:rsidRPr="00532CAC" w:rsidRDefault="00532CAC" w:rsidP="001D73AF">
            <w:pPr>
              <w:jc w:val="right"/>
              <w:rPr>
                <w:rFonts w:ascii="Calibri" w:hAnsi="Calibri" w:cs="Calibri"/>
                <w:color w:val="FF0000"/>
                <w:sz w:val="20"/>
              </w:rPr>
            </w:pPr>
            <w:r w:rsidRPr="00532CAC">
              <w:rPr>
                <w:rFonts w:ascii="Calibri" w:hAnsi="Calibri" w:cs="Calibri"/>
                <w:color w:val="FF0000"/>
                <w:sz w:val="20"/>
              </w:rPr>
              <w:t>2.9% - 18%</w:t>
            </w:r>
          </w:p>
        </w:tc>
        <w:tc>
          <w:tcPr>
            <w:tcW w:w="1200" w:type="dxa"/>
            <w:tcBorders>
              <w:top w:val="nil"/>
              <w:left w:val="nil"/>
              <w:bottom w:val="single" w:sz="4" w:space="0" w:color="auto"/>
              <w:right w:val="single" w:sz="4" w:space="0" w:color="auto"/>
            </w:tcBorders>
            <w:shd w:val="clear" w:color="auto" w:fill="auto"/>
            <w:noWrap/>
            <w:vAlign w:val="center"/>
            <w:hideMark/>
          </w:tcPr>
          <w:p w:rsidR="00532CAC" w:rsidRPr="00532CAC" w:rsidRDefault="00532CAC" w:rsidP="001D73AF">
            <w:pPr>
              <w:jc w:val="right"/>
              <w:rPr>
                <w:rFonts w:ascii="Calibri" w:hAnsi="Calibri" w:cs="Calibri"/>
                <w:color w:val="FF0000"/>
                <w:sz w:val="20"/>
              </w:rPr>
            </w:pPr>
            <w:r w:rsidRPr="00532CAC">
              <w:rPr>
                <w:rFonts w:ascii="Calibri" w:hAnsi="Calibri" w:cs="Calibri"/>
                <w:color w:val="FF0000"/>
                <w:sz w:val="20"/>
              </w:rPr>
              <w:t>3.5% - 18%</w:t>
            </w:r>
          </w:p>
        </w:tc>
        <w:tc>
          <w:tcPr>
            <w:tcW w:w="1200" w:type="dxa"/>
            <w:tcBorders>
              <w:top w:val="nil"/>
              <w:left w:val="nil"/>
              <w:bottom w:val="single" w:sz="4" w:space="0" w:color="auto"/>
              <w:right w:val="single" w:sz="4" w:space="0" w:color="auto"/>
            </w:tcBorders>
            <w:shd w:val="clear" w:color="auto" w:fill="auto"/>
            <w:noWrap/>
            <w:vAlign w:val="center"/>
            <w:hideMark/>
          </w:tcPr>
          <w:p w:rsidR="00532CAC" w:rsidRPr="00532CAC" w:rsidRDefault="00CE336C" w:rsidP="001D73AF">
            <w:pPr>
              <w:jc w:val="right"/>
              <w:rPr>
                <w:rFonts w:ascii="Calibri" w:hAnsi="Calibri" w:cs="Calibri"/>
                <w:color w:val="FF0000"/>
                <w:sz w:val="20"/>
              </w:rPr>
            </w:pPr>
            <w:r w:rsidRPr="00532CAC">
              <w:rPr>
                <w:rFonts w:ascii="Calibri" w:hAnsi="Calibri" w:cs="Calibri"/>
                <w:color w:val="FF0000"/>
                <w:sz w:val="20"/>
              </w:rPr>
              <w:t>14% - 24%</w:t>
            </w:r>
          </w:p>
        </w:tc>
        <w:tc>
          <w:tcPr>
            <w:tcW w:w="1200" w:type="dxa"/>
            <w:tcBorders>
              <w:top w:val="nil"/>
              <w:left w:val="nil"/>
              <w:bottom w:val="single" w:sz="4" w:space="0" w:color="auto"/>
              <w:right w:val="single" w:sz="4" w:space="0" w:color="auto"/>
            </w:tcBorders>
            <w:shd w:val="clear" w:color="auto" w:fill="auto"/>
            <w:noWrap/>
            <w:vAlign w:val="center"/>
          </w:tcPr>
          <w:p w:rsidR="00532CAC" w:rsidRPr="00532CAC" w:rsidRDefault="00CE336C" w:rsidP="001D73AF">
            <w:pPr>
              <w:jc w:val="right"/>
              <w:rPr>
                <w:rFonts w:ascii="Calibri" w:hAnsi="Calibri" w:cs="Calibri"/>
                <w:color w:val="FF0000"/>
                <w:sz w:val="20"/>
              </w:rPr>
            </w:pPr>
            <w:r w:rsidRPr="00532CAC">
              <w:rPr>
                <w:rFonts w:ascii="Calibri" w:hAnsi="Calibri" w:cs="Calibri"/>
                <w:color w:val="FF0000"/>
                <w:sz w:val="20"/>
              </w:rPr>
              <w:t>8.8% - 20%</w:t>
            </w:r>
          </w:p>
        </w:tc>
      </w:tr>
    </w:tbl>
    <w:p w:rsidR="00532CAC" w:rsidRDefault="00532CAC" w:rsidP="00532CAC">
      <w:pPr>
        <w:pStyle w:val="SMcaption"/>
        <w:jc w:val="both"/>
        <w:rPr>
          <w:rFonts w:ascii="Myriad Pro" w:hAnsi="Myriad Pro"/>
          <w:sz w:val="22"/>
          <w:szCs w:val="22"/>
        </w:rPr>
      </w:pPr>
    </w:p>
    <w:p w:rsidR="0055585E" w:rsidRDefault="0055585E">
      <w:pPr>
        <w:rPr>
          <w:color w:val="FF0000"/>
        </w:rPr>
      </w:pPr>
      <w:r>
        <w:rPr>
          <w:color w:val="FF0000"/>
        </w:rPr>
        <w:br w:type="page"/>
      </w:r>
    </w:p>
    <w:p w:rsidR="00617402" w:rsidRDefault="00033361" w:rsidP="00617402">
      <w:pPr>
        <w:jc w:val="both"/>
        <w:rPr>
          <w:color w:val="FF0000"/>
        </w:rPr>
      </w:pPr>
      <w:r>
        <w:rPr>
          <w:color w:val="FF0000"/>
        </w:rPr>
        <w:lastRenderedPageBreak/>
        <w:t xml:space="preserve">For the sake of clarity, we </w:t>
      </w:r>
      <w:r w:rsidR="00386818">
        <w:rPr>
          <w:color w:val="FF0000"/>
        </w:rPr>
        <w:t xml:space="preserve">finally </w:t>
      </w:r>
      <w:r w:rsidR="003072B7">
        <w:rPr>
          <w:color w:val="FF0000"/>
        </w:rPr>
        <w:t xml:space="preserve">exemplify </w:t>
      </w:r>
      <w:r>
        <w:rPr>
          <w:color w:val="FF0000"/>
        </w:rPr>
        <w:t>the</w:t>
      </w:r>
      <w:r w:rsidR="00617402">
        <w:rPr>
          <w:color w:val="FF0000"/>
        </w:rPr>
        <w:t xml:space="preserve"> negligible update of the probability maps</w:t>
      </w:r>
      <w:r>
        <w:rPr>
          <w:color w:val="FF0000"/>
        </w:rPr>
        <w:t xml:space="preserve"> i</w:t>
      </w:r>
      <w:r w:rsidR="00617402">
        <w:rPr>
          <w:color w:val="FF0000"/>
        </w:rPr>
        <w:t>n the following Figure</w:t>
      </w:r>
      <w:r>
        <w:rPr>
          <w:color w:val="FF0000"/>
        </w:rPr>
        <w:t>, which</w:t>
      </w:r>
      <w:r w:rsidR="003072B7">
        <w:rPr>
          <w:color w:val="FF0000"/>
        </w:rPr>
        <w:t xml:space="preserve"> compares the updated results to June 2026 to those in Fig. 10 of the manuscript</w:t>
      </w:r>
      <w:r w:rsidR="00617402">
        <w:rPr>
          <w:color w:val="FF0000"/>
        </w:rPr>
        <w:t>.</w:t>
      </w:r>
      <w:r w:rsidR="003072B7" w:rsidRPr="003072B7">
        <w:rPr>
          <w:color w:val="FF0000"/>
        </w:rPr>
        <w:t xml:space="preserve"> </w:t>
      </w:r>
      <w:r w:rsidR="003072B7">
        <w:rPr>
          <w:color w:val="FF0000"/>
        </w:rPr>
        <w:t>Please note that the figure is not included in the revised manuscript, but only in this response report.</w:t>
      </w:r>
    </w:p>
    <w:p w:rsidR="00617402" w:rsidRDefault="00617402" w:rsidP="003072B7">
      <w:pPr>
        <w:spacing w:after="0"/>
        <w:jc w:val="center"/>
        <w:rPr>
          <w:color w:val="FF0000"/>
        </w:rPr>
      </w:pPr>
      <w:r>
        <w:rPr>
          <w:noProof/>
          <w:color w:val="FF0000"/>
        </w:rPr>
        <w:drawing>
          <wp:inline distT="0" distB="0" distL="0" distR="0">
            <wp:extent cx="5931108" cy="52074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Fig.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30198" cy="5206664"/>
                    </a:xfrm>
                    <a:prstGeom prst="rect">
                      <a:avLst/>
                    </a:prstGeom>
                  </pic:spPr>
                </pic:pic>
              </a:graphicData>
            </a:graphic>
          </wp:inline>
        </w:drawing>
      </w:r>
    </w:p>
    <w:p w:rsidR="00617402" w:rsidRDefault="00617402" w:rsidP="00617402">
      <w:pPr>
        <w:jc w:val="both"/>
        <w:rPr>
          <w:color w:val="FF0000"/>
        </w:rPr>
      </w:pPr>
      <w:r w:rsidRPr="00617402">
        <w:rPr>
          <w:b/>
          <w:color w:val="FF0000"/>
        </w:rPr>
        <w:t>Figure</w:t>
      </w:r>
      <w:r w:rsidR="00D45F5C">
        <w:rPr>
          <w:b/>
          <w:color w:val="FF0000"/>
        </w:rPr>
        <w:t xml:space="preserve"> Example</w:t>
      </w:r>
      <w:r w:rsidRPr="00617402">
        <w:rPr>
          <w:b/>
          <w:color w:val="FF0000"/>
        </w:rPr>
        <w:t xml:space="preserve">. </w:t>
      </w:r>
      <w:r w:rsidRPr="003072B7">
        <w:rPr>
          <w:color w:val="FF0000"/>
        </w:rPr>
        <w:t xml:space="preserve">Probability curves of ballistic hazard from major explosions and paroxysms, considered as a single category, as a function of direction from the center of the Crater Terrace, at six selected elevations </w:t>
      </w:r>
      <w:proofErr w:type="spellStart"/>
      <w:r w:rsidRPr="003072B7">
        <w:rPr>
          <w:color w:val="FF0000"/>
        </w:rPr>
        <w:t>a.s.l</w:t>
      </w:r>
      <w:proofErr w:type="spellEnd"/>
      <w:proofErr w:type="gramStart"/>
      <w:r w:rsidRPr="003072B7">
        <w:rPr>
          <w:color w:val="FF0000"/>
        </w:rPr>
        <w:t>..</w:t>
      </w:r>
      <w:proofErr w:type="gramEnd"/>
      <w:r w:rsidRPr="003072B7">
        <w:rPr>
          <w:color w:val="FF0000"/>
        </w:rPr>
        <w:t xml:space="preserve"> All curves refer to the Maximum Model values between Models 1, 2, and 3. The </w:t>
      </w:r>
      <w:r w:rsidR="00D245B2">
        <w:rPr>
          <w:color w:val="FF0000"/>
        </w:rPr>
        <w:t>blue curve is related to p=12% and</w:t>
      </w:r>
      <w:r w:rsidRPr="003072B7">
        <w:rPr>
          <w:color w:val="FF0000"/>
        </w:rPr>
        <w:t xml:space="preserve"> the black curve to p=13%. In panel (a), the directions of the two inhabited areas of Stromboli and </w:t>
      </w:r>
      <w:proofErr w:type="spellStart"/>
      <w:r w:rsidRPr="003072B7">
        <w:rPr>
          <w:color w:val="FF0000"/>
        </w:rPr>
        <w:t>Ginostra</w:t>
      </w:r>
      <w:proofErr w:type="spellEnd"/>
      <w:r w:rsidRPr="003072B7">
        <w:rPr>
          <w:color w:val="FF0000"/>
        </w:rPr>
        <w:t xml:space="preserve"> villages are highlighted in pink</w:t>
      </w:r>
      <w:r w:rsidR="00271A50" w:rsidRPr="003072B7">
        <w:rPr>
          <w:color w:val="FF0000"/>
        </w:rPr>
        <w:t>.</w:t>
      </w:r>
      <w:r w:rsidR="003072B7">
        <w:rPr>
          <w:color w:val="FF0000"/>
        </w:rPr>
        <w:t xml:space="preserve"> </w:t>
      </w:r>
    </w:p>
    <w:p w:rsidR="0055585E" w:rsidRPr="00362D2D" w:rsidRDefault="00362D2D">
      <w:pPr>
        <w:rPr>
          <w:bCs/>
        </w:rPr>
      </w:pPr>
      <w:r w:rsidRPr="00362D2D">
        <w:rPr>
          <w:bCs/>
          <w:color w:val="FF0000"/>
        </w:rPr>
        <w:t xml:space="preserve">In conclusion, the rate of 12% is still fully representative of the current style of activity. </w:t>
      </w:r>
      <w:r w:rsidR="0055585E" w:rsidRPr="00362D2D">
        <w:rPr>
          <w:bCs/>
        </w:rPr>
        <w:br w:type="page"/>
      </w:r>
    </w:p>
    <w:p w:rsidR="00213540" w:rsidRDefault="00695890" w:rsidP="00A74D83">
      <w:pPr>
        <w:jc w:val="both"/>
      </w:pPr>
      <w:r w:rsidRPr="00C6455B">
        <w:rPr>
          <w:b/>
          <w:bCs/>
        </w:rPr>
        <w:lastRenderedPageBreak/>
        <w:t>e</w:t>
      </w:r>
      <w:r w:rsidRPr="00C6455B">
        <w:t xml:space="preserve">) Although the Authors acknowledged that this represents a potential uncertainty factor, addressed through statistics, they chose a single spatial reference point, i.e. the approximate center of the "Crater Terrace" (at about 750 m </w:t>
      </w:r>
      <w:proofErr w:type="spellStart"/>
      <w:r w:rsidRPr="00C6455B">
        <w:t>a.s.l</w:t>
      </w:r>
      <w:proofErr w:type="spellEnd"/>
      <w:r w:rsidRPr="00C6455B">
        <w:t xml:space="preserve">.), as "origin". From here, all distances and fallout directions are measured, despite being clear that there are two dominant craters in the Stromboli eruptions: the NE and the SW. In my opinion, this approximation weakens the robustness of the hazard maps, although necessary. Furthermore, there </w:t>
      </w:r>
      <w:proofErr w:type="gramStart"/>
      <w:r w:rsidRPr="00C6455B">
        <w:t>are</w:t>
      </w:r>
      <w:proofErr w:type="gramEnd"/>
      <w:r w:rsidRPr="00C6455B">
        <w:t xml:space="preserve"> the morphology of Stromboli's two or three craters changing with time along with the geometry of the vents in the final 1-2 km. These two variables further influence volcanic hazard (and risk) because they strongly affect the structure of explosive jets and the direction of dispersion of ballistic projectiles. The problem is mitigated (in the paper) by the choice of the 3 Models and by the final focus on more cautious and conservative hazard maps, covering potentially threatened areas... However, despite: i) we can read in the Discussion this “enhances the robustness of the hazard maps against possible under-recording issues and </w:t>
      </w:r>
      <w:proofErr w:type="spellStart"/>
      <w:r w:rsidRPr="00C6455B">
        <w:t>unstationary</w:t>
      </w:r>
      <w:proofErr w:type="spellEnd"/>
      <w:r w:rsidRPr="00C6455B">
        <w:t xml:space="preserve"> </w:t>
      </w:r>
      <w:proofErr w:type="spellStart"/>
      <w:r w:rsidRPr="00C6455B">
        <w:t>behaviour</w:t>
      </w:r>
      <w:proofErr w:type="spellEnd"/>
      <w:r w:rsidRPr="00C6455B">
        <w:t xml:space="preserve"> of the volcanic system” and this is true; ii) we learn that the Model 3 approach does not privilege any specific direction and provides an "average" probability to include even areas totally under-recorded by documents, I think that the Conclusions do not give enough space to the concrete impact that the phenomenon studied may have.</w:t>
      </w:r>
    </w:p>
    <w:p w:rsidR="00213540" w:rsidRDefault="0055585E" w:rsidP="00A74D83">
      <w:pPr>
        <w:jc w:val="both"/>
        <w:rPr>
          <w:color w:val="FF0000"/>
        </w:rPr>
      </w:pPr>
      <w:r>
        <w:rPr>
          <w:color w:val="FF0000"/>
        </w:rPr>
        <w:t xml:space="preserve">Our assumption of circular sectors was necessary to represent the dataset of the areas affected by past major explosions and paroxysms with a relatively small number of </w:t>
      </w:r>
      <w:r w:rsidR="00BE77B1">
        <w:rPr>
          <w:color w:val="FF0000"/>
        </w:rPr>
        <w:t xml:space="preserve">mathematically </w:t>
      </w:r>
      <w:r w:rsidR="0067690A">
        <w:rPr>
          <w:color w:val="FF0000"/>
        </w:rPr>
        <w:t xml:space="preserve">handy </w:t>
      </w:r>
      <w:r>
        <w:rPr>
          <w:color w:val="FF0000"/>
        </w:rPr>
        <w:t xml:space="preserve">scalar parameters. This </w:t>
      </w:r>
      <w:r w:rsidR="00BE77B1">
        <w:rPr>
          <w:color w:val="FF0000"/>
        </w:rPr>
        <w:t xml:space="preserve">new method </w:t>
      </w:r>
      <w:r>
        <w:rPr>
          <w:color w:val="FF0000"/>
        </w:rPr>
        <w:t xml:space="preserve">was discussed in the companion </w:t>
      </w:r>
      <w:r w:rsidR="004F4DAE">
        <w:rPr>
          <w:color w:val="FF0000"/>
        </w:rPr>
        <w:t>manuscript</w:t>
      </w:r>
      <w:r>
        <w:rPr>
          <w:color w:val="FF0000"/>
        </w:rPr>
        <w:t>, but we improved clarity by adding a new sentence</w:t>
      </w:r>
      <w:r w:rsidR="00F350C9">
        <w:rPr>
          <w:color w:val="FF0000"/>
        </w:rPr>
        <w:t xml:space="preserve"> to the Methods section</w:t>
      </w:r>
      <w:r>
        <w:rPr>
          <w:color w:val="FF0000"/>
        </w:rPr>
        <w:t>:</w:t>
      </w:r>
    </w:p>
    <w:p w:rsidR="00B62AA4" w:rsidRPr="00930DB7" w:rsidRDefault="0055585E" w:rsidP="00A74D83">
      <w:pPr>
        <w:jc w:val="both"/>
        <w:rPr>
          <w:i/>
          <w:color w:val="FF0000"/>
        </w:rPr>
      </w:pPr>
      <w:r>
        <w:rPr>
          <w:color w:val="FF0000"/>
        </w:rPr>
        <w:t>“</w:t>
      </w:r>
      <w:r w:rsidRPr="0055585E">
        <w:rPr>
          <w:i/>
          <w:color w:val="FF0000"/>
        </w:rPr>
        <w:t xml:space="preserve">Notably, the involvement of distinct and/or multiple craters in the different events is not </w:t>
      </w:r>
      <w:r w:rsidR="00BE77B1">
        <w:rPr>
          <w:i/>
          <w:color w:val="FF0000"/>
        </w:rPr>
        <w:t xml:space="preserve">explicitly </w:t>
      </w:r>
      <w:r w:rsidRPr="0055585E">
        <w:rPr>
          <w:i/>
          <w:color w:val="FF0000"/>
        </w:rPr>
        <w:t xml:space="preserve">considered here </w:t>
      </w:r>
      <w:r w:rsidR="00BE77B1">
        <w:rPr>
          <w:i/>
          <w:color w:val="FF0000"/>
        </w:rPr>
        <w:t>as</w:t>
      </w:r>
      <w:r w:rsidRPr="0055585E">
        <w:rPr>
          <w:i/>
          <w:color w:val="FF0000"/>
        </w:rPr>
        <w:t xml:space="preserve"> such variability is included in the considered </w:t>
      </w:r>
      <w:r w:rsidR="00BE77B1">
        <w:rPr>
          <w:i/>
          <w:color w:val="FF0000"/>
        </w:rPr>
        <w:t xml:space="preserve">azimuthal and </w:t>
      </w:r>
      <w:r w:rsidRPr="0055585E">
        <w:rPr>
          <w:i/>
          <w:color w:val="FF0000"/>
        </w:rPr>
        <w:t>radial uncertaint</w:t>
      </w:r>
      <w:r w:rsidR="00BE77B1">
        <w:rPr>
          <w:i/>
          <w:color w:val="FF0000"/>
        </w:rPr>
        <w:t>ies</w:t>
      </w:r>
      <w:r w:rsidRPr="0055585E">
        <w:rPr>
          <w:i/>
          <w:color w:val="FF0000"/>
        </w:rPr>
        <w:t xml:space="preserve">; in fact, all vents are generally located within ca. 100-150 m from this center (more details in </w:t>
      </w:r>
      <w:proofErr w:type="spellStart"/>
      <w:r w:rsidRPr="0055585E">
        <w:rPr>
          <w:i/>
          <w:color w:val="FF0000"/>
        </w:rPr>
        <w:t>Bevilacqua</w:t>
      </w:r>
      <w:proofErr w:type="spellEnd"/>
      <w:r w:rsidRPr="0055585E">
        <w:rPr>
          <w:i/>
          <w:color w:val="FF0000"/>
        </w:rPr>
        <w:t xml:space="preserve"> et al.</w:t>
      </w:r>
      <w:r w:rsidR="00244CE5">
        <w:rPr>
          <w:i/>
          <w:color w:val="FF0000"/>
        </w:rPr>
        <w:t>,</w:t>
      </w:r>
      <w:r w:rsidRPr="0055585E">
        <w:rPr>
          <w:i/>
          <w:color w:val="FF0000"/>
        </w:rPr>
        <w:t xml:space="preserve"> (submitted)).”</w:t>
      </w:r>
    </w:p>
    <w:p w:rsidR="00A3692C" w:rsidRDefault="00695890" w:rsidP="00930DB7">
      <w:pPr>
        <w:jc w:val="both"/>
      </w:pPr>
      <w:r w:rsidRPr="00C6455B">
        <w:t>Given that, is it possible in the Conclusions to explain in some point and/or show through a new Figure, one case or solution where, changing the quantification of at least one important sources of uncertainty (e.g. the crater position or another...), the hazard maps show a considerable variation? The goal should and would be to make more understandable and clearer to the reader how the scenario might change for one certain sector of the Island if we consider the variation of (just) one of the above mentioned parameter. The Authors may want to show in the Conclusions.</w:t>
      </w:r>
    </w:p>
    <w:p w:rsidR="00930DB7" w:rsidRPr="00930DB7" w:rsidRDefault="00930DB7" w:rsidP="00930DB7">
      <w:pPr>
        <w:jc w:val="both"/>
        <w:rPr>
          <w:color w:val="FF0000"/>
        </w:rPr>
      </w:pPr>
      <w:r w:rsidRPr="00930DB7">
        <w:rPr>
          <w:color w:val="FF0000"/>
        </w:rPr>
        <w:t>In the previous sections we have already added new results on the effect of the variability of some relevant variables as well as new details on the limitations adopted by the approach. We believe the conclusions already summarized the main outcomes of the study and its limitations. However, following the referee’s suggestions, we further revised the following points.</w:t>
      </w:r>
    </w:p>
    <w:p w:rsidR="00213540" w:rsidRDefault="00695890" w:rsidP="00A74D83">
      <w:pPr>
        <w:jc w:val="both"/>
      </w:pPr>
      <w:r w:rsidRPr="00C6455B">
        <w:t xml:space="preserve">Another couple of things that I would like to see better written in the Conclusions are: </w:t>
      </w:r>
      <w:r w:rsidR="00213540">
        <w:br/>
        <w:t xml:space="preserve">- </w:t>
      </w:r>
      <w:r w:rsidRPr="00C6455B">
        <w:t xml:space="preserve">at point </w:t>
      </w:r>
      <w:r w:rsidR="00213540">
        <w:t>1</w:t>
      </w:r>
      <w:r w:rsidRPr="00C6455B">
        <w:t xml:space="preserve">, the high vulnerability of </w:t>
      </w:r>
      <w:proofErr w:type="spellStart"/>
      <w:r w:rsidRPr="00C6455B">
        <w:t>Ginostra</w:t>
      </w:r>
      <w:proofErr w:type="spellEnd"/>
      <w:r w:rsidRPr="00C6455B">
        <w:t xml:space="preserve"> side (and village). In</w:t>
      </w:r>
      <w:r w:rsidR="00213540">
        <w:t xml:space="preserve"> </w:t>
      </w:r>
      <w:r w:rsidRPr="00C6455B">
        <w:t xml:space="preserve">fact, the map shows that almost the entire village of </w:t>
      </w:r>
      <w:proofErr w:type="spellStart"/>
      <w:r w:rsidRPr="00C6455B">
        <w:t>Ginostra</w:t>
      </w:r>
      <w:proofErr w:type="spellEnd"/>
      <w:r w:rsidRPr="00C6455B">
        <w:t xml:space="preserve"> is hit with a probability greater than 20% for each single paroxysm; </w:t>
      </w:r>
    </w:p>
    <w:p w:rsidR="0015536D" w:rsidRPr="0015536D" w:rsidRDefault="0015536D" w:rsidP="0015536D">
      <w:pPr>
        <w:jc w:val="both"/>
        <w:rPr>
          <w:color w:val="FF0000"/>
        </w:rPr>
      </w:pPr>
      <w:r w:rsidRPr="0015536D">
        <w:rPr>
          <w:color w:val="FF0000"/>
        </w:rPr>
        <w:t xml:space="preserve">We better specified that </w:t>
      </w:r>
      <w:proofErr w:type="spellStart"/>
      <w:r w:rsidRPr="0015536D">
        <w:rPr>
          <w:color w:val="FF0000"/>
        </w:rPr>
        <w:t>Ginostra</w:t>
      </w:r>
      <w:proofErr w:type="spellEnd"/>
      <w:r w:rsidRPr="0015536D">
        <w:rPr>
          <w:color w:val="FF0000"/>
        </w:rPr>
        <w:t xml:space="preserve"> village is particularly vulnerable</w:t>
      </w:r>
      <w:r>
        <w:rPr>
          <w:color w:val="FF0000"/>
        </w:rPr>
        <w:t xml:space="preserve"> (L570)</w:t>
      </w:r>
      <w:r w:rsidRPr="0015536D">
        <w:rPr>
          <w:color w:val="FF0000"/>
        </w:rPr>
        <w:t>:</w:t>
      </w:r>
    </w:p>
    <w:p w:rsidR="0015536D" w:rsidRDefault="0015536D" w:rsidP="0015536D">
      <w:pPr>
        <w:jc w:val="both"/>
        <w:rPr>
          <w:color w:val="FF0000"/>
        </w:rPr>
      </w:pPr>
      <w:r w:rsidRPr="0015536D">
        <w:rPr>
          <w:color w:val="FF0000"/>
        </w:rPr>
        <w:lastRenderedPageBreak/>
        <w:t xml:space="preserve"> </w:t>
      </w:r>
      <w:proofErr w:type="gramStart"/>
      <w:r w:rsidRPr="0015536D">
        <w:rPr>
          <w:color w:val="FF0000"/>
        </w:rPr>
        <w:t xml:space="preserve">“[…] about 20% probability of affecting the entire village of </w:t>
      </w:r>
      <w:proofErr w:type="spellStart"/>
      <w:r w:rsidRPr="0015536D">
        <w:rPr>
          <w:color w:val="FF0000"/>
        </w:rPr>
        <w:t>Ginostra</w:t>
      </w:r>
      <w:proofErr w:type="spellEnd"/>
      <w:r w:rsidRPr="0015536D">
        <w:rPr>
          <w:color w:val="FF0000"/>
        </w:rPr>
        <w:t>, which, as a result, is particularly exposed to ballistic fallout.”</w:t>
      </w:r>
      <w:proofErr w:type="gramEnd"/>
    </w:p>
    <w:p w:rsidR="00213540" w:rsidRDefault="00213540" w:rsidP="0015536D">
      <w:pPr>
        <w:jc w:val="both"/>
      </w:pPr>
      <w:r>
        <w:t xml:space="preserve">- </w:t>
      </w:r>
      <w:r w:rsidR="00695890" w:rsidRPr="00C6455B">
        <w:t xml:space="preserve">at point 2, according to Figure 4f the contour indicating a probability of 2% comes to cover almost the entire extension of the island, in case of paroxysms and that means that basically no area of the Island is free or shows 0 hazards with respect to being hit by ballistic bombs and blocks. </w:t>
      </w:r>
    </w:p>
    <w:p w:rsidR="00213540" w:rsidRDefault="000E59B1" w:rsidP="00A74D83">
      <w:pPr>
        <w:jc w:val="both"/>
        <w:rPr>
          <w:color w:val="FF0000"/>
        </w:rPr>
      </w:pPr>
      <w:r>
        <w:rPr>
          <w:color w:val="FF0000"/>
        </w:rPr>
        <w:t xml:space="preserve">We added the following sentence to point 2: </w:t>
      </w:r>
    </w:p>
    <w:p w:rsidR="000E59B1" w:rsidRPr="000E59B1" w:rsidRDefault="000E59B1" w:rsidP="00A74D83">
      <w:pPr>
        <w:jc w:val="both"/>
        <w:rPr>
          <w:i/>
          <w:color w:val="FF0000"/>
        </w:rPr>
      </w:pPr>
      <w:r w:rsidRPr="000E59B1">
        <w:rPr>
          <w:i/>
          <w:color w:val="FF0000"/>
        </w:rPr>
        <w:t>“Notably, except for two limited reg</w:t>
      </w:r>
      <w:r w:rsidR="00125E78">
        <w:rPr>
          <w:i/>
          <w:color w:val="FF0000"/>
        </w:rPr>
        <w:t>ions along NE and S shores</w:t>
      </w:r>
      <w:r w:rsidRPr="000E59B1">
        <w:rPr>
          <w:i/>
          <w:color w:val="FF0000"/>
        </w:rPr>
        <w:t>, the entire island has over 2% probability of being affected by ballistic fallout during a paroxysm.”</w:t>
      </w:r>
    </w:p>
    <w:p w:rsidR="00213540" w:rsidRDefault="00695890" w:rsidP="00A74D83">
      <w:pPr>
        <w:jc w:val="both"/>
      </w:pPr>
      <w:r w:rsidRPr="00C6455B">
        <w:t>Another final thing that could be highlighted in the Conclusions, if I understood correctly, is that in the probabilistic distribution of the next 50 years (MEs plus Paroxysms) the study expects 16 paroxysms to occur (with an increase, if the uncertain MEs were excluded).</w:t>
      </w:r>
      <w:r w:rsidR="00213540">
        <w:t xml:space="preserve"> </w:t>
      </w:r>
    </w:p>
    <w:p w:rsidR="006F0AB9" w:rsidRDefault="006F0AB9" w:rsidP="00A74D83">
      <w:pPr>
        <w:jc w:val="both"/>
        <w:rPr>
          <w:color w:val="FF0000"/>
        </w:rPr>
      </w:pPr>
      <w:r>
        <w:rPr>
          <w:color w:val="FF0000"/>
        </w:rPr>
        <w:t xml:space="preserve">The new Table S3 summarizes all the </w:t>
      </w:r>
      <w:r w:rsidR="00250D40">
        <w:rPr>
          <w:color w:val="FF0000"/>
        </w:rPr>
        <w:t xml:space="preserve">discussed </w:t>
      </w:r>
      <w:r>
        <w:rPr>
          <w:color w:val="FF0000"/>
        </w:rPr>
        <w:t>results of the temporal modeling</w:t>
      </w:r>
      <w:r w:rsidR="00250D40">
        <w:rPr>
          <w:color w:val="FF0000"/>
        </w:rPr>
        <w:t xml:space="preserve"> in the next 10 and 50 years</w:t>
      </w:r>
      <w:r>
        <w:rPr>
          <w:color w:val="FF0000"/>
        </w:rPr>
        <w:t xml:space="preserve">. </w:t>
      </w:r>
      <w:r w:rsidR="00250D40">
        <w:rPr>
          <w:color w:val="FF0000"/>
        </w:rPr>
        <w:t xml:space="preserve">The </w:t>
      </w:r>
      <w:r>
        <w:rPr>
          <w:color w:val="FF0000"/>
        </w:rPr>
        <w:t>number of expected</w:t>
      </w:r>
      <w:r w:rsidRPr="006F0AB9">
        <w:rPr>
          <w:color w:val="FF0000"/>
        </w:rPr>
        <w:t xml:space="preserve"> paroxysms </w:t>
      </w:r>
      <w:r>
        <w:rPr>
          <w:color w:val="FF0000"/>
        </w:rPr>
        <w:t xml:space="preserve">in the next 10 and 50 years </w:t>
      </w:r>
      <w:r w:rsidR="00250D40">
        <w:rPr>
          <w:color w:val="FF0000"/>
        </w:rPr>
        <w:t>i</w:t>
      </w:r>
      <w:r>
        <w:rPr>
          <w:color w:val="FF0000"/>
        </w:rPr>
        <w:t xml:space="preserve">s </w:t>
      </w:r>
      <w:r w:rsidR="00250D40">
        <w:rPr>
          <w:color w:val="FF0000"/>
        </w:rPr>
        <w:t>discussed</w:t>
      </w:r>
      <w:r w:rsidRPr="006F0AB9">
        <w:rPr>
          <w:color w:val="FF0000"/>
        </w:rPr>
        <w:t xml:space="preserve"> in</w:t>
      </w:r>
      <w:r w:rsidR="00250D40">
        <w:rPr>
          <w:color w:val="FF0000"/>
        </w:rPr>
        <w:t xml:space="preserve"> the recently published study</w:t>
      </w:r>
      <w:r w:rsidR="004F4DAE">
        <w:rPr>
          <w:color w:val="FF0000"/>
        </w:rPr>
        <w:t xml:space="preserve"> </w:t>
      </w:r>
      <w:proofErr w:type="spellStart"/>
      <w:r w:rsidR="004F4DAE">
        <w:rPr>
          <w:color w:val="FF0000"/>
        </w:rPr>
        <w:t>Bevilacqua</w:t>
      </w:r>
      <w:proofErr w:type="spellEnd"/>
      <w:r w:rsidR="004F4DAE">
        <w:rPr>
          <w:color w:val="FF0000"/>
        </w:rPr>
        <w:t xml:space="preserve"> et al.</w:t>
      </w:r>
      <w:r w:rsidRPr="006F0AB9">
        <w:rPr>
          <w:color w:val="FF0000"/>
        </w:rPr>
        <w:t xml:space="preserve"> (2026), </w:t>
      </w:r>
      <w:r>
        <w:rPr>
          <w:color w:val="FF0000"/>
        </w:rPr>
        <w:t>which is now referenced</w:t>
      </w:r>
      <w:r w:rsidR="00250D40">
        <w:rPr>
          <w:color w:val="FF0000"/>
        </w:rPr>
        <w:t xml:space="preserve"> in the manuscript</w:t>
      </w:r>
      <w:r>
        <w:rPr>
          <w:color w:val="FF0000"/>
        </w:rPr>
        <w:t xml:space="preserve">. </w:t>
      </w:r>
      <w:r w:rsidR="00250D40">
        <w:rPr>
          <w:color w:val="FF0000"/>
        </w:rPr>
        <w:t>However, the number of expected</w:t>
      </w:r>
      <w:r w:rsidR="00250D40" w:rsidRPr="006F0AB9">
        <w:rPr>
          <w:color w:val="FF0000"/>
        </w:rPr>
        <w:t xml:space="preserve"> </w:t>
      </w:r>
      <w:r>
        <w:rPr>
          <w:color w:val="FF0000"/>
        </w:rPr>
        <w:t xml:space="preserve">major explosions and paroxysms </w:t>
      </w:r>
      <w:r w:rsidR="00250D40">
        <w:rPr>
          <w:color w:val="FF0000"/>
        </w:rPr>
        <w:t>in the next 10 and 50 years</w:t>
      </w:r>
      <w:r>
        <w:rPr>
          <w:color w:val="FF0000"/>
        </w:rPr>
        <w:t xml:space="preserve"> </w:t>
      </w:r>
      <w:r w:rsidR="00250D40">
        <w:rPr>
          <w:color w:val="FF0000"/>
        </w:rPr>
        <w:t>is new in this manuscript</w:t>
      </w:r>
      <w:r>
        <w:rPr>
          <w:color w:val="FF0000"/>
        </w:rPr>
        <w:t xml:space="preserve">, and therefore we </w:t>
      </w:r>
      <w:r w:rsidR="00250D40">
        <w:rPr>
          <w:color w:val="FF0000"/>
        </w:rPr>
        <w:t>modified</w:t>
      </w:r>
      <w:r>
        <w:rPr>
          <w:color w:val="FF0000"/>
        </w:rPr>
        <w:t xml:space="preserve"> the final bullet point in the Conclusions</w:t>
      </w:r>
      <w:r w:rsidR="00250D40">
        <w:rPr>
          <w:color w:val="FF0000"/>
        </w:rPr>
        <w:t xml:space="preserve"> as follows</w:t>
      </w:r>
      <w:r>
        <w:rPr>
          <w:color w:val="FF0000"/>
        </w:rPr>
        <w:t>:</w:t>
      </w:r>
    </w:p>
    <w:p w:rsidR="00E55F89" w:rsidRPr="009F0E85" w:rsidRDefault="006F0AB9" w:rsidP="00A74D83">
      <w:pPr>
        <w:jc w:val="both"/>
        <w:rPr>
          <w:i/>
          <w:color w:val="FF0000"/>
        </w:rPr>
      </w:pPr>
      <w:r w:rsidRPr="009F0E85">
        <w:rPr>
          <w:i/>
          <w:color w:val="FF0000"/>
        </w:rPr>
        <w:t xml:space="preserve"> </w:t>
      </w:r>
      <w:r w:rsidR="00E55F89" w:rsidRPr="009F0E85">
        <w:rPr>
          <w:i/>
          <w:color w:val="FF0000"/>
        </w:rPr>
        <w:t>“</w:t>
      </w:r>
      <w:r w:rsidR="009F0E85" w:rsidRPr="009F0E85">
        <w:rPr>
          <w:i/>
          <w:color w:val="FF0000"/>
        </w:rPr>
        <w:t>6.</w:t>
      </w:r>
      <w:r w:rsidR="009F0E85" w:rsidRPr="009F0E85">
        <w:rPr>
          <w:i/>
          <w:color w:val="FF0000"/>
        </w:rPr>
        <w:tab/>
      </w:r>
      <w:r w:rsidR="00250D40" w:rsidRPr="00250D40">
        <w:rPr>
          <w:i/>
          <w:color w:val="FF0000"/>
        </w:rPr>
        <w:t xml:space="preserve">According to the temporal modeling of recurrence times updated from </w:t>
      </w:r>
      <w:proofErr w:type="spellStart"/>
      <w:r w:rsidR="00250D40" w:rsidRPr="00250D40">
        <w:rPr>
          <w:i/>
          <w:color w:val="FF0000"/>
        </w:rPr>
        <w:t>Bevilacqua</w:t>
      </w:r>
      <w:proofErr w:type="spellEnd"/>
      <w:r w:rsidR="00250D40" w:rsidRPr="00250D40">
        <w:rPr>
          <w:i/>
          <w:color w:val="FF0000"/>
        </w:rPr>
        <w:t xml:space="preserve"> et al. (2020a) (Table S3 and Figure S7), in the next 10 years we estimated a total of N = 24 major explosions and paroxysms on average, with 90% uncertainty from 14 to 33 events; in the next 50 years N = 120, </w:t>
      </w:r>
      <w:r w:rsidR="00250D40">
        <w:rPr>
          <w:i/>
          <w:color w:val="FF0000"/>
        </w:rPr>
        <w:t>with</w:t>
      </w:r>
      <w:r w:rsidR="00250D40" w:rsidRPr="00250D40">
        <w:rPr>
          <w:i/>
          <w:color w:val="FF0000"/>
        </w:rPr>
        <w:t xml:space="preserve"> 90% uncertainty from 96 to 140. These values include ca. 1/3 uncertain major explosions.</w:t>
      </w:r>
      <w:r w:rsidR="00250D40">
        <w:rPr>
          <w:i/>
          <w:color w:val="FF0000"/>
        </w:rPr>
        <w:t xml:space="preserve"> […]</w:t>
      </w:r>
      <w:r w:rsidR="009F0E85">
        <w:rPr>
          <w:i/>
          <w:color w:val="FF0000"/>
        </w:rPr>
        <w:t>”</w:t>
      </w:r>
    </w:p>
    <w:p w:rsidR="00606283" w:rsidRPr="00606283" w:rsidRDefault="00606283" w:rsidP="00606283">
      <w:pPr>
        <w:jc w:val="both"/>
        <w:rPr>
          <w:color w:val="FF0000"/>
        </w:rPr>
      </w:pPr>
      <w:r w:rsidRPr="00606283">
        <w:rPr>
          <w:color w:val="FF0000"/>
        </w:rPr>
        <w:t xml:space="preserve">In addition, we also wanted to stress that the presented research </w:t>
      </w:r>
      <w:r>
        <w:rPr>
          <w:color w:val="FF0000"/>
        </w:rPr>
        <w:t>was considered in</w:t>
      </w:r>
      <w:r w:rsidRPr="00606283">
        <w:rPr>
          <w:color w:val="FF0000"/>
        </w:rPr>
        <w:t xml:space="preserve"> </w:t>
      </w:r>
      <w:r>
        <w:rPr>
          <w:color w:val="FF0000"/>
        </w:rPr>
        <w:t>recent</w:t>
      </w:r>
      <w:r w:rsidRPr="00606283">
        <w:rPr>
          <w:color w:val="FF0000"/>
        </w:rPr>
        <w:t xml:space="preserve"> </w:t>
      </w:r>
      <w:proofErr w:type="spellStart"/>
      <w:r w:rsidRPr="00606283">
        <w:rPr>
          <w:color w:val="FF0000"/>
        </w:rPr>
        <w:t>dd</w:t>
      </w:r>
      <w:proofErr w:type="spellEnd"/>
      <w:r w:rsidRPr="00606283">
        <w:rPr>
          <w:color w:val="FF0000"/>
        </w:rPr>
        <w:t>-PDC hazard assessment</w:t>
      </w:r>
      <w:r>
        <w:rPr>
          <w:color w:val="FF0000"/>
        </w:rPr>
        <w:t>s at Stromboli</w:t>
      </w:r>
      <w:r w:rsidRPr="00606283">
        <w:rPr>
          <w:color w:val="FF0000"/>
        </w:rPr>
        <w:t>. We added the following new sentence to the Conclusions:</w:t>
      </w:r>
    </w:p>
    <w:p w:rsidR="00706BED" w:rsidRPr="00706BED" w:rsidRDefault="00606283" w:rsidP="00606283">
      <w:pPr>
        <w:jc w:val="both"/>
        <w:rPr>
          <w:i/>
          <w:color w:val="FF0000"/>
        </w:rPr>
      </w:pPr>
      <w:r w:rsidRPr="00606283">
        <w:rPr>
          <w:color w:val="FF0000"/>
        </w:rPr>
        <w:t>“</w:t>
      </w:r>
      <w:r w:rsidR="00B8445F" w:rsidRPr="00B8445F">
        <w:rPr>
          <w:i/>
          <w:color w:val="FF0000"/>
        </w:rPr>
        <w:t>Some of these findings have been already used to investigate the prevailing directions of coarse products ejection with the aim to assess the valleys most exposed to deposit-derived PDCs (</w:t>
      </w:r>
      <w:proofErr w:type="spellStart"/>
      <w:r w:rsidR="00B8445F" w:rsidRPr="00B8445F">
        <w:rPr>
          <w:i/>
          <w:color w:val="FF0000"/>
        </w:rPr>
        <w:t>Neri</w:t>
      </w:r>
      <w:proofErr w:type="spellEnd"/>
      <w:r w:rsidR="00B8445F" w:rsidRPr="00B8445F">
        <w:rPr>
          <w:i/>
          <w:color w:val="FF0000"/>
        </w:rPr>
        <w:t xml:space="preserve"> et al., 2026; </w:t>
      </w:r>
      <w:proofErr w:type="spellStart"/>
      <w:r w:rsidR="00B8445F" w:rsidRPr="00B8445F">
        <w:rPr>
          <w:i/>
          <w:color w:val="FF0000"/>
        </w:rPr>
        <w:t>Bevilacqua</w:t>
      </w:r>
      <w:proofErr w:type="spellEnd"/>
      <w:r w:rsidR="00B8445F" w:rsidRPr="00B8445F">
        <w:rPr>
          <w:i/>
          <w:color w:val="FF0000"/>
        </w:rPr>
        <w:t xml:space="preserve"> et al., 2026).</w:t>
      </w:r>
      <w:r w:rsidRPr="00606283">
        <w:rPr>
          <w:i/>
          <w:color w:val="FF0000"/>
        </w:rPr>
        <w:t>”</w:t>
      </w:r>
    </w:p>
    <w:p w:rsidR="00606283" w:rsidRDefault="00606283" w:rsidP="004551D7">
      <w:pPr>
        <w:spacing w:after="0"/>
        <w:rPr>
          <w:b/>
        </w:rPr>
      </w:pPr>
    </w:p>
    <w:p w:rsidR="001F50D3" w:rsidRPr="00C513DB" w:rsidRDefault="001F50D3" w:rsidP="00695890">
      <w:pPr>
        <w:rPr>
          <w:color w:val="FF0000"/>
        </w:rPr>
      </w:pPr>
      <w:r w:rsidRPr="001F50D3">
        <w:rPr>
          <w:b/>
        </w:rPr>
        <w:t>Minor Comments</w:t>
      </w:r>
      <w:r w:rsidR="00CB5F6D">
        <w:rPr>
          <w:b/>
        </w:rPr>
        <w:t xml:space="preserve"> (from annotated PDF): </w:t>
      </w:r>
      <w:r w:rsidRPr="001F50D3">
        <w:rPr>
          <w:b/>
        </w:rPr>
        <w:br/>
      </w:r>
      <w:r w:rsidRPr="001F50D3">
        <w:t xml:space="preserve">L32: </w:t>
      </w:r>
      <w:r w:rsidRPr="00A74D83">
        <w:rPr>
          <w:i/>
        </w:rPr>
        <w:t xml:space="preserve">leading </w:t>
      </w:r>
      <w:r w:rsidRPr="001F50D3">
        <w:t xml:space="preserve">--&gt; </w:t>
      </w:r>
      <w:r>
        <w:t>most frequent</w:t>
      </w:r>
      <w:r w:rsidRPr="001F50D3">
        <w:t>?</w:t>
      </w:r>
      <w:r w:rsidR="00C513DB">
        <w:tab/>
      </w:r>
      <w:r w:rsidR="00C513DB" w:rsidRPr="00C513DB">
        <w:rPr>
          <w:color w:val="FF0000"/>
        </w:rPr>
        <w:t>OK</w:t>
      </w:r>
      <w:r w:rsidR="00C513DB">
        <w:rPr>
          <w:color w:val="FF0000"/>
        </w:rPr>
        <w:t>.</w:t>
      </w:r>
    </w:p>
    <w:p w:rsidR="001F50D3" w:rsidRDefault="001F50D3" w:rsidP="00695890">
      <w:r>
        <w:t xml:space="preserve">L39: </w:t>
      </w:r>
      <w:r w:rsidRPr="00A74D83">
        <w:rPr>
          <w:i/>
        </w:rPr>
        <w:t>section</w:t>
      </w:r>
      <w:r>
        <w:t xml:space="preserve"> --&gt; </w:t>
      </w:r>
      <w:r w:rsidRPr="001F50D3">
        <w:t>sector</w:t>
      </w:r>
      <w:r w:rsidR="00C513DB">
        <w:tab/>
      </w:r>
      <w:r w:rsidR="00C513DB" w:rsidRPr="00C513DB">
        <w:rPr>
          <w:color w:val="FF0000"/>
        </w:rPr>
        <w:t>OK.</w:t>
      </w:r>
    </w:p>
    <w:p w:rsidR="001F50D3" w:rsidRDefault="001F50D3" w:rsidP="00695890">
      <w:r>
        <w:t xml:space="preserve">L40: </w:t>
      </w:r>
      <w:r w:rsidRPr="00A74D83">
        <w:rPr>
          <w:i/>
        </w:rPr>
        <w:t>Middle ages</w:t>
      </w:r>
      <w:r>
        <w:t xml:space="preserve"> --&gt; early </w:t>
      </w:r>
      <w:proofErr w:type="gramStart"/>
      <w:r>
        <w:t>Middle</w:t>
      </w:r>
      <w:proofErr w:type="gramEnd"/>
      <w:r>
        <w:t xml:space="preserve"> ages</w:t>
      </w:r>
      <w:r w:rsidR="00C513DB">
        <w:tab/>
      </w:r>
      <w:r w:rsidR="00C513DB" w:rsidRPr="00C513DB">
        <w:rPr>
          <w:color w:val="FF0000"/>
        </w:rPr>
        <w:t>OK.</w:t>
      </w:r>
    </w:p>
    <w:p w:rsidR="00AA43F2" w:rsidRDefault="001F50D3" w:rsidP="00A74D83">
      <w:pPr>
        <w:jc w:val="both"/>
      </w:pPr>
      <w:r>
        <w:t xml:space="preserve">L40: </w:t>
      </w:r>
      <w:r w:rsidRPr="00A74D83">
        <w:rPr>
          <w:i/>
        </w:rPr>
        <w:t>Re et al. 2025</w:t>
      </w:r>
      <w:r>
        <w:t xml:space="preserve"> --&gt; </w:t>
      </w:r>
      <w:r w:rsidRPr="001F50D3">
        <w:t xml:space="preserve">This Reference is just the last one of a much longer list. In my opinion or you use: Re et </w:t>
      </w:r>
      <w:r w:rsidR="00C513DB">
        <w:t>a</w:t>
      </w:r>
      <w:r w:rsidRPr="001F50D3">
        <w:t xml:space="preserve">l. and References therein or you have to cite: </w:t>
      </w:r>
      <w:proofErr w:type="spellStart"/>
      <w:r w:rsidRPr="001F50D3">
        <w:t>Rosi</w:t>
      </w:r>
      <w:proofErr w:type="spellEnd"/>
      <w:r w:rsidRPr="001F50D3">
        <w:t xml:space="preserve"> et al. (2000) that was the first one... or another from him some years later, </w:t>
      </w:r>
      <w:proofErr w:type="spellStart"/>
      <w:r w:rsidRPr="001F50D3">
        <w:t>Rosi</w:t>
      </w:r>
      <w:proofErr w:type="spellEnd"/>
      <w:r w:rsidRPr="001F50D3">
        <w:t xml:space="preserve"> et al., (2013)</w:t>
      </w:r>
      <w:r w:rsidR="00C513DB">
        <w:tab/>
      </w:r>
    </w:p>
    <w:p w:rsidR="001F50D3" w:rsidRPr="00C513DB" w:rsidRDefault="00574A40" w:rsidP="00A74D83">
      <w:pPr>
        <w:jc w:val="both"/>
        <w:rPr>
          <w:color w:val="FF0000"/>
        </w:rPr>
      </w:pPr>
      <w:r>
        <w:rPr>
          <w:color w:val="FF0000"/>
        </w:rPr>
        <w:lastRenderedPageBreak/>
        <w:t>W</w:t>
      </w:r>
      <w:r w:rsidR="00C513DB" w:rsidRPr="00C513DB">
        <w:rPr>
          <w:color w:val="FF0000"/>
        </w:rPr>
        <w:t xml:space="preserve">e </w:t>
      </w:r>
      <w:r w:rsidR="00C513DB">
        <w:rPr>
          <w:color w:val="FF0000"/>
        </w:rPr>
        <w:t>added</w:t>
      </w:r>
      <w:r w:rsidR="0058335B">
        <w:rPr>
          <w:color w:val="FF0000"/>
        </w:rPr>
        <w:t xml:space="preserve"> </w:t>
      </w:r>
      <w:r w:rsidR="004F4DAE">
        <w:rPr>
          <w:color w:val="FF0000"/>
        </w:rPr>
        <w:t xml:space="preserve">the </w:t>
      </w:r>
      <w:r w:rsidR="0058335B">
        <w:rPr>
          <w:color w:val="FF0000"/>
        </w:rPr>
        <w:t>citations of</w:t>
      </w:r>
      <w:r w:rsidR="00C513DB">
        <w:rPr>
          <w:color w:val="FF0000"/>
        </w:rPr>
        <w:t xml:space="preserve"> </w:t>
      </w:r>
      <w:proofErr w:type="spellStart"/>
      <w:r w:rsidR="00C513DB">
        <w:rPr>
          <w:color w:val="FF0000"/>
        </w:rPr>
        <w:t>Rosi</w:t>
      </w:r>
      <w:proofErr w:type="spellEnd"/>
      <w:r w:rsidR="00C513DB">
        <w:rPr>
          <w:color w:val="FF0000"/>
        </w:rPr>
        <w:t xml:space="preserve"> et al. </w:t>
      </w:r>
      <w:r w:rsidR="004F4DAE">
        <w:rPr>
          <w:color w:val="FF0000"/>
        </w:rPr>
        <w:t>(</w:t>
      </w:r>
      <w:r w:rsidR="00C513DB">
        <w:rPr>
          <w:color w:val="FF0000"/>
        </w:rPr>
        <w:t>2000</w:t>
      </w:r>
      <w:r w:rsidR="004F4DAE">
        <w:rPr>
          <w:color w:val="FF0000"/>
        </w:rPr>
        <w:t>)</w:t>
      </w:r>
      <w:r w:rsidR="00C513DB">
        <w:rPr>
          <w:color w:val="FF0000"/>
        </w:rPr>
        <w:t xml:space="preserve"> </w:t>
      </w:r>
      <w:r w:rsidR="0058335B">
        <w:rPr>
          <w:color w:val="FF0000"/>
        </w:rPr>
        <w:t xml:space="preserve">and </w:t>
      </w:r>
      <w:proofErr w:type="spellStart"/>
      <w:r w:rsidR="0058335B">
        <w:rPr>
          <w:color w:val="FF0000"/>
        </w:rPr>
        <w:t>Rosi</w:t>
      </w:r>
      <w:proofErr w:type="spellEnd"/>
      <w:r w:rsidR="0058335B">
        <w:rPr>
          <w:color w:val="FF0000"/>
        </w:rPr>
        <w:t xml:space="preserve"> et al.</w:t>
      </w:r>
      <w:r w:rsidR="00C513DB">
        <w:rPr>
          <w:color w:val="FF0000"/>
        </w:rPr>
        <w:t xml:space="preserve"> </w:t>
      </w:r>
      <w:r w:rsidR="004F4DAE">
        <w:rPr>
          <w:color w:val="FF0000"/>
        </w:rPr>
        <w:t>(</w:t>
      </w:r>
      <w:r w:rsidR="00C513DB">
        <w:rPr>
          <w:color w:val="FF0000"/>
        </w:rPr>
        <w:t>2013</w:t>
      </w:r>
      <w:r w:rsidR="004F4DAE">
        <w:rPr>
          <w:color w:val="FF0000"/>
        </w:rPr>
        <w:t>) at the end of</w:t>
      </w:r>
      <w:r w:rsidR="008025A5">
        <w:rPr>
          <w:color w:val="FF0000"/>
        </w:rPr>
        <w:t xml:space="preserve"> that</w:t>
      </w:r>
      <w:r w:rsidR="004F4DAE">
        <w:rPr>
          <w:color w:val="FF0000"/>
        </w:rPr>
        <w:t xml:space="preserve"> sentence</w:t>
      </w:r>
      <w:r w:rsidR="00C513DB" w:rsidRPr="00C513DB">
        <w:rPr>
          <w:color w:val="FF0000"/>
        </w:rPr>
        <w:t xml:space="preserve">. </w:t>
      </w:r>
    </w:p>
    <w:p w:rsidR="00AA43F2" w:rsidRDefault="00644432" w:rsidP="006A6CCC">
      <w:pPr>
        <w:jc w:val="both"/>
      </w:pPr>
      <w:r>
        <w:t xml:space="preserve">L45: </w:t>
      </w:r>
      <w:r w:rsidRPr="00A74D83">
        <w:rPr>
          <w:i/>
        </w:rPr>
        <w:t xml:space="preserve">The hazardous area affected by large ballistic projectiles is typically considered the main </w:t>
      </w:r>
      <w:r w:rsidR="00A74D83" w:rsidRPr="00A74D83">
        <w:rPr>
          <w:i/>
        </w:rPr>
        <w:t>d</w:t>
      </w:r>
      <w:r w:rsidRPr="00A74D83">
        <w:rPr>
          <w:i/>
        </w:rPr>
        <w:t>istinguishing factor for differentiating between ordinary activity, major explosions, and paroxysms (</w:t>
      </w:r>
      <w:proofErr w:type="spellStart"/>
      <w:r w:rsidRPr="00A74D83">
        <w:rPr>
          <w:i/>
        </w:rPr>
        <w:t>Barberi</w:t>
      </w:r>
      <w:proofErr w:type="spellEnd"/>
      <w:r w:rsidRPr="00A74D83">
        <w:rPr>
          <w:i/>
        </w:rPr>
        <w:t xml:space="preserve"> et al., 1993; Pompilio et al., 2010; </w:t>
      </w:r>
      <w:proofErr w:type="spellStart"/>
      <w:r w:rsidRPr="00A74D83">
        <w:rPr>
          <w:i/>
        </w:rPr>
        <w:t>Rosi</w:t>
      </w:r>
      <w:proofErr w:type="spellEnd"/>
      <w:r w:rsidR="00A74D83" w:rsidRPr="00A74D83">
        <w:rPr>
          <w:i/>
        </w:rPr>
        <w:t xml:space="preserve"> </w:t>
      </w:r>
      <w:r w:rsidRPr="00A74D83">
        <w:rPr>
          <w:i/>
        </w:rPr>
        <w:t>et al., 2</w:t>
      </w:r>
      <w:r w:rsidR="00A74D83">
        <w:rPr>
          <w:i/>
        </w:rPr>
        <w:t xml:space="preserve">013; </w:t>
      </w:r>
      <w:proofErr w:type="spellStart"/>
      <w:r w:rsidR="00A74D83">
        <w:rPr>
          <w:i/>
        </w:rPr>
        <w:t>Bevilacqua</w:t>
      </w:r>
      <w:proofErr w:type="spellEnd"/>
      <w:r w:rsidR="00A74D83">
        <w:rPr>
          <w:i/>
        </w:rPr>
        <w:t xml:space="preserve"> et al., 2020a) </w:t>
      </w:r>
      <w:r w:rsidR="00A74D83" w:rsidRPr="00A74D83">
        <w:t>--&gt;</w:t>
      </w:r>
      <w:r w:rsidR="00A74D83">
        <w:rPr>
          <w:i/>
        </w:rPr>
        <w:t xml:space="preserve"> </w:t>
      </w:r>
      <w:r w:rsidRPr="00644432">
        <w:t xml:space="preserve">I don't agree with this sentence. This means to ignore the monitoring data and in particular the data and diagrams of the last decades from </w:t>
      </w:r>
      <w:proofErr w:type="spellStart"/>
      <w:r w:rsidRPr="00644432">
        <w:t>UniFi</w:t>
      </w:r>
      <w:proofErr w:type="spellEnd"/>
      <w:r w:rsidRPr="00644432">
        <w:t xml:space="preserve">/LGS </w:t>
      </w:r>
      <w:proofErr w:type="spellStart"/>
      <w:r w:rsidRPr="00644432">
        <w:t>bullettins</w:t>
      </w:r>
      <w:proofErr w:type="spellEnd"/>
      <w:r w:rsidRPr="00644432">
        <w:t xml:space="preserve"> or several publications as Harris and </w:t>
      </w:r>
      <w:proofErr w:type="spellStart"/>
      <w:r w:rsidRPr="00644432">
        <w:t>Ripepe</w:t>
      </w:r>
      <w:proofErr w:type="spellEnd"/>
      <w:r w:rsidRPr="00644432">
        <w:t xml:space="preserve"> 2007, </w:t>
      </w:r>
      <w:proofErr w:type="spellStart"/>
      <w:r w:rsidRPr="00644432">
        <w:t>Gurioli</w:t>
      </w:r>
      <w:proofErr w:type="spellEnd"/>
      <w:r w:rsidRPr="00644432">
        <w:t xml:space="preserve"> et al. 2013; or even the very recent </w:t>
      </w:r>
      <w:proofErr w:type="spellStart"/>
      <w:r w:rsidRPr="00644432">
        <w:t>Corradino</w:t>
      </w:r>
      <w:proofErr w:type="spellEnd"/>
      <w:r w:rsidRPr="00644432">
        <w:t xml:space="preserve"> et al. (2021), just to do some examples.</w:t>
      </w:r>
      <w:r w:rsidR="00C513DB">
        <w:tab/>
      </w:r>
    </w:p>
    <w:p w:rsidR="006A6CCC" w:rsidRPr="006A6CCC" w:rsidRDefault="006A6CCC" w:rsidP="006A6CCC">
      <w:pPr>
        <w:jc w:val="both"/>
        <w:rPr>
          <w:color w:val="FF0000"/>
        </w:rPr>
      </w:pPr>
      <w:r w:rsidRPr="006A6CCC">
        <w:rPr>
          <w:color w:val="FF0000"/>
        </w:rPr>
        <w:t xml:space="preserve">We </w:t>
      </w:r>
      <w:r w:rsidR="0073213D">
        <w:rPr>
          <w:color w:val="FF0000"/>
        </w:rPr>
        <w:t xml:space="preserve">significantly </w:t>
      </w:r>
      <w:r w:rsidRPr="006A6CCC">
        <w:rPr>
          <w:color w:val="FF0000"/>
        </w:rPr>
        <w:t xml:space="preserve">improved the paragraph by </w:t>
      </w:r>
      <w:r w:rsidR="00AA43F2">
        <w:rPr>
          <w:color w:val="FF0000"/>
        </w:rPr>
        <w:t>mentioning also</w:t>
      </w:r>
      <w:r w:rsidR="00B2598A">
        <w:rPr>
          <w:color w:val="FF0000"/>
        </w:rPr>
        <w:t xml:space="preserve"> the alternative classification of major explosions and paroxysms</w:t>
      </w:r>
      <w:r w:rsidRPr="006A6CCC">
        <w:rPr>
          <w:color w:val="FF0000"/>
        </w:rPr>
        <w:t xml:space="preserve"> based on geophysical monitoring data and satellite observations: </w:t>
      </w:r>
    </w:p>
    <w:p w:rsidR="006A6CCC" w:rsidRPr="006A6CCC" w:rsidRDefault="006A6CCC" w:rsidP="006A6CCC">
      <w:pPr>
        <w:jc w:val="both"/>
        <w:rPr>
          <w:i/>
          <w:color w:val="FF0000"/>
        </w:rPr>
      </w:pPr>
      <w:r>
        <w:rPr>
          <w:color w:val="FF0000"/>
        </w:rPr>
        <w:t>“</w:t>
      </w:r>
      <w:r w:rsidRPr="006A6CCC">
        <w:rPr>
          <w:i/>
          <w:color w:val="FF0000"/>
        </w:rPr>
        <w:t>The hazardous area affected by large ballistic projectiles was originally considered the main distinguishing factor for differentiating between ordinary activity, major explosions, and paroxysms (</w:t>
      </w:r>
      <w:proofErr w:type="spellStart"/>
      <w:r w:rsidRPr="006A6CCC">
        <w:rPr>
          <w:i/>
          <w:color w:val="FF0000"/>
        </w:rPr>
        <w:t>Barberi</w:t>
      </w:r>
      <w:proofErr w:type="spellEnd"/>
      <w:r w:rsidRPr="006A6CCC">
        <w:rPr>
          <w:i/>
          <w:color w:val="FF0000"/>
        </w:rPr>
        <w:t xml:space="preserve"> et al., 1993; Pompilio et al., 2010; </w:t>
      </w:r>
      <w:proofErr w:type="spellStart"/>
      <w:r w:rsidRPr="006A6CCC">
        <w:rPr>
          <w:i/>
          <w:color w:val="FF0000"/>
        </w:rPr>
        <w:t>Rosi</w:t>
      </w:r>
      <w:proofErr w:type="spellEnd"/>
      <w:r w:rsidRPr="006A6CCC">
        <w:rPr>
          <w:i/>
          <w:color w:val="FF0000"/>
        </w:rPr>
        <w:t xml:space="preserve"> et al., 2013; </w:t>
      </w:r>
      <w:proofErr w:type="spellStart"/>
      <w:r w:rsidRPr="006A6CCC">
        <w:rPr>
          <w:i/>
          <w:color w:val="FF0000"/>
        </w:rPr>
        <w:t>Bevilacqua</w:t>
      </w:r>
      <w:proofErr w:type="spellEnd"/>
      <w:r w:rsidRPr="006A6CCC">
        <w:rPr>
          <w:i/>
          <w:color w:val="FF0000"/>
        </w:rPr>
        <w:t xml:space="preserve"> et al., 2020a). However, several studies utilized alternative definitions of major explosions and paroxysms based on geophysical monitoring signals (</w:t>
      </w:r>
      <w:r w:rsidR="00AA43F2">
        <w:rPr>
          <w:i/>
          <w:color w:val="FF0000"/>
        </w:rPr>
        <w:t xml:space="preserve">e.g., </w:t>
      </w:r>
      <w:proofErr w:type="spellStart"/>
      <w:r w:rsidRPr="006A6CCC">
        <w:rPr>
          <w:i/>
          <w:color w:val="FF0000"/>
        </w:rPr>
        <w:t>Genco</w:t>
      </w:r>
      <w:proofErr w:type="spellEnd"/>
      <w:r w:rsidRPr="006A6CCC">
        <w:rPr>
          <w:i/>
          <w:color w:val="FF0000"/>
        </w:rPr>
        <w:t xml:space="preserve"> and </w:t>
      </w:r>
      <w:proofErr w:type="spellStart"/>
      <w:r w:rsidRPr="006A6CCC">
        <w:rPr>
          <w:i/>
          <w:color w:val="FF0000"/>
        </w:rPr>
        <w:t>Ripepe</w:t>
      </w:r>
      <w:proofErr w:type="spellEnd"/>
      <w:r w:rsidR="009650EB">
        <w:rPr>
          <w:i/>
          <w:color w:val="FF0000"/>
        </w:rPr>
        <w:t>,</w:t>
      </w:r>
      <w:r w:rsidRPr="006A6CCC">
        <w:rPr>
          <w:i/>
          <w:color w:val="FF0000"/>
        </w:rPr>
        <w:t xml:space="preserve"> 2010; </w:t>
      </w:r>
      <w:proofErr w:type="spellStart"/>
      <w:r w:rsidRPr="006A6CCC">
        <w:rPr>
          <w:i/>
          <w:color w:val="FF0000"/>
        </w:rPr>
        <w:t>Calvari</w:t>
      </w:r>
      <w:proofErr w:type="spellEnd"/>
      <w:r w:rsidRPr="006A6CCC">
        <w:rPr>
          <w:i/>
          <w:color w:val="FF0000"/>
        </w:rPr>
        <w:t xml:space="preserve"> et al., 2021; </w:t>
      </w:r>
      <w:proofErr w:type="spellStart"/>
      <w:r w:rsidRPr="006A6CCC">
        <w:rPr>
          <w:i/>
          <w:color w:val="FF0000"/>
        </w:rPr>
        <w:t>Ripepe</w:t>
      </w:r>
      <w:proofErr w:type="spellEnd"/>
      <w:r w:rsidRPr="006A6CCC">
        <w:rPr>
          <w:i/>
          <w:color w:val="FF0000"/>
        </w:rPr>
        <w:t xml:space="preserve"> et al., 2021) or satellite observations (</w:t>
      </w:r>
      <w:r w:rsidR="00AA43F2">
        <w:rPr>
          <w:i/>
          <w:color w:val="FF0000"/>
        </w:rPr>
        <w:t xml:space="preserve">e.g., </w:t>
      </w:r>
      <w:proofErr w:type="spellStart"/>
      <w:r w:rsidRPr="006A6CCC">
        <w:rPr>
          <w:i/>
          <w:color w:val="FF0000"/>
        </w:rPr>
        <w:t>Corradino</w:t>
      </w:r>
      <w:proofErr w:type="spellEnd"/>
      <w:r w:rsidRPr="006A6CCC">
        <w:rPr>
          <w:i/>
          <w:color w:val="FF0000"/>
        </w:rPr>
        <w:t xml:space="preserve"> et al., 2021; </w:t>
      </w:r>
      <w:proofErr w:type="spellStart"/>
      <w:r w:rsidRPr="006A6CCC">
        <w:rPr>
          <w:i/>
          <w:color w:val="FF0000"/>
        </w:rPr>
        <w:t>Laiolo</w:t>
      </w:r>
      <w:proofErr w:type="spellEnd"/>
      <w:r w:rsidRPr="006A6CCC">
        <w:rPr>
          <w:i/>
          <w:color w:val="FF0000"/>
        </w:rPr>
        <w:t xml:space="preserve"> et al., 2026), which had the advantage of </w:t>
      </w:r>
      <w:r>
        <w:rPr>
          <w:i/>
          <w:color w:val="FF0000"/>
        </w:rPr>
        <w:t>automatizing the classification process</w:t>
      </w:r>
      <w:r w:rsidRPr="006A6CCC">
        <w:rPr>
          <w:i/>
          <w:color w:val="FF0000"/>
        </w:rPr>
        <w:t xml:space="preserve">, but also </w:t>
      </w:r>
      <w:r w:rsidR="00AA43F2">
        <w:rPr>
          <w:i/>
          <w:color w:val="FF0000"/>
        </w:rPr>
        <w:t>neglect</w:t>
      </w:r>
      <w:r w:rsidRPr="006A6CCC">
        <w:rPr>
          <w:i/>
          <w:color w:val="FF0000"/>
        </w:rPr>
        <w:t xml:space="preserve"> the actual extent of the hazardous phenomena.</w:t>
      </w:r>
    </w:p>
    <w:p w:rsidR="001F50D3" w:rsidRPr="006A6CCC" w:rsidRDefault="006A6CCC" w:rsidP="006A6CCC">
      <w:pPr>
        <w:jc w:val="both"/>
        <w:rPr>
          <w:color w:val="FF0000"/>
        </w:rPr>
      </w:pPr>
      <w:r w:rsidRPr="006A6CCC">
        <w:rPr>
          <w:i/>
          <w:color w:val="FF0000"/>
        </w:rPr>
        <w:t xml:space="preserve">In this study we </w:t>
      </w:r>
      <w:r w:rsidR="00AA43F2">
        <w:rPr>
          <w:i/>
          <w:color w:val="FF0000"/>
        </w:rPr>
        <w:t>adopted</w:t>
      </w:r>
      <w:r w:rsidRPr="006A6CCC">
        <w:rPr>
          <w:i/>
          <w:color w:val="FF0000"/>
        </w:rPr>
        <w:t xml:space="preserve"> the original classification based on the areas affected by ballistic fallout because it is naturally related to the</w:t>
      </w:r>
      <w:r w:rsidR="00AA43F2">
        <w:rPr>
          <w:i/>
          <w:color w:val="FF0000"/>
        </w:rPr>
        <w:t xml:space="preserve"> associated</w:t>
      </w:r>
      <w:r w:rsidRPr="006A6CCC">
        <w:rPr>
          <w:i/>
          <w:color w:val="FF0000"/>
        </w:rPr>
        <w:t xml:space="preserve"> hazard under consideration.</w:t>
      </w:r>
      <w:r>
        <w:rPr>
          <w:color w:val="FF0000"/>
        </w:rPr>
        <w:t xml:space="preserve"> […]”</w:t>
      </w:r>
    </w:p>
    <w:p w:rsidR="00845443" w:rsidRDefault="00A74D83" w:rsidP="00A74D83">
      <w:pPr>
        <w:jc w:val="both"/>
      </w:pPr>
      <w:r>
        <w:t xml:space="preserve">L95: </w:t>
      </w:r>
      <w:proofErr w:type="spellStart"/>
      <w:r>
        <w:rPr>
          <w:i/>
        </w:rPr>
        <w:t>isolines</w:t>
      </w:r>
      <w:proofErr w:type="spellEnd"/>
      <w:r>
        <w:t xml:space="preserve"> --&gt; </w:t>
      </w:r>
      <w:r w:rsidRPr="00A74D83">
        <w:t xml:space="preserve">Contour Lines called </w:t>
      </w:r>
      <w:proofErr w:type="spellStart"/>
      <w:r w:rsidRPr="00A74D83">
        <w:t>Isohypse</w:t>
      </w:r>
      <w:proofErr w:type="spellEnd"/>
      <w:r w:rsidRPr="00A74D83">
        <w:t>, usually. I think it's more appropriate.</w:t>
      </w:r>
      <w:r w:rsidR="00E25736">
        <w:tab/>
      </w:r>
    </w:p>
    <w:p w:rsidR="00A74D83" w:rsidRDefault="00574A40" w:rsidP="00A74D83">
      <w:pPr>
        <w:jc w:val="both"/>
      </w:pPr>
      <w:r>
        <w:rPr>
          <w:color w:val="FF0000"/>
        </w:rPr>
        <w:t xml:space="preserve">OK. We </w:t>
      </w:r>
      <w:r w:rsidR="00B2598A">
        <w:rPr>
          <w:color w:val="FF0000"/>
        </w:rPr>
        <w:t>have abandoned</w:t>
      </w:r>
      <w:r>
        <w:rPr>
          <w:color w:val="FF0000"/>
        </w:rPr>
        <w:t xml:space="preserve"> the term </w:t>
      </w:r>
      <w:r w:rsidR="00B2598A">
        <w:rPr>
          <w:color w:val="FF0000"/>
        </w:rPr>
        <w:t>“</w:t>
      </w:r>
      <w:proofErr w:type="spellStart"/>
      <w:r w:rsidR="00B2598A" w:rsidRPr="00B2598A">
        <w:rPr>
          <w:i/>
          <w:color w:val="FF0000"/>
        </w:rPr>
        <w:t>isolines</w:t>
      </w:r>
      <w:proofErr w:type="spellEnd"/>
      <w:r w:rsidR="00B2598A">
        <w:rPr>
          <w:color w:val="FF0000"/>
        </w:rPr>
        <w:t xml:space="preserve">” </w:t>
      </w:r>
      <w:r>
        <w:rPr>
          <w:color w:val="FF0000"/>
        </w:rPr>
        <w:t xml:space="preserve">when indicating </w:t>
      </w:r>
      <w:r w:rsidR="00B2598A">
        <w:rPr>
          <w:color w:val="FF0000"/>
        </w:rPr>
        <w:t xml:space="preserve">the </w:t>
      </w:r>
      <w:r>
        <w:rPr>
          <w:color w:val="FF0000"/>
        </w:rPr>
        <w:t>contour lines related to elevation.</w:t>
      </w:r>
    </w:p>
    <w:p w:rsidR="00845443" w:rsidRDefault="00A74D83" w:rsidP="00A74D83">
      <w:pPr>
        <w:jc w:val="both"/>
      </w:pPr>
      <w:r>
        <w:t xml:space="preserve">L109: </w:t>
      </w:r>
      <w:r w:rsidRPr="00A74D83">
        <w:rPr>
          <w:i/>
        </w:rPr>
        <w:t>Supporting Figure S1</w:t>
      </w:r>
      <w:r>
        <w:rPr>
          <w:i/>
        </w:rPr>
        <w:t xml:space="preserve"> </w:t>
      </w:r>
      <w:r>
        <w:t xml:space="preserve">--&gt; </w:t>
      </w:r>
      <w:proofErr w:type="gramStart"/>
      <w:r w:rsidRPr="00A74D83">
        <w:t>Is</w:t>
      </w:r>
      <w:proofErr w:type="gramEnd"/>
      <w:r w:rsidRPr="00A74D83">
        <w:t xml:space="preserve"> therefore possible or not possible to see these pictures from the submitted companion paper? May be, it could be better...</w:t>
      </w:r>
      <w:r w:rsidR="00801D21">
        <w:tab/>
      </w:r>
    </w:p>
    <w:p w:rsidR="00A74D83" w:rsidRDefault="00801D21" w:rsidP="00A74D83">
      <w:pPr>
        <w:jc w:val="both"/>
      </w:pPr>
      <w:r w:rsidRPr="00801D21">
        <w:rPr>
          <w:color w:val="FF0000"/>
        </w:rPr>
        <w:t>Yes, you could download the companion manuscript and its supporting material at this link: https://doi.org/10.5194/egusphere-2025-6539.</w:t>
      </w:r>
      <w:r>
        <w:rPr>
          <w:color w:val="FF0000"/>
        </w:rPr>
        <w:t xml:space="preserve"> This Figure was an illustrative selection from a larger dataset.</w:t>
      </w:r>
    </w:p>
    <w:p w:rsidR="00845443" w:rsidRDefault="00A74D83" w:rsidP="00A74D83">
      <w:pPr>
        <w:jc w:val="both"/>
      </w:pPr>
      <w:r>
        <w:t xml:space="preserve">L114:  </w:t>
      </w:r>
      <w:r w:rsidRPr="00A74D83">
        <w:rPr>
          <w:i/>
        </w:rPr>
        <w:t>Supporting Figure S2</w:t>
      </w:r>
      <w:r w:rsidRPr="00A74D83">
        <w:t xml:space="preserve"> --&gt;</w:t>
      </w:r>
      <w:r>
        <w:t xml:space="preserve"> </w:t>
      </w:r>
      <w:r w:rsidRPr="00A74D83">
        <w:t>Similar comment to that at row 109.</w:t>
      </w:r>
      <w:r w:rsidR="00801D21">
        <w:t xml:space="preserve"> </w:t>
      </w:r>
    </w:p>
    <w:p w:rsidR="00A74D83" w:rsidRDefault="00801D21" w:rsidP="00A74D83">
      <w:pPr>
        <w:jc w:val="both"/>
      </w:pPr>
      <w:proofErr w:type="gramStart"/>
      <w:r>
        <w:rPr>
          <w:color w:val="FF0000"/>
        </w:rPr>
        <w:t>Same as the previous comment</w:t>
      </w:r>
      <w:r w:rsidRPr="00801D21">
        <w:rPr>
          <w:color w:val="FF0000"/>
        </w:rPr>
        <w:t>.</w:t>
      </w:r>
      <w:proofErr w:type="gramEnd"/>
    </w:p>
    <w:p w:rsidR="00845443" w:rsidRDefault="00A74D83" w:rsidP="00CB5F6D">
      <w:pPr>
        <w:jc w:val="both"/>
      </w:pPr>
      <w:r>
        <w:t xml:space="preserve">L142: </w:t>
      </w:r>
      <w:r w:rsidR="00CB5F6D" w:rsidRPr="00CB5F6D">
        <w:rPr>
          <w:i/>
        </w:rPr>
        <w:t>Figure 3a shows that the greatest distances of major explosions are observed between N and ESE, and Figure 3b</w:t>
      </w:r>
      <w:r w:rsidR="00CB5F6D">
        <w:rPr>
          <w:i/>
        </w:rPr>
        <w:t xml:space="preserve"> </w:t>
      </w:r>
      <w:r w:rsidR="00CB5F6D">
        <w:t xml:space="preserve">--&gt; </w:t>
      </w:r>
      <w:proofErr w:type="gramStart"/>
      <w:r w:rsidR="00CB5F6D" w:rsidRPr="00CB5F6D">
        <w:t>Is</w:t>
      </w:r>
      <w:proofErr w:type="gramEnd"/>
      <w:r w:rsidR="00CB5F6D" w:rsidRPr="00CB5F6D">
        <w:t xml:space="preserve"> there any reason or interpretation for that? Did you think about something able to explain that result of the directions clustering? In particular, looking at the pictures it seems that </w:t>
      </w:r>
      <w:proofErr w:type="gramStart"/>
      <w:r w:rsidR="00CB5F6D" w:rsidRPr="00CB5F6D">
        <w:t>ME</w:t>
      </w:r>
      <w:proofErr w:type="gramEnd"/>
      <w:r w:rsidR="00CB5F6D" w:rsidRPr="00CB5F6D">
        <w:t xml:space="preserve"> can affect especially the N-NE sector: why? </w:t>
      </w:r>
      <w:proofErr w:type="gramStart"/>
      <w:r w:rsidR="00CB5F6D">
        <w:t>A</w:t>
      </w:r>
      <w:r w:rsidR="00CB5F6D" w:rsidRPr="00CB5F6D">
        <w:t>ny idea?</w:t>
      </w:r>
      <w:proofErr w:type="gramEnd"/>
      <w:r w:rsidR="00801D21">
        <w:tab/>
      </w:r>
    </w:p>
    <w:p w:rsidR="00A74D83" w:rsidRPr="00083C88" w:rsidRDefault="00083C88" w:rsidP="00CB5F6D">
      <w:pPr>
        <w:jc w:val="both"/>
        <w:rPr>
          <w:color w:val="FF0000"/>
        </w:rPr>
      </w:pPr>
      <w:r w:rsidRPr="00083C88">
        <w:rPr>
          <w:color w:val="FF0000"/>
        </w:rPr>
        <w:t xml:space="preserve">Possible reasons were listed in the </w:t>
      </w:r>
      <w:r w:rsidR="00EF3C81">
        <w:rPr>
          <w:color w:val="FF0000"/>
        </w:rPr>
        <w:t xml:space="preserve">subsequent </w:t>
      </w:r>
      <w:r w:rsidRPr="00083C88">
        <w:rPr>
          <w:color w:val="FF0000"/>
        </w:rPr>
        <w:t>paragraph</w:t>
      </w:r>
      <w:r w:rsidR="00EF3C81">
        <w:rPr>
          <w:color w:val="FF0000"/>
        </w:rPr>
        <w:t xml:space="preserve"> (L148</w:t>
      </w:r>
      <w:r w:rsidR="00B9384D">
        <w:rPr>
          <w:color w:val="FF0000"/>
        </w:rPr>
        <w:t xml:space="preserve"> - L155</w:t>
      </w:r>
      <w:r w:rsidR="0058335B">
        <w:rPr>
          <w:color w:val="FF0000"/>
        </w:rPr>
        <w:t>), and in the Discussion, including the new paragraph below.</w:t>
      </w:r>
      <w:r w:rsidRPr="00083C88">
        <w:rPr>
          <w:color w:val="FF0000"/>
        </w:rPr>
        <w:t xml:space="preserve"> </w:t>
      </w:r>
    </w:p>
    <w:p w:rsidR="00845443" w:rsidRDefault="00CB5F6D" w:rsidP="00CB5F6D">
      <w:pPr>
        <w:jc w:val="both"/>
      </w:pPr>
      <w:r>
        <w:lastRenderedPageBreak/>
        <w:t xml:space="preserve">L148: </w:t>
      </w:r>
      <w:r w:rsidRPr="00CB5F6D">
        <w:rPr>
          <w:i/>
        </w:rPr>
        <w:t xml:space="preserve">A possible reason is that the most frequented trails and inhabited areas are the easiest places to survey in the hours/days after the explosions, and their directions roughly include those of peak probability of major explosions and paroxysms, respectively (see Fig. 1). Nevertheless, physical reasons for these asymmetries are also possible, because the paroxysms involve deeper parts of the conduits and are able to re-shape the craters more greatly and deeply than major explosions, as discussed in the companion study </w:t>
      </w:r>
      <w:proofErr w:type="spellStart"/>
      <w:r w:rsidRPr="00CB5F6D">
        <w:rPr>
          <w:i/>
        </w:rPr>
        <w:t>Bevilacqua</w:t>
      </w:r>
      <w:proofErr w:type="spellEnd"/>
      <w:r w:rsidRPr="00CB5F6D">
        <w:rPr>
          <w:i/>
        </w:rPr>
        <w:t xml:space="preserve"> et al. (submitted). For this reason, in the production of robust and conservative hazard maps it was very important to develop ad hoc methods to mitigate potential recording biases, as described in this study.</w:t>
      </w:r>
      <w:r>
        <w:t xml:space="preserve"> --&gt; Thus, are you more oriented on the first or the second reason? Which one is the most reliable? Are your observations o</w:t>
      </w:r>
      <w:r w:rsidR="00B9384D">
        <w:t xml:space="preserve">r those reported in literature </w:t>
      </w:r>
      <w:r>
        <w:t xml:space="preserve">able to take a direction and a predominant position? Did you consider the scientific literature related in some way to the geometry of the conduits like: </w:t>
      </w:r>
      <w:proofErr w:type="spellStart"/>
      <w:r>
        <w:t>Chouet</w:t>
      </w:r>
      <w:proofErr w:type="spellEnd"/>
      <w:r>
        <w:t xml:space="preserve"> et al. 2008; </w:t>
      </w:r>
      <w:proofErr w:type="spellStart"/>
      <w:r>
        <w:t>Linde</w:t>
      </w:r>
      <w:proofErr w:type="spellEnd"/>
      <w:r>
        <w:t xml:space="preserve"> at al. (2014); </w:t>
      </w:r>
      <w:proofErr w:type="spellStart"/>
      <w:r>
        <w:t>Viccaro</w:t>
      </w:r>
      <w:proofErr w:type="spellEnd"/>
      <w:r>
        <w:t xml:space="preserve"> et al</w:t>
      </w:r>
      <w:r w:rsidR="00B9384D">
        <w:t xml:space="preserve">. (2021); </w:t>
      </w:r>
      <w:proofErr w:type="spellStart"/>
      <w:r w:rsidR="00B9384D">
        <w:t>Civico</w:t>
      </w:r>
      <w:proofErr w:type="spellEnd"/>
      <w:r w:rsidR="00B9384D">
        <w:t xml:space="preserve"> et al. (2024)</w:t>
      </w:r>
      <w:r>
        <w:t xml:space="preserve"> (among the others)?</w:t>
      </w:r>
      <w:r w:rsidR="00B9384D">
        <w:tab/>
      </w:r>
      <w:r w:rsidR="00B9384D">
        <w:tab/>
      </w:r>
    </w:p>
    <w:p w:rsidR="004B7EE2" w:rsidRDefault="009C56B0" w:rsidP="00CB5F6D">
      <w:pPr>
        <w:jc w:val="both"/>
        <w:rPr>
          <w:color w:val="FF0000"/>
        </w:rPr>
      </w:pPr>
      <w:r w:rsidRPr="009C56B0">
        <w:rPr>
          <w:color w:val="FF0000"/>
        </w:rPr>
        <w:t>In our opinion, t</w:t>
      </w:r>
      <w:r w:rsidR="004B7EE2" w:rsidRPr="009C56B0">
        <w:rPr>
          <w:color w:val="FF0000"/>
        </w:rPr>
        <w:t xml:space="preserve">he </w:t>
      </w:r>
      <w:r>
        <w:rPr>
          <w:color w:val="FF0000"/>
        </w:rPr>
        <w:t>preferential</w:t>
      </w:r>
      <w:r w:rsidR="004B7EE2" w:rsidRPr="004B7EE2">
        <w:rPr>
          <w:color w:val="FF0000"/>
        </w:rPr>
        <w:t xml:space="preserve"> </w:t>
      </w:r>
      <w:r>
        <w:rPr>
          <w:color w:val="FF0000"/>
        </w:rPr>
        <w:t xml:space="preserve">hypothesized reason </w:t>
      </w:r>
      <w:r w:rsidR="004B7EE2" w:rsidRPr="004B7EE2">
        <w:rPr>
          <w:color w:val="FF0000"/>
        </w:rPr>
        <w:t>between the two</w:t>
      </w:r>
      <w:r w:rsidR="004B7EE2">
        <w:rPr>
          <w:color w:val="FF0000"/>
        </w:rPr>
        <w:t xml:space="preserve"> changes case by case, and depends on the different quality of the observations. </w:t>
      </w:r>
      <w:r>
        <w:rPr>
          <w:color w:val="FF0000"/>
        </w:rPr>
        <w:t>A</w:t>
      </w:r>
      <w:r w:rsidR="00B2598A">
        <w:rPr>
          <w:color w:val="FF0000"/>
        </w:rPr>
        <w:t xml:space="preserve"> ‘native’ asymmetry</w:t>
      </w:r>
      <w:r w:rsidR="004B7EE2">
        <w:rPr>
          <w:color w:val="FF0000"/>
        </w:rPr>
        <w:t xml:space="preserve"> </w:t>
      </w:r>
      <w:r w:rsidR="00337F27">
        <w:rPr>
          <w:color w:val="FF0000"/>
        </w:rPr>
        <w:t>plausibly exists beyond possible</w:t>
      </w:r>
      <w:r w:rsidR="004B7EE2">
        <w:rPr>
          <w:color w:val="FF0000"/>
        </w:rPr>
        <w:t xml:space="preserve"> observation bias</w:t>
      </w:r>
      <w:r w:rsidR="00337F27">
        <w:rPr>
          <w:color w:val="FF0000"/>
        </w:rPr>
        <w:t>es</w:t>
      </w:r>
      <w:r w:rsidR="004B7EE2">
        <w:rPr>
          <w:color w:val="FF0000"/>
        </w:rPr>
        <w:t xml:space="preserve">. We added a new sentence </w:t>
      </w:r>
      <w:r w:rsidR="00E17148">
        <w:rPr>
          <w:color w:val="FF0000"/>
        </w:rPr>
        <w:t xml:space="preserve">in the Discussion (section 5.1) </w:t>
      </w:r>
      <w:r w:rsidR="004B7EE2">
        <w:rPr>
          <w:color w:val="FF0000"/>
        </w:rPr>
        <w:t>to reference the main articles that describe the complex geometry of the</w:t>
      </w:r>
      <w:r>
        <w:rPr>
          <w:color w:val="FF0000"/>
        </w:rPr>
        <w:t xml:space="preserve"> shallow</w:t>
      </w:r>
      <w:r w:rsidR="004B7EE2">
        <w:rPr>
          <w:color w:val="FF0000"/>
        </w:rPr>
        <w:t xml:space="preserve"> conduits: </w:t>
      </w:r>
    </w:p>
    <w:p w:rsidR="00586AFB" w:rsidRDefault="004B7EE2" w:rsidP="00337F27">
      <w:pPr>
        <w:jc w:val="both"/>
        <w:rPr>
          <w:color w:val="FF0000"/>
        </w:rPr>
      </w:pPr>
      <w:r>
        <w:rPr>
          <w:color w:val="FF0000"/>
        </w:rPr>
        <w:t>“</w:t>
      </w:r>
      <w:r w:rsidR="00E17148" w:rsidRPr="00E17148">
        <w:rPr>
          <w:i/>
          <w:color w:val="FF0000"/>
          <w:lang w:val="en-GB"/>
        </w:rPr>
        <w:t xml:space="preserve">In particular, the asymmetric ballistic patterns may derive from the </w:t>
      </w:r>
      <w:r w:rsidR="00E17148" w:rsidRPr="00E17148">
        <w:rPr>
          <w:i/>
          <w:color w:val="FF0000"/>
        </w:rPr>
        <w:t xml:space="preserve">two distinct dyke-like conduit structures identified in </w:t>
      </w:r>
      <w:proofErr w:type="spellStart"/>
      <w:r w:rsidR="00E17148" w:rsidRPr="00E17148">
        <w:rPr>
          <w:i/>
          <w:color w:val="FF0000"/>
        </w:rPr>
        <w:t>Chouet</w:t>
      </w:r>
      <w:proofErr w:type="spellEnd"/>
      <w:r w:rsidR="00E17148" w:rsidRPr="00E17148">
        <w:rPr>
          <w:i/>
          <w:color w:val="FF0000"/>
        </w:rPr>
        <w:t xml:space="preserve"> et al. (2008) by Very-Long Period seismic data inversion, each representative of explosive eruptions from the different vents located near the northern and southern perimeters of the Crater Terrace. The existence of asymmetric dyke intrusions related to the two main faults crossing the island (N41 and N68; </w:t>
      </w:r>
      <w:proofErr w:type="spellStart"/>
      <w:r w:rsidR="00E17148" w:rsidRPr="00E17148">
        <w:rPr>
          <w:i/>
          <w:color w:val="FF0000"/>
        </w:rPr>
        <w:t>Finizola</w:t>
      </w:r>
      <w:proofErr w:type="spellEnd"/>
      <w:r w:rsidR="00E17148" w:rsidRPr="00E17148">
        <w:rPr>
          <w:i/>
          <w:color w:val="FF0000"/>
        </w:rPr>
        <w:t xml:space="preserve"> et al., 2002; </w:t>
      </w:r>
      <w:proofErr w:type="spellStart"/>
      <w:r w:rsidR="00E17148" w:rsidRPr="00E17148">
        <w:rPr>
          <w:i/>
          <w:color w:val="FF0000"/>
        </w:rPr>
        <w:t>Tibaldi</w:t>
      </w:r>
      <w:proofErr w:type="spellEnd"/>
      <w:r w:rsidR="00E17148" w:rsidRPr="00E17148">
        <w:rPr>
          <w:i/>
          <w:color w:val="FF0000"/>
        </w:rPr>
        <w:t xml:space="preserve"> et</w:t>
      </w:r>
      <w:r w:rsidR="00845443">
        <w:rPr>
          <w:i/>
          <w:color w:val="FF0000"/>
        </w:rPr>
        <w:t xml:space="preserve"> al., 2009) and the presence </w:t>
      </w:r>
      <w:r w:rsidR="00E17148" w:rsidRPr="00E17148">
        <w:rPr>
          <w:i/>
          <w:color w:val="FF0000"/>
        </w:rPr>
        <w:t xml:space="preserve">of a low-density anomaly underneath the SE-side of the Crater Terrace, were also hypothesized by modeling gravimetric and geodetic data, and by independent </w:t>
      </w:r>
      <w:proofErr w:type="spellStart"/>
      <w:r w:rsidR="00E17148" w:rsidRPr="00E17148">
        <w:rPr>
          <w:i/>
          <w:color w:val="FF0000"/>
        </w:rPr>
        <w:t>muographic</w:t>
      </w:r>
      <w:proofErr w:type="spellEnd"/>
      <w:r w:rsidR="00E17148" w:rsidRPr="00E17148">
        <w:rPr>
          <w:i/>
          <w:color w:val="FF0000"/>
        </w:rPr>
        <w:t xml:space="preserve"> imaging (</w:t>
      </w:r>
      <w:proofErr w:type="spellStart"/>
      <w:r w:rsidR="00E17148" w:rsidRPr="00E17148">
        <w:rPr>
          <w:i/>
          <w:color w:val="FF0000"/>
        </w:rPr>
        <w:t>Linde</w:t>
      </w:r>
      <w:proofErr w:type="spellEnd"/>
      <w:r w:rsidR="00E17148" w:rsidRPr="00E17148">
        <w:rPr>
          <w:i/>
          <w:color w:val="FF0000"/>
        </w:rPr>
        <w:t xml:space="preserve"> et a</w:t>
      </w:r>
      <w:r w:rsidR="00E17148">
        <w:rPr>
          <w:i/>
          <w:color w:val="FF0000"/>
        </w:rPr>
        <w:t xml:space="preserve">l., 2014; </w:t>
      </w:r>
      <w:proofErr w:type="spellStart"/>
      <w:r w:rsidR="00E17148">
        <w:rPr>
          <w:i/>
          <w:color w:val="FF0000"/>
        </w:rPr>
        <w:t>Tioukov</w:t>
      </w:r>
      <w:proofErr w:type="spellEnd"/>
      <w:r w:rsidR="00E17148">
        <w:rPr>
          <w:i/>
          <w:color w:val="FF0000"/>
        </w:rPr>
        <w:t xml:space="preserve"> et al., 2019)</w:t>
      </w:r>
      <w:r w:rsidR="005279BF" w:rsidRPr="005279BF">
        <w:rPr>
          <w:i/>
          <w:color w:val="FF0000"/>
        </w:rPr>
        <w:t>.</w:t>
      </w:r>
      <w:r w:rsidR="00F253DB">
        <w:rPr>
          <w:color w:val="FF0000"/>
        </w:rPr>
        <w:t xml:space="preserve">” </w:t>
      </w:r>
    </w:p>
    <w:p w:rsidR="00845443" w:rsidRDefault="00CB5F6D" w:rsidP="00B2598A">
      <w:pPr>
        <w:jc w:val="both"/>
      </w:pPr>
      <w:r>
        <w:t>L237</w:t>
      </w:r>
      <w:r w:rsidRPr="00CB5F6D">
        <w:t>:</w:t>
      </w:r>
      <w:r>
        <w:t xml:space="preserve"> </w:t>
      </w:r>
      <w:r>
        <w:rPr>
          <w:i/>
        </w:rPr>
        <w:t>all the uncertain major explosions</w:t>
      </w:r>
      <w:r>
        <w:t xml:space="preserve"> --&gt;</w:t>
      </w:r>
      <w:r w:rsidRPr="00CB5F6D">
        <w:t xml:space="preserve"> How the major explosions have been considered certain or uncertain?</w:t>
      </w:r>
      <w:r w:rsidR="00702F01">
        <w:tab/>
      </w:r>
    </w:p>
    <w:p w:rsidR="00702F01" w:rsidRPr="00702F01" w:rsidRDefault="00702F01" w:rsidP="00B2598A">
      <w:pPr>
        <w:jc w:val="both"/>
        <w:rPr>
          <w:color w:val="FF0000"/>
        </w:rPr>
      </w:pPr>
      <w:r w:rsidRPr="00702F01">
        <w:rPr>
          <w:color w:val="FF0000"/>
        </w:rPr>
        <w:t xml:space="preserve">We clarified the definition </w:t>
      </w:r>
      <w:r>
        <w:rPr>
          <w:color w:val="FF0000"/>
        </w:rPr>
        <w:t xml:space="preserve">of uncertain major explosions </w:t>
      </w:r>
      <w:r w:rsidRPr="00702F01">
        <w:rPr>
          <w:color w:val="FF0000"/>
        </w:rPr>
        <w:t xml:space="preserve">by adding the following sentence: </w:t>
      </w:r>
    </w:p>
    <w:p w:rsidR="00CB5F6D" w:rsidRPr="00702F01" w:rsidRDefault="00702F01" w:rsidP="00B2598A">
      <w:pPr>
        <w:jc w:val="both"/>
        <w:rPr>
          <w:color w:val="FF0000"/>
        </w:rPr>
      </w:pPr>
      <w:r w:rsidRPr="00702F01">
        <w:rPr>
          <w:color w:val="FF0000"/>
        </w:rPr>
        <w:t>“</w:t>
      </w:r>
      <w:r w:rsidRPr="00702F01">
        <w:rPr>
          <w:i/>
          <w:color w:val="FF0000"/>
        </w:rPr>
        <w:t xml:space="preserve">These estimates have both been made after excluding all the uncertain major explosions, i.e., major explosions insufficiently described in terms of their ballistic distribution, which could have been also an expression of </w:t>
      </w:r>
      <w:r>
        <w:rPr>
          <w:i/>
          <w:color w:val="FF0000"/>
        </w:rPr>
        <w:t xml:space="preserve">relatively intense </w:t>
      </w:r>
      <w:r w:rsidRPr="00702F01">
        <w:rPr>
          <w:i/>
          <w:color w:val="FF0000"/>
        </w:rPr>
        <w:t>ordinary activity. Including uncertain major explosions would have decreased the paroxysm percentage of ca. 1/3.”</w:t>
      </w:r>
    </w:p>
    <w:p w:rsidR="00845443" w:rsidRDefault="00CB5F6D" w:rsidP="00B2598A">
      <w:pPr>
        <w:jc w:val="both"/>
      </w:pPr>
      <w:r>
        <w:t xml:space="preserve">L289: </w:t>
      </w:r>
      <w:proofErr w:type="gramStart"/>
      <w:r>
        <w:rPr>
          <w:i/>
        </w:rPr>
        <w:t>relief map</w:t>
      </w:r>
      <w:r>
        <w:t xml:space="preserve"> --</w:t>
      </w:r>
      <w:proofErr w:type="gramEnd"/>
      <w:r>
        <w:t>&gt;</w:t>
      </w:r>
      <w:r w:rsidR="001F1399">
        <w:t xml:space="preserve"> </w:t>
      </w:r>
      <w:r w:rsidR="001F1399" w:rsidRPr="001F1399">
        <w:t>Here and in the other pictures/Figures that use it, please report from where or who is extracted this shaded relief map.</w:t>
      </w:r>
      <w:r w:rsidR="00104E7B">
        <w:tab/>
      </w:r>
    </w:p>
    <w:p w:rsidR="001F1399" w:rsidRPr="00104E7B" w:rsidRDefault="00104E7B" w:rsidP="00B2598A">
      <w:pPr>
        <w:jc w:val="both"/>
        <w:rPr>
          <w:color w:val="FF0000"/>
        </w:rPr>
      </w:pPr>
      <w:r w:rsidRPr="00104E7B">
        <w:rPr>
          <w:color w:val="FF0000"/>
        </w:rPr>
        <w:t xml:space="preserve">We created the vertical shaded relief by elaborating the </w:t>
      </w:r>
      <w:r>
        <w:rPr>
          <w:color w:val="FF0000"/>
        </w:rPr>
        <w:t xml:space="preserve">2012 </w:t>
      </w:r>
      <w:proofErr w:type="spellStart"/>
      <w:r>
        <w:rPr>
          <w:color w:val="FF0000"/>
        </w:rPr>
        <w:t>LiDAR</w:t>
      </w:r>
      <w:proofErr w:type="spellEnd"/>
      <w:r>
        <w:rPr>
          <w:color w:val="FF0000"/>
        </w:rPr>
        <w:t xml:space="preserve"> DEM with </w:t>
      </w:r>
      <w:proofErr w:type="gramStart"/>
      <w:r>
        <w:rPr>
          <w:color w:val="FF0000"/>
        </w:rPr>
        <w:t>a GIS</w:t>
      </w:r>
      <w:proofErr w:type="gramEnd"/>
      <w:r>
        <w:rPr>
          <w:color w:val="FF0000"/>
        </w:rPr>
        <w:t xml:space="preserve"> software. We specified</w:t>
      </w:r>
      <w:r w:rsidRPr="00104E7B">
        <w:rPr>
          <w:color w:val="FF0000"/>
        </w:rPr>
        <w:t xml:space="preserve"> the source of</w:t>
      </w:r>
      <w:r>
        <w:rPr>
          <w:color w:val="FF0000"/>
        </w:rPr>
        <w:t xml:space="preserve"> </w:t>
      </w:r>
      <w:proofErr w:type="spellStart"/>
      <w:r>
        <w:rPr>
          <w:color w:val="FF0000"/>
        </w:rPr>
        <w:t>LiDAR</w:t>
      </w:r>
      <w:proofErr w:type="spellEnd"/>
      <w:r w:rsidRPr="00104E7B">
        <w:rPr>
          <w:color w:val="FF0000"/>
        </w:rPr>
        <w:t xml:space="preserve"> data</w:t>
      </w:r>
      <w:r>
        <w:rPr>
          <w:color w:val="FF0000"/>
        </w:rPr>
        <w:t xml:space="preserve"> and a paper that re-processed it</w:t>
      </w:r>
      <w:r w:rsidRPr="00104E7B">
        <w:rPr>
          <w:color w:val="FF0000"/>
        </w:rPr>
        <w:t xml:space="preserve">: </w:t>
      </w:r>
    </w:p>
    <w:p w:rsidR="00104E7B" w:rsidRPr="00104E7B" w:rsidRDefault="00104E7B" w:rsidP="00B2598A">
      <w:pPr>
        <w:jc w:val="both"/>
        <w:rPr>
          <w:i/>
          <w:color w:val="FF0000"/>
        </w:rPr>
      </w:pPr>
      <w:r w:rsidRPr="00104E7B">
        <w:rPr>
          <w:i/>
          <w:color w:val="FF0000"/>
        </w:rPr>
        <w:lastRenderedPageBreak/>
        <w:t xml:space="preserve">“In the background is a vertical shaded relief map from the 2012 </w:t>
      </w:r>
      <w:proofErr w:type="spellStart"/>
      <w:r w:rsidRPr="00104E7B">
        <w:rPr>
          <w:i/>
          <w:color w:val="FF0000"/>
        </w:rPr>
        <w:t>LiDAR</w:t>
      </w:r>
      <w:proofErr w:type="spellEnd"/>
      <w:r w:rsidRPr="00104E7B">
        <w:rPr>
          <w:i/>
          <w:color w:val="FF0000"/>
        </w:rPr>
        <w:t xml:space="preserve"> data (MASE, 2013; Di </w:t>
      </w:r>
      <w:proofErr w:type="spellStart"/>
      <w:r w:rsidRPr="00104E7B">
        <w:rPr>
          <w:i/>
          <w:color w:val="FF0000"/>
        </w:rPr>
        <w:t>Traglia</w:t>
      </w:r>
      <w:proofErr w:type="spellEnd"/>
      <w:r w:rsidRPr="00104E7B">
        <w:rPr>
          <w:i/>
          <w:color w:val="FF0000"/>
        </w:rPr>
        <w:t xml:space="preserve"> et al., 2020).”</w:t>
      </w:r>
    </w:p>
    <w:p w:rsidR="00845443" w:rsidRDefault="001F1399" w:rsidP="00B2598A">
      <w:pPr>
        <w:jc w:val="both"/>
      </w:pPr>
      <w:r>
        <w:t xml:space="preserve">L445: </w:t>
      </w:r>
      <w:r w:rsidRPr="001F1399">
        <w:rPr>
          <w:i/>
        </w:rPr>
        <w:t>Figure 11</w:t>
      </w:r>
      <w:r>
        <w:t xml:space="preserve"> --&gt; </w:t>
      </w:r>
      <w:r w:rsidRPr="001F1399">
        <w:t>Although explained in the caption, I would repeat also here "After 15 days" and in Figure (d) After 3 months.</w:t>
      </w:r>
      <w:r w:rsidR="00C75756">
        <w:tab/>
      </w:r>
    </w:p>
    <w:p w:rsidR="001F1399" w:rsidRDefault="00661941" w:rsidP="00B2598A">
      <w:pPr>
        <w:jc w:val="both"/>
      </w:pPr>
      <w:proofErr w:type="gramStart"/>
      <w:r w:rsidRPr="00661941">
        <w:rPr>
          <w:color w:val="FF0000"/>
        </w:rPr>
        <w:t>Done.</w:t>
      </w:r>
      <w:proofErr w:type="gramEnd"/>
      <w:r w:rsidRPr="00661941">
        <w:rPr>
          <w:color w:val="FF0000"/>
        </w:rPr>
        <w:t xml:space="preserve"> </w:t>
      </w:r>
      <w:r w:rsidR="00C75756">
        <w:rPr>
          <w:color w:val="FF0000"/>
        </w:rPr>
        <w:t>We also modified the label “</w:t>
      </w:r>
      <w:r w:rsidR="00C75756" w:rsidRPr="00C75756">
        <w:rPr>
          <w:i/>
          <w:color w:val="FF0000"/>
        </w:rPr>
        <w:t>climbing trails</w:t>
      </w:r>
      <w:r w:rsidR="00C75756">
        <w:rPr>
          <w:color w:val="FF0000"/>
        </w:rPr>
        <w:t>” to “</w:t>
      </w:r>
      <w:r w:rsidR="00C75756" w:rsidRPr="00C75756">
        <w:rPr>
          <w:i/>
          <w:color w:val="FF0000"/>
        </w:rPr>
        <w:t>hiking trails</w:t>
      </w:r>
      <w:r w:rsidR="00C75756">
        <w:rPr>
          <w:color w:val="FF0000"/>
        </w:rPr>
        <w:t>”</w:t>
      </w:r>
      <w:r w:rsidR="003404AF">
        <w:rPr>
          <w:color w:val="FF0000"/>
        </w:rPr>
        <w:t xml:space="preserve"> in all figures</w:t>
      </w:r>
      <w:r w:rsidR="00C75756">
        <w:rPr>
          <w:color w:val="FF0000"/>
        </w:rPr>
        <w:t>.</w:t>
      </w:r>
    </w:p>
    <w:p w:rsidR="00845443" w:rsidRDefault="001F1399" w:rsidP="0015536D">
      <w:pPr>
        <w:jc w:val="both"/>
      </w:pPr>
      <w:r>
        <w:t xml:space="preserve">L570: </w:t>
      </w:r>
      <w:r w:rsidRPr="001F1399">
        <w:rPr>
          <w:i/>
        </w:rPr>
        <w:t xml:space="preserve">For paroxysms, all the contours are more extended towards NE and mostly towards WSW, with the 35% contours enclosing regions at 300 m </w:t>
      </w:r>
      <w:proofErr w:type="spellStart"/>
      <w:r w:rsidRPr="001F1399">
        <w:rPr>
          <w:i/>
        </w:rPr>
        <w:t>a.s.l</w:t>
      </w:r>
      <w:proofErr w:type="spellEnd"/>
      <w:r w:rsidRPr="001F1399">
        <w:rPr>
          <w:i/>
        </w:rPr>
        <w:t xml:space="preserve">. in both directions, on the slopes above </w:t>
      </w:r>
      <w:proofErr w:type="spellStart"/>
      <w:r w:rsidRPr="001F1399">
        <w:rPr>
          <w:i/>
        </w:rPr>
        <w:t>Ginostra</w:t>
      </w:r>
      <w:proofErr w:type="spellEnd"/>
      <w:r w:rsidRPr="001F1399">
        <w:rPr>
          <w:i/>
        </w:rPr>
        <w:t xml:space="preserve"> and Stromboli villages, and about 20% probability of affecting the entire village of </w:t>
      </w:r>
      <w:proofErr w:type="spellStart"/>
      <w:r w:rsidRPr="001F1399">
        <w:rPr>
          <w:i/>
        </w:rPr>
        <w:t>Ginostra</w:t>
      </w:r>
      <w:proofErr w:type="spellEnd"/>
      <w:r w:rsidRPr="001F1399">
        <w:rPr>
          <w:i/>
        </w:rPr>
        <w:t>.</w:t>
      </w:r>
      <w:r>
        <w:t xml:space="preserve"> --&gt; </w:t>
      </w:r>
      <w:r w:rsidRPr="001F1399">
        <w:t xml:space="preserve">It should be stressed here that the (entire) </w:t>
      </w:r>
      <w:proofErr w:type="spellStart"/>
      <w:r w:rsidRPr="001F1399">
        <w:t>Ginostra</w:t>
      </w:r>
      <w:proofErr w:type="spellEnd"/>
      <w:r w:rsidRPr="001F1399">
        <w:t xml:space="preserve"> village is particularly vulnerable</w:t>
      </w:r>
      <w:r>
        <w:t>.</w:t>
      </w:r>
      <w:r w:rsidR="000543D8">
        <w:tab/>
      </w:r>
      <w:r w:rsidR="000543D8">
        <w:tab/>
      </w:r>
    </w:p>
    <w:p w:rsidR="0015536D" w:rsidRPr="000543D8" w:rsidRDefault="0015536D" w:rsidP="0015536D">
      <w:pPr>
        <w:jc w:val="both"/>
        <w:rPr>
          <w:color w:val="FF0000"/>
        </w:rPr>
      </w:pPr>
      <w:r w:rsidRPr="0015536D">
        <w:rPr>
          <w:color w:val="FF0000"/>
        </w:rPr>
        <w:t xml:space="preserve">OK. </w:t>
      </w:r>
      <w:r w:rsidR="00661941">
        <w:rPr>
          <w:color w:val="FF0000"/>
        </w:rPr>
        <w:t>Please s</w:t>
      </w:r>
      <w:r w:rsidRPr="0015536D">
        <w:rPr>
          <w:color w:val="FF0000"/>
        </w:rPr>
        <w:t xml:space="preserve">ee </w:t>
      </w:r>
      <w:r>
        <w:rPr>
          <w:color w:val="FF0000"/>
        </w:rPr>
        <w:t xml:space="preserve">our </w:t>
      </w:r>
      <w:r w:rsidRPr="0015536D">
        <w:rPr>
          <w:color w:val="FF0000"/>
        </w:rPr>
        <w:t>response in the review report</w:t>
      </w:r>
      <w:r>
        <w:rPr>
          <w:color w:val="FF0000"/>
        </w:rPr>
        <w:t>, final point 1</w:t>
      </w:r>
      <w:r w:rsidRPr="0015536D">
        <w:rPr>
          <w:color w:val="FF0000"/>
        </w:rPr>
        <w:t>.</w:t>
      </w:r>
    </w:p>
    <w:p w:rsidR="00845443" w:rsidRDefault="006A6D47" w:rsidP="00B2598A">
      <w:pPr>
        <w:jc w:val="both"/>
      </w:pPr>
      <w:r>
        <w:t xml:space="preserve">L634: </w:t>
      </w:r>
      <w:r>
        <w:rPr>
          <w:i/>
        </w:rPr>
        <w:t>References</w:t>
      </w:r>
      <w:r>
        <w:t xml:space="preserve"> --&gt; </w:t>
      </w:r>
      <w:proofErr w:type="gramStart"/>
      <w:r w:rsidRPr="006A6D47">
        <w:t>If</w:t>
      </w:r>
      <w:proofErr w:type="gramEnd"/>
      <w:r w:rsidRPr="006A6D47">
        <w:t xml:space="preserve"> some of the notes, comments and suggestions will be considered, an updating of the Reference List will be necessary.</w:t>
      </w:r>
      <w:r w:rsidR="00B647DF">
        <w:t xml:space="preserve"> </w:t>
      </w:r>
    </w:p>
    <w:p w:rsidR="001F1399" w:rsidRDefault="00B647DF" w:rsidP="00B2598A">
      <w:pPr>
        <w:jc w:val="both"/>
      </w:pPr>
      <w:r w:rsidRPr="00B647DF">
        <w:rPr>
          <w:color w:val="FF0000"/>
        </w:rPr>
        <w:t>Yes, we updated the list</w:t>
      </w:r>
      <w:r>
        <w:rPr>
          <w:color w:val="FF0000"/>
        </w:rPr>
        <w:t xml:space="preserve"> accordingly</w:t>
      </w:r>
      <w:r w:rsidRPr="00B647DF">
        <w:rPr>
          <w:color w:val="FF0000"/>
        </w:rPr>
        <w:t>.</w:t>
      </w:r>
    </w:p>
    <w:p w:rsidR="00845443" w:rsidRDefault="006A6D47" w:rsidP="000543D8">
      <w:pPr>
        <w:jc w:val="both"/>
      </w:pPr>
      <w:r>
        <w:t xml:space="preserve">L682: </w:t>
      </w:r>
      <w:proofErr w:type="spellStart"/>
      <w:r w:rsidRPr="006A6D47">
        <w:rPr>
          <w:i/>
        </w:rPr>
        <w:t>Bevilacqua</w:t>
      </w:r>
      <w:proofErr w:type="spellEnd"/>
      <w:r w:rsidRPr="006A6D47">
        <w:rPr>
          <w:i/>
        </w:rPr>
        <w:t xml:space="preserve">, A., Landi, P., Del Carlo, P., </w:t>
      </w:r>
      <w:proofErr w:type="spellStart"/>
      <w:r w:rsidRPr="006A6D47">
        <w:rPr>
          <w:i/>
        </w:rPr>
        <w:t>Neri</w:t>
      </w:r>
      <w:proofErr w:type="spellEnd"/>
      <w:r w:rsidRPr="006A6D47">
        <w:rPr>
          <w:i/>
        </w:rPr>
        <w:t xml:space="preserve">, A., Pompilio, M. (submitted), Ballistic projectile hazard of major explosions and paroxysms at Stromboli (Italy) with uncertainty quantification: 1. Mapping method and data analysis, </w:t>
      </w:r>
      <w:proofErr w:type="spellStart"/>
      <w:r w:rsidRPr="006A6D47">
        <w:rPr>
          <w:i/>
        </w:rPr>
        <w:t>doi</w:t>
      </w:r>
      <w:proofErr w:type="spellEnd"/>
      <w:r w:rsidRPr="006A6D47">
        <w:rPr>
          <w:i/>
        </w:rPr>
        <w:t>: 10.5194/egusphere-2025-6539.</w:t>
      </w:r>
      <w:r>
        <w:rPr>
          <w:i/>
        </w:rPr>
        <w:t xml:space="preserve"> </w:t>
      </w:r>
      <w:r>
        <w:t xml:space="preserve">--&gt; </w:t>
      </w:r>
      <w:r w:rsidRPr="006A6D47">
        <w:t>Is this companion paper available for the reviewer? May be now it's too late to ask it, but it would have been useful to get both papers in the reviewing process...</w:t>
      </w:r>
      <w:r w:rsidR="000543D8">
        <w:tab/>
      </w:r>
    </w:p>
    <w:p w:rsidR="006A6D47" w:rsidRPr="006A6D47" w:rsidRDefault="000543D8" w:rsidP="000543D8">
      <w:pPr>
        <w:jc w:val="both"/>
      </w:pPr>
      <w:r w:rsidRPr="000543D8">
        <w:rPr>
          <w:color w:val="FF0000"/>
        </w:rPr>
        <w:t xml:space="preserve">Yes, it was available, and you could </w:t>
      </w:r>
      <w:r w:rsidR="00845443">
        <w:rPr>
          <w:color w:val="FF0000"/>
        </w:rPr>
        <w:t xml:space="preserve">have </w:t>
      </w:r>
      <w:r w:rsidRPr="000543D8">
        <w:rPr>
          <w:color w:val="FF0000"/>
        </w:rPr>
        <w:t>download</w:t>
      </w:r>
      <w:r w:rsidR="00845443">
        <w:rPr>
          <w:color w:val="FF0000"/>
        </w:rPr>
        <w:t>ed</w:t>
      </w:r>
      <w:r w:rsidRPr="000543D8">
        <w:rPr>
          <w:color w:val="FF0000"/>
        </w:rPr>
        <w:t xml:space="preserve"> the preprint of the companion manuscript and its supporting material at this link: https://doi.org/10.5194/egusphere-2025-6539</w:t>
      </w:r>
      <w:r w:rsidRPr="000543D8">
        <w:t>.</w:t>
      </w:r>
    </w:p>
    <w:p w:rsidR="001F50D3" w:rsidRPr="00CB5F6D" w:rsidRDefault="001F50D3" w:rsidP="001F1399"/>
    <w:p w:rsidR="00B806FF" w:rsidRDefault="00B806FF">
      <w:pPr>
        <w:rPr>
          <w:b/>
        </w:rPr>
      </w:pPr>
      <w:r>
        <w:rPr>
          <w:b/>
        </w:rPr>
        <w:br w:type="page"/>
      </w:r>
    </w:p>
    <w:p w:rsidR="00695890" w:rsidRPr="00695890" w:rsidRDefault="00695890" w:rsidP="00695890">
      <w:pPr>
        <w:rPr>
          <w:b/>
        </w:rPr>
      </w:pPr>
      <w:r>
        <w:rPr>
          <w:b/>
        </w:rPr>
        <w:lastRenderedPageBreak/>
        <w:t>Reviewer#2</w:t>
      </w:r>
    </w:p>
    <w:p w:rsidR="00845443" w:rsidRDefault="00695890" w:rsidP="00F1528B">
      <w:pPr>
        <w:jc w:val="both"/>
      </w:pPr>
      <w:r w:rsidRPr="00695890">
        <w:t xml:space="preserve">This contribution represents significant work, firmly rooted in the geologic record, on the probability of ballistic impact in areas surrounding Stromboli volcano. </w:t>
      </w:r>
    </w:p>
    <w:p w:rsidR="00F1528B" w:rsidRPr="00F1528B" w:rsidRDefault="00F1528B" w:rsidP="00F1528B">
      <w:pPr>
        <w:jc w:val="both"/>
        <w:rPr>
          <w:color w:val="FF0000"/>
        </w:rPr>
      </w:pPr>
      <w:r>
        <w:rPr>
          <w:color w:val="FF0000"/>
        </w:rPr>
        <w:t>Thank you.</w:t>
      </w:r>
    </w:p>
    <w:p w:rsidR="00845443" w:rsidRDefault="00695890" w:rsidP="00F1528B">
      <w:pPr>
        <w:jc w:val="both"/>
      </w:pPr>
      <w:r w:rsidRPr="00695890">
        <w:t xml:space="preserve">The base data on which this paper relies is reported in a companion paper making it difficult to determine the robustness of the overall modeling. </w:t>
      </w:r>
    </w:p>
    <w:p w:rsidR="00F1528B" w:rsidRDefault="00F1528B" w:rsidP="00F1528B">
      <w:pPr>
        <w:jc w:val="both"/>
      </w:pPr>
      <w:r w:rsidRPr="00F1528B">
        <w:rPr>
          <w:color w:val="FF0000"/>
        </w:rPr>
        <w:t xml:space="preserve">The preprint of the companion manuscript and its supporting material </w:t>
      </w:r>
      <w:r w:rsidR="00335B93">
        <w:rPr>
          <w:color w:val="FF0000"/>
        </w:rPr>
        <w:t>i</w:t>
      </w:r>
      <w:r w:rsidRPr="00F1528B">
        <w:rPr>
          <w:color w:val="FF0000"/>
        </w:rPr>
        <w:t>s available at this link: https://doi.org/10.5194/egusphere-2025-6539.</w:t>
      </w:r>
    </w:p>
    <w:p w:rsidR="00845443" w:rsidRDefault="00695890" w:rsidP="00F1528B">
      <w:pPr>
        <w:jc w:val="both"/>
      </w:pPr>
      <w:r w:rsidRPr="00695890">
        <w:t>The modeling represents a statistical analysis of past data and does not utilize physical models of eruptions in any way.</w:t>
      </w:r>
      <w:r w:rsidR="00845443">
        <w:t xml:space="preserve"> </w:t>
      </w:r>
      <w:r w:rsidRPr="00695890">
        <w:t>The approach represents a valuable contribution to ballistic hazard assessment at Stromboli, as well as, potentially, other volcanoes.</w:t>
      </w:r>
      <w:r w:rsidR="00F1528B">
        <w:t xml:space="preserve"> </w:t>
      </w:r>
    </w:p>
    <w:p w:rsidR="00695890" w:rsidRPr="00695890" w:rsidRDefault="00F1528B" w:rsidP="00F1528B">
      <w:pPr>
        <w:jc w:val="both"/>
      </w:pPr>
      <w:r w:rsidRPr="00F1528B">
        <w:rPr>
          <w:color w:val="FF0000"/>
        </w:rPr>
        <w:t>Thank you.</w:t>
      </w:r>
    </w:p>
    <w:p w:rsidR="00845443" w:rsidRDefault="00695890" w:rsidP="00F1528B">
      <w:pPr>
        <w:jc w:val="both"/>
      </w:pPr>
      <w:r w:rsidRPr="00695890">
        <w:t xml:space="preserve">While an incorporation of uncertainty is highlighted as </w:t>
      </w:r>
      <w:proofErr w:type="gramStart"/>
      <w:r w:rsidRPr="00695890">
        <w:t>a strength</w:t>
      </w:r>
      <w:proofErr w:type="gramEnd"/>
      <w:r w:rsidRPr="00695890">
        <w:t xml:space="preserve"> of this paper, I couldn’t find any discussion of sources of uncertainty or of how uncertainty was determined. I believe this may be laid out in the companion paper and suggest including /more strongly highlighting this information in the present work as well.</w:t>
      </w:r>
      <w:r w:rsidR="00F1528B">
        <w:t xml:space="preserve"> </w:t>
      </w:r>
    </w:p>
    <w:p w:rsidR="00695890" w:rsidRPr="00695890" w:rsidRDefault="00F1528B" w:rsidP="00F1528B">
      <w:pPr>
        <w:jc w:val="both"/>
      </w:pPr>
      <w:r w:rsidRPr="00F1528B">
        <w:rPr>
          <w:color w:val="FF0000"/>
        </w:rPr>
        <w:t xml:space="preserve">Yes, the sources of data uncertainty are fully introduced in the companion manuscript, but recalled in the current manuscript, which is </w:t>
      </w:r>
      <w:r>
        <w:rPr>
          <w:color w:val="FF0000"/>
        </w:rPr>
        <w:t>focused on</w:t>
      </w:r>
      <w:r w:rsidRPr="00F1528B">
        <w:rPr>
          <w:color w:val="FF0000"/>
        </w:rPr>
        <w:t xml:space="preserve"> the </w:t>
      </w:r>
      <w:r>
        <w:rPr>
          <w:color w:val="FF0000"/>
        </w:rPr>
        <w:t xml:space="preserve">probability </w:t>
      </w:r>
      <w:r w:rsidRPr="00F1528B">
        <w:rPr>
          <w:color w:val="FF0000"/>
        </w:rPr>
        <w:t xml:space="preserve">modeling and </w:t>
      </w:r>
      <w:r>
        <w:rPr>
          <w:color w:val="FF0000"/>
        </w:rPr>
        <w:t xml:space="preserve">hazard </w:t>
      </w:r>
      <w:r w:rsidRPr="00F1528B">
        <w:rPr>
          <w:color w:val="FF0000"/>
        </w:rPr>
        <w:t>mapping. We improved the discussion about the main uncertainties</w:t>
      </w:r>
      <w:r>
        <w:rPr>
          <w:color w:val="FF0000"/>
        </w:rPr>
        <w:t xml:space="preserve">, but please consider that we could not </w:t>
      </w:r>
      <w:r w:rsidR="00845443">
        <w:rPr>
          <w:color w:val="FF0000"/>
        </w:rPr>
        <w:t xml:space="preserve">extensively </w:t>
      </w:r>
      <w:r>
        <w:rPr>
          <w:color w:val="FF0000"/>
        </w:rPr>
        <w:t>repeat all the results from the companion manuscript</w:t>
      </w:r>
      <w:r w:rsidRPr="00F1528B">
        <w:rPr>
          <w:color w:val="FF0000"/>
        </w:rPr>
        <w:t>. Please see the response</w:t>
      </w:r>
      <w:r>
        <w:rPr>
          <w:color w:val="FF0000"/>
        </w:rPr>
        <w:t>s</w:t>
      </w:r>
      <w:r w:rsidRPr="00F1528B">
        <w:rPr>
          <w:color w:val="FF0000"/>
        </w:rPr>
        <w:t xml:space="preserve"> to the comments from the reviewer #1.</w:t>
      </w:r>
    </w:p>
    <w:p w:rsidR="00695890" w:rsidRDefault="00695890" w:rsidP="00F1528B">
      <w:pPr>
        <w:jc w:val="both"/>
      </w:pPr>
      <w:r w:rsidRPr="00695890">
        <w:t>The potential bias in the historical dataset is troubling. It would benefit this work to perform some additional statistical checks to specifically investigate this potential bias. For example, is it possible to create an accessibility mask for the entire area, and to run a Monte Carlo simulation restricting data to these locations, and then to compare this to the original dataset to determine the extent of the sampling bias? This information could then potentially be used to determine which of the three models best fits the actual hazard and to validate (or not) the resulting analysis. If this or another statistical check could be performed, it would go a long way towards boosting confidence in the model.</w:t>
      </w:r>
    </w:p>
    <w:p w:rsidR="00F1528B" w:rsidRPr="008531A6" w:rsidRDefault="008531A6" w:rsidP="00F1528B">
      <w:pPr>
        <w:jc w:val="both"/>
        <w:rPr>
          <w:color w:val="FF0000"/>
        </w:rPr>
      </w:pPr>
      <w:r>
        <w:rPr>
          <w:color w:val="FF0000"/>
        </w:rPr>
        <w:t>T</w:t>
      </w:r>
      <w:r w:rsidR="00F1528B" w:rsidRPr="008531A6">
        <w:rPr>
          <w:color w:val="FF0000"/>
        </w:rPr>
        <w:t>he definition o</w:t>
      </w:r>
      <w:r w:rsidR="00335B93" w:rsidRPr="008531A6">
        <w:rPr>
          <w:color w:val="FF0000"/>
        </w:rPr>
        <w:t xml:space="preserve">f an accessibility map would depend on the historical period and on who was performing the survey. Plus, remote observations from cameras and </w:t>
      </w:r>
      <w:r w:rsidRPr="008531A6">
        <w:rPr>
          <w:color w:val="FF0000"/>
        </w:rPr>
        <w:t xml:space="preserve">well-known </w:t>
      </w:r>
      <w:r w:rsidR="00335B93" w:rsidRPr="008531A6">
        <w:rPr>
          <w:color w:val="FF0000"/>
        </w:rPr>
        <w:t>viewpoints</w:t>
      </w:r>
      <w:r>
        <w:rPr>
          <w:color w:val="FF0000"/>
        </w:rPr>
        <w:t>, including boat surveys,</w:t>
      </w:r>
      <w:r w:rsidR="00335B93" w:rsidRPr="008531A6">
        <w:rPr>
          <w:color w:val="FF0000"/>
        </w:rPr>
        <w:t xml:space="preserve"> allow </w:t>
      </w:r>
      <w:r w:rsidRPr="008531A6">
        <w:rPr>
          <w:color w:val="FF0000"/>
        </w:rPr>
        <w:t>the</w:t>
      </w:r>
      <w:r w:rsidR="00335B93" w:rsidRPr="008531A6">
        <w:rPr>
          <w:color w:val="FF0000"/>
        </w:rPr>
        <w:t xml:space="preserve"> </w:t>
      </w:r>
      <w:r w:rsidRPr="008531A6">
        <w:rPr>
          <w:color w:val="FF0000"/>
        </w:rPr>
        <w:t xml:space="preserve">frequent </w:t>
      </w:r>
      <w:r w:rsidR="00335B93" w:rsidRPr="008531A6">
        <w:rPr>
          <w:color w:val="FF0000"/>
        </w:rPr>
        <w:t xml:space="preserve">observation of regions </w:t>
      </w:r>
      <w:r w:rsidRPr="008531A6">
        <w:rPr>
          <w:color w:val="FF0000"/>
        </w:rPr>
        <w:t>that</w:t>
      </w:r>
      <w:r w:rsidR="00335B93" w:rsidRPr="008531A6">
        <w:rPr>
          <w:color w:val="FF0000"/>
        </w:rPr>
        <w:t xml:space="preserve"> are not </w:t>
      </w:r>
      <w:r w:rsidRPr="008531A6">
        <w:rPr>
          <w:color w:val="FF0000"/>
        </w:rPr>
        <w:t xml:space="preserve">directly </w:t>
      </w:r>
      <w:r w:rsidR="00335B93" w:rsidRPr="008531A6">
        <w:rPr>
          <w:color w:val="FF0000"/>
        </w:rPr>
        <w:t xml:space="preserve">accessible. </w:t>
      </w:r>
      <w:r w:rsidRPr="008531A6">
        <w:rPr>
          <w:color w:val="FF0000"/>
        </w:rPr>
        <w:t>W</w:t>
      </w:r>
      <w:r w:rsidR="00335B93" w:rsidRPr="008531A6">
        <w:rPr>
          <w:color w:val="FF0000"/>
        </w:rPr>
        <w:t>e improve</w:t>
      </w:r>
      <w:r w:rsidRPr="008531A6">
        <w:rPr>
          <w:color w:val="FF0000"/>
        </w:rPr>
        <w:t>d</w:t>
      </w:r>
      <w:r w:rsidR="00335B93" w:rsidRPr="008531A6">
        <w:rPr>
          <w:color w:val="FF0000"/>
        </w:rPr>
        <w:t xml:space="preserve"> clarity on this </w:t>
      </w:r>
      <w:r>
        <w:rPr>
          <w:color w:val="FF0000"/>
        </w:rPr>
        <w:t>matter</w:t>
      </w:r>
      <w:r w:rsidR="00335B93" w:rsidRPr="008531A6">
        <w:rPr>
          <w:color w:val="FF0000"/>
        </w:rPr>
        <w:t xml:space="preserve"> by adding the following </w:t>
      </w:r>
      <w:r w:rsidRPr="008531A6">
        <w:rPr>
          <w:color w:val="FF0000"/>
        </w:rPr>
        <w:t>new paragraph</w:t>
      </w:r>
      <w:r w:rsidR="001C30BE">
        <w:rPr>
          <w:color w:val="FF0000"/>
        </w:rPr>
        <w:t xml:space="preserve"> to the Introduction</w:t>
      </w:r>
      <w:r w:rsidRPr="008531A6">
        <w:rPr>
          <w:color w:val="FF0000"/>
        </w:rPr>
        <w:t>:</w:t>
      </w:r>
    </w:p>
    <w:p w:rsidR="00161AC6" w:rsidRDefault="008531A6" w:rsidP="00F1528B">
      <w:pPr>
        <w:jc w:val="both"/>
        <w:rPr>
          <w:i/>
          <w:color w:val="FF0000"/>
        </w:rPr>
      </w:pPr>
      <w:r w:rsidRPr="008531A6">
        <w:rPr>
          <w:color w:val="FF0000"/>
        </w:rPr>
        <w:t>“</w:t>
      </w:r>
      <w:r w:rsidR="001C30BE" w:rsidRPr="001C30BE">
        <w:rPr>
          <w:i/>
          <w:color w:val="FF0000"/>
        </w:rPr>
        <w:t>In fact, the inhabited areas and the hiking paths shown in Figure 1 represent the firstly accessible and most frequent</w:t>
      </w:r>
      <w:r w:rsidR="00845443">
        <w:rPr>
          <w:i/>
          <w:color w:val="FF0000"/>
        </w:rPr>
        <w:t>ly observed parts of Stromboli I</w:t>
      </w:r>
      <w:r w:rsidR="001C30BE" w:rsidRPr="001C30BE">
        <w:rPr>
          <w:i/>
          <w:color w:val="FF0000"/>
        </w:rPr>
        <w:t>sland.</w:t>
      </w:r>
      <w:r w:rsidR="001C30BE" w:rsidRPr="001C30BE">
        <w:rPr>
          <w:i/>
          <w:color w:val="FF0000"/>
          <w:lang w:val="en-GB"/>
        </w:rPr>
        <w:t xml:space="preserve"> Then, </w:t>
      </w:r>
      <w:r w:rsidR="001C30BE" w:rsidRPr="001C30BE">
        <w:rPr>
          <w:i/>
          <w:color w:val="FF0000"/>
        </w:rPr>
        <w:t xml:space="preserve">some additional pathways were active in the </w:t>
      </w:r>
      <w:r w:rsidR="001C30BE" w:rsidRPr="001C30BE">
        <w:rPr>
          <w:i/>
          <w:color w:val="FF0000"/>
        </w:rPr>
        <w:lastRenderedPageBreak/>
        <w:t xml:space="preserve">past, for example a second hiking trail on the SW flank, over </w:t>
      </w:r>
      <w:proofErr w:type="spellStart"/>
      <w:r w:rsidR="001C30BE" w:rsidRPr="001C30BE">
        <w:rPr>
          <w:i/>
          <w:color w:val="FF0000"/>
        </w:rPr>
        <w:t>Ginostra</w:t>
      </w:r>
      <w:proofErr w:type="spellEnd"/>
      <w:r w:rsidR="001C30BE" w:rsidRPr="001C30BE">
        <w:rPr>
          <w:i/>
          <w:color w:val="FF0000"/>
        </w:rPr>
        <w:t xml:space="preserve"> village, and a trail that followed the coastline from Stromboli to </w:t>
      </w:r>
      <w:proofErr w:type="spellStart"/>
      <w:r w:rsidR="001C30BE" w:rsidRPr="001C30BE">
        <w:rPr>
          <w:i/>
          <w:color w:val="FF0000"/>
        </w:rPr>
        <w:t>Ginostra</w:t>
      </w:r>
      <w:proofErr w:type="spellEnd"/>
      <w:r w:rsidR="001C30BE" w:rsidRPr="001C30BE">
        <w:rPr>
          <w:i/>
          <w:color w:val="FF0000"/>
        </w:rPr>
        <w:t xml:space="preserve">, opposite to </w:t>
      </w:r>
      <w:proofErr w:type="spellStart"/>
      <w:r w:rsidR="001C30BE" w:rsidRPr="001C30BE">
        <w:rPr>
          <w:i/>
          <w:color w:val="FF0000"/>
        </w:rPr>
        <w:t>Sciara</w:t>
      </w:r>
      <w:proofErr w:type="spellEnd"/>
      <w:r w:rsidR="001C30BE" w:rsidRPr="001C30BE">
        <w:rPr>
          <w:i/>
          <w:color w:val="FF0000"/>
        </w:rPr>
        <w:t xml:space="preserve"> del </w:t>
      </w:r>
      <w:proofErr w:type="spellStart"/>
      <w:r w:rsidR="001C30BE" w:rsidRPr="001C30BE">
        <w:rPr>
          <w:i/>
          <w:color w:val="FF0000"/>
        </w:rPr>
        <w:t>Fuoco</w:t>
      </w:r>
      <w:proofErr w:type="spellEnd"/>
      <w:r w:rsidR="001C30BE" w:rsidRPr="001C30BE">
        <w:rPr>
          <w:i/>
          <w:color w:val="FF0000"/>
        </w:rPr>
        <w:t>. However, during field surveys</w:t>
      </w:r>
      <w:r w:rsidR="001C30BE">
        <w:rPr>
          <w:i/>
          <w:color w:val="FF0000"/>
        </w:rPr>
        <w:t>,</w:t>
      </w:r>
      <w:r w:rsidR="001C30BE" w:rsidRPr="001C30BE">
        <w:rPr>
          <w:i/>
          <w:color w:val="FF0000"/>
        </w:rPr>
        <w:t xml:space="preserve"> the volcanologists can leave the hiking trails and inspect the steep </w:t>
      </w:r>
      <w:proofErr w:type="spellStart"/>
      <w:r w:rsidR="001C30BE" w:rsidRPr="001C30BE">
        <w:rPr>
          <w:i/>
          <w:color w:val="FF0000"/>
        </w:rPr>
        <w:t>unvegetated</w:t>
      </w:r>
      <w:proofErr w:type="spellEnd"/>
      <w:r w:rsidR="001C30BE" w:rsidRPr="001C30BE">
        <w:rPr>
          <w:i/>
          <w:color w:val="FF0000"/>
        </w:rPr>
        <w:t xml:space="preserve"> areas. </w:t>
      </w:r>
      <w:r w:rsidR="001C30BE">
        <w:rPr>
          <w:i/>
          <w:color w:val="FF0000"/>
        </w:rPr>
        <w:t>W</w:t>
      </w:r>
      <w:r w:rsidR="001C30BE" w:rsidRPr="001C30BE">
        <w:rPr>
          <w:i/>
          <w:color w:val="FF0000"/>
        </w:rPr>
        <w:t>ell-known viewpoints and occasional boat surveys allow the periodical observation of regions that are not directly accessible. Therefore, most of the island is relatively accessible to the field surveys</w:t>
      </w:r>
      <w:r w:rsidR="00845443">
        <w:rPr>
          <w:i/>
          <w:color w:val="FF0000"/>
        </w:rPr>
        <w:t>,</w:t>
      </w:r>
      <w:r w:rsidR="001C30BE" w:rsidRPr="001C30BE">
        <w:rPr>
          <w:i/>
          <w:color w:val="FF0000"/>
        </w:rPr>
        <w:t xml:space="preserve"> or it is at least occasionally observed, </w:t>
      </w:r>
      <w:r w:rsidR="00845443">
        <w:rPr>
          <w:i/>
          <w:color w:val="FF0000"/>
        </w:rPr>
        <w:t>resulting in</w:t>
      </w:r>
      <w:r w:rsidR="001C30BE" w:rsidRPr="001C30BE">
        <w:rPr>
          <w:i/>
          <w:color w:val="FF0000"/>
        </w:rPr>
        <w:t xml:space="preserve"> a great amount of information on ballistic distributions </w:t>
      </w:r>
      <w:r w:rsidR="00845443">
        <w:rPr>
          <w:i/>
          <w:color w:val="FF0000"/>
        </w:rPr>
        <w:t>at Stromboli</w:t>
      </w:r>
      <w:r w:rsidR="002D2C41">
        <w:rPr>
          <w:i/>
          <w:color w:val="FF0000"/>
        </w:rPr>
        <w:t>.”</w:t>
      </w:r>
    </w:p>
    <w:p w:rsidR="00FF5229" w:rsidRDefault="00FF5229" w:rsidP="00E65384">
      <w:pPr>
        <w:spacing w:after="80"/>
        <w:rPr>
          <w:b/>
        </w:rPr>
      </w:pPr>
    </w:p>
    <w:p w:rsidR="00695890" w:rsidRPr="001F50D3" w:rsidRDefault="00695890" w:rsidP="00E65384">
      <w:pPr>
        <w:spacing w:after="80"/>
        <w:rPr>
          <w:b/>
        </w:rPr>
      </w:pPr>
      <w:r w:rsidRPr="001F50D3">
        <w:rPr>
          <w:b/>
        </w:rPr>
        <w:t>Technical / Typographic comments:</w:t>
      </w:r>
    </w:p>
    <w:p w:rsidR="00DB0CD2" w:rsidRDefault="00695890" w:rsidP="006D1F72">
      <w:pPr>
        <w:numPr>
          <w:ilvl w:val="0"/>
          <w:numId w:val="1"/>
        </w:numPr>
        <w:jc w:val="both"/>
      </w:pPr>
      <w:r w:rsidRPr="00695890">
        <w:t>The introduction states (~ line 71): “In this work, we aim at developing probabilistic hazard maps of this phenomenon at Stromboli based on the large amount of information describing the past explosive activity of the volcano and also considering the effect of some main sources of uncertainty.” However, the ‘large amount of information’ refers to the location(s) of ballistics following eruptions. As no physical or other parameters relating to actual explosions are utilized, and given that this sentence comes directly after an explanation that much ballistic hazard modeling is done via physical models, I suggest rephrasing.</w:t>
      </w:r>
      <w:r w:rsidR="006D1F72">
        <w:tab/>
      </w:r>
    </w:p>
    <w:p w:rsidR="006D1F72" w:rsidRPr="00695890" w:rsidRDefault="00E5635B" w:rsidP="00DB0CD2">
      <w:pPr>
        <w:ind w:left="720"/>
        <w:jc w:val="both"/>
      </w:pPr>
      <w:r w:rsidRPr="00E5635B">
        <w:rPr>
          <w:color w:val="FF0000"/>
        </w:rPr>
        <w:t xml:space="preserve">We modified the paragraph as follows: </w:t>
      </w:r>
      <w:r w:rsidRPr="00E5635B">
        <w:rPr>
          <w:i/>
          <w:color w:val="FF0000"/>
        </w:rPr>
        <w:t xml:space="preserve">“In this work, we aim at developing probabilistic hazard maps of this phenomenon at Stromboli that are entirely based on the statistical analysis of the large amount of information on the areas affected by ballistic fallout from past explosive activity of the volcano, and also consider the effect of some main sources of uncertainty. Notably, we did not perform </w:t>
      </w:r>
      <w:r w:rsidR="009924FA">
        <w:rPr>
          <w:i/>
          <w:color w:val="FF0000"/>
        </w:rPr>
        <w:t>numerical</w:t>
      </w:r>
      <w:r w:rsidRPr="00E5635B">
        <w:rPr>
          <w:i/>
          <w:color w:val="FF0000"/>
        </w:rPr>
        <w:t xml:space="preserve"> modeling of the </w:t>
      </w:r>
      <w:proofErr w:type="spellStart"/>
      <w:r w:rsidRPr="00E5635B">
        <w:rPr>
          <w:i/>
          <w:color w:val="FF0000"/>
        </w:rPr>
        <w:t>ejecta</w:t>
      </w:r>
      <w:proofErr w:type="spellEnd"/>
      <w:r w:rsidRPr="00E5635B">
        <w:rPr>
          <w:i/>
          <w:color w:val="FF0000"/>
        </w:rPr>
        <w:t xml:space="preserve">, which would require </w:t>
      </w:r>
      <w:r w:rsidR="009924FA">
        <w:rPr>
          <w:i/>
          <w:color w:val="FF0000"/>
        </w:rPr>
        <w:t>the accurate knowledge of</w:t>
      </w:r>
      <w:r w:rsidRPr="00E5635B">
        <w:rPr>
          <w:i/>
          <w:color w:val="FF0000"/>
        </w:rPr>
        <w:t xml:space="preserve"> the </w:t>
      </w:r>
      <w:r w:rsidR="009924FA">
        <w:rPr>
          <w:i/>
          <w:color w:val="FF0000"/>
        </w:rPr>
        <w:t xml:space="preserve">flow </w:t>
      </w:r>
      <w:r w:rsidRPr="00E5635B">
        <w:rPr>
          <w:i/>
          <w:color w:val="FF0000"/>
        </w:rPr>
        <w:t>conditions of the explosive mixture at the source.”</w:t>
      </w:r>
      <w:r>
        <w:tab/>
      </w:r>
    </w:p>
    <w:p w:rsidR="00FF5229" w:rsidRDefault="00695890" w:rsidP="0095286B">
      <w:pPr>
        <w:numPr>
          <w:ilvl w:val="0"/>
          <w:numId w:val="1"/>
        </w:numPr>
        <w:jc w:val="both"/>
      </w:pPr>
      <w:r w:rsidRPr="00695890">
        <w:t>The Figure 1 caption states that F</w:t>
      </w:r>
      <w:r w:rsidR="0095286B" w:rsidRPr="0095286B">
        <w:rPr>
          <w:vertAlign w:val="subscript"/>
        </w:rPr>
        <w:t>A</w:t>
      </w:r>
      <w:r w:rsidRPr="00695890">
        <w:t xml:space="preserve"> includes the axis symmetrical part and F</w:t>
      </w:r>
      <w:r w:rsidR="0095286B" w:rsidRPr="0095286B">
        <w:rPr>
          <w:vertAlign w:val="subscript"/>
        </w:rPr>
        <w:t>B</w:t>
      </w:r>
      <w:r w:rsidRPr="00695890">
        <w:t xml:space="preserve"> does not: this appears to be backwards.</w:t>
      </w:r>
      <w:r w:rsidR="0095286B">
        <w:tab/>
      </w:r>
    </w:p>
    <w:p w:rsidR="00695890" w:rsidRPr="00695890" w:rsidRDefault="0095286B" w:rsidP="00FF5229">
      <w:pPr>
        <w:ind w:left="720"/>
        <w:jc w:val="both"/>
      </w:pPr>
      <w:r w:rsidRPr="0095286B">
        <w:rPr>
          <w:color w:val="FF0000"/>
        </w:rPr>
        <w:t xml:space="preserve">Yes, </w:t>
      </w:r>
      <w:r>
        <w:rPr>
          <w:color w:val="FF0000"/>
        </w:rPr>
        <w:t xml:space="preserve">we had switched the labels ‘A’ and ‘B’ in the caption, </w:t>
      </w:r>
      <w:r w:rsidRPr="0095286B">
        <w:rPr>
          <w:color w:val="FF0000"/>
        </w:rPr>
        <w:t>thanks for spotting this</w:t>
      </w:r>
      <w:r>
        <w:rPr>
          <w:color w:val="FF0000"/>
        </w:rPr>
        <w:t xml:space="preserve"> mistake</w:t>
      </w:r>
      <w:r w:rsidRPr="0095286B">
        <w:rPr>
          <w:color w:val="FF0000"/>
        </w:rPr>
        <w:t>.</w:t>
      </w:r>
    </w:p>
    <w:p w:rsidR="00FF5229" w:rsidRPr="00FF5229" w:rsidRDefault="00695890" w:rsidP="0095286B">
      <w:pPr>
        <w:numPr>
          <w:ilvl w:val="0"/>
          <w:numId w:val="1"/>
        </w:numPr>
        <w:jc w:val="both"/>
        <w:rPr>
          <w:i/>
        </w:rPr>
      </w:pPr>
      <w:r w:rsidRPr="00695890">
        <w:t xml:space="preserve">~ Line 240 states that model 3 </w:t>
      </w:r>
      <w:proofErr w:type="gramStart"/>
      <w:r w:rsidRPr="00695890">
        <w:t>dominates</w:t>
      </w:r>
      <w:proofErr w:type="gramEnd"/>
      <w:r w:rsidRPr="00695890">
        <w:t xml:space="preserve"> towards the West. However model 3 is axis symmetric; the greater concentration towards the west is only in comparison to the other models. Could this be re-worded for clarity?</w:t>
      </w:r>
      <w:r w:rsidR="0095286B">
        <w:tab/>
      </w:r>
    </w:p>
    <w:p w:rsidR="00695890" w:rsidRPr="0095286B" w:rsidRDefault="0095286B" w:rsidP="00FF5229">
      <w:pPr>
        <w:ind w:left="720"/>
        <w:jc w:val="both"/>
        <w:rPr>
          <w:i/>
        </w:rPr>
      </w:pPr>
      <w:r w:rsidRPr="0095286B">
        <w:rPr>
          <w:color w:val="FF0000"/>
        </w:rPr>
        <w:t xml:space="preserve">We clarified as follows: </w:t>
      </w:r>
      <w:r w:rsidRPr="0095286B">
        <w:rPr>
          <w:i/>
          <w:color w:val="FF0000"/>
        </w:rPr>
        <w:t>“[…] whereas Model 3, which axisymmetric, relatively dominates towards W.”</w:t>
      </w:r>
    </w:p>
    <w:p w:rsidR="00FF5229" w:rsidRDefault="00695890" w:rsidP="0082174A">
      <w:pPr>
        <w:numPr>
          <w:ilvl w:val="0"/>
          <w:numId w:val="1"/>
        </w:numPr>
        <w:jc w:val="both"/>
      </w:pPr>
      <w:r w:rsidRPr="00695890">
        <w:t>Figure 5: The color scheme changes for each model without an explanation. I am unclear why the colors appear to map to the models when a difference measurement by definition includes two models. It would be easier to compare differences if all utilized the same color scheme instead of blue sometimes being negative and sometimes being positive, for example.</w:t>
      </w:r>
      <w:r w:rsidR="00B00324">
        <w:t xml:space="preserve"> </w:t>
      </w:r>
      <w:r w:rsidR="00B00324">
        <w:tab/>
      </w:r>
    </w:p>
    <w:p w:rsidR="00B00324" w:rsidRDefault="00B00324" w:rsidP="00FF5229">
      <w:pPr>
        <w:ind w:left="720"/>
        <w:jc w:val="both"/>
      </w:pPr>
      <w:r w:rsidRPr="00B00324">
        <w:rPr>
          <w:color w:val="FF0000"/>
        </w:rPr>
        <w:t>The colors are related to which model is dominant – blue is model 1, red is model 2, green is model 3.</w:t>
      </w:r>
      <w:r>
        <w:rPr>
          <w:color w:val="FF0000"/>
        </w:rPr>
        <w:t xml:space="preserve"> We clarified as follows, in the caption: “</w:t>
      </w:r>
      <w:r w:rsidR="0082174A" w:rsidRPr="0082174A">
        <w:rPr>
          <w:i/>
          <w:color w:val="FF0000"/>
        </w:rPr>
        <w:t>Blue regions indicate where Model 1 is greater, red regions where it is Model 2, and green regions where it is Model 3.</w:t>
      </w:r>
      <w:r w:rsidR="0082174A">
        <w:rPr>
          <w:color w:val="FF0000"/>
        </w:rPr>
        <w:t>”</w:t>
      </w:r>
    </w:p>
    <w:p w:rsidR="00FF5229" w:rsidRDefault="00695890" w:rsidP="0082174A">
      <w:pPr>
        <w:numPr>
          <w:ilvl w:val="0"/>
          <w:numId w:val="1"/>
        </w:numPr>
        <w:jc w:val="both"/>
      </w:pPr>
      <w:r w:rsidRPr="00695890">
        <w:lastRenderedPageBreak/>
        <w:t>Line 407 refers to the ‘uncertain major explosions’. How are these defined?</w:t>
      </w:r>
      <w:r w:rsidR="0082174A">
        <w:tab/>
      </w:r>
    </w:p>
    <w:p w:rsidR="00695890" w:rsidRPr="00695890" w:rsidRDefault="0082174A" w:rsidP="00FF5229">
      <w:pPr>
        <w:ind w:left="720"/>
        <w:jc w:val="both"/>
      </w:pPr>
      <w:r w:rsidRPr="0082174A">
        <w:rPr>
          <w:color w:val="FF0000"/>
        </w:rPr>
        <w:t>We added a</w:t>
      </w:r>
      <w:r>
        <w:rPr>
          <w:color w:val="FF0000"/>
        </w:rPr>
        <w:t>n</w:t>
      </w:r>
      <w:r w:rsidRPr="0082174A">
        <w:rPr>
          <w:color w:val="FF0000"/>
        </w:rPr>
        <w:t xml:space="preserve"> explanation </w:t>
      </w:r>
      <w:r>
        <w:rPr>
          <w:color w:val="FF0000"/>
        </w:rPr>
        <w:t xml:space="preserve">around L270 </w:t>
      </w:r>
      <w:r w:rsidRPr="0082174A">
        <w:rPr>
          <w:color w:val="FF0000"/>
        </w:rPr>
        <w:t xml:space="preserve">after </w:t>
      </w:r>
      <w:r>
        <w:rPr>
          <w:color w:val="FF0000"/>
        </w:rPr>
        <w:t>a similar</w:t>
      </w:r>
      <w:r w:rsidRPr="0082174A">
        <w:rPr>
          <w:color w:val="FF0000"/>
        </w:rPr>
        <w:t xml:space="preserve"> request from revi</w:t>
      </w:r>
      <w:r w:rsidR="002B1622">
        <w:rPr>
          <w:color w:val="FF0000"/>
        </w:rPr>
        <w:t>e</w:t>
      </w:r>
      <w:r w:rsidRPr="0082174A">
        <w:rPr>
          <w:color w:val="FF0000"/>
        </w:rPr>
        <w:t xml:space="preserve">wer #1. </w:t>
      </w:r>
      <w:r>
        <w:rPr>
          <w:color w:val="FF0000"/>
        </w:rPr>
        <w:t>This was also defined in the companion paper.</w:t>
      </w:r>
    </w:p>
    <w:p w:rsidR="00FF5229" w:rsidRDefault="00695890" w:rsidP="0082174A">
      <w:pPr>
        <w:numPr>
          <w:ilvl w:val="0"/>
          <w:numId w:val="1"/>
        </w:numPr>
        <w:jc w:val="both"/>
      </w:pPr>
      <w:r w:rsidRPr="00695890">
        <w:t>Figure 11a: Contour 0.001 is mislabeled as 0.002.</w:t>
      </w:r>
      <w:r w:rsidR="0082174A">
        <w:tab/>
      </w:r>
    </w:p>
    <w:p w:rsidR="00695890" w:rsidRPr="00695890" w:rsidRDefault="0082174A" w:rsidP="00FF5229">
      <w:pPr>
        <w:ind w:left="720"/>
        <w:jc w:val="both"/>
      </w:pPr>
      <w:r w:rsidRPr="0082174A">
        <w:rPr>
          <w:color w:val="FF0000"/>
        </w:rPr>
        <w:t xml:space="preserve">Yes, </w:t>
      </w:r>
      <w:r>
        <w:rPr>
          <w:color w:val="FF0000"/>
        </w:rPr>
        <w:t xml:space="preserve">this happened because </w:t>
      </w:r>
      <w:r w:rsidRPr="0082174A">
        <w:rPr>
          <w:color w:val="FF0000"/>
        </w:rPr>
        <w:t xml:space="preserve">we </w:t>
      </w:r>
      <w:r>
        <w:rPr>
          <w:color w:val="FF0000"/>
        </w:rPr>
        <w:t>manually wrote</w:t>
      </w:r>
      <w:r w:rsidRPr="0082174A">
        <w:rPr>
          <w:color w:val="FF0000"/>
        </w:rPr>
        <w:t xml:space="preserve"> the labels</w:t>
      </w:r>
      <w:r>
        <w:rPr>
          <w:color w:val="FF0000"/>
        </w:rPr>
        <w:t xml:space="preserve"> to keep control on the font size</w:t>
      </w:r>
      <w:r w:rsidR="001031B4">
        <w:rPr>
          <w:color w:val="FF0000"/>
        </w:rPr>
        <w:t>, thanks for spotting the</w:t>
      </w:r>
      <w:r w:rsidRPr="0082174A">
        <w:rPr>
          <w:color w:val="FF0000"/>
        </w:rPr>
        <w:t xml:space="preserve"> mistake.</w:t>
      </w:r>
    </w:p>
    <w:p w:rsidR="008C562A" w:rsidRDefault="008C562A"/>
    <w:sectPr w:rsidR="008C562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13ADE"/>
    <w:multiLevelType w:val="multilevel"/>
    <w:tmpl w:val="39A8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5C104D"/>
    <w:multiLevelType w:val="hybridMultilevel"/>
    <w:tmpl w:val="ACC4657C"/>
    <w:lvl w:ilvl="0" w:tplc="E0001412">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948"/>
    <w:rsid w:val="000270A2"/>
    <w:rsid w:val="00033361"/>
    <w:rsid w:val="000543D8"/>
    <w:rsid w:val="00083C88"/>
    <w:rsid w:val="0009052F"/>
    <w:rsid w:val="00096B3D"/>
    <w:rsid w:val="000B463B"/>
    <w:rsid w:val="000E59B1"/>
    <w:rsid w:val="000E5C35"/>
    <w:rsid w:val="001031B4"/>
    <w:rsid w:val="00104E7B"/>
    <w:rsid w:val="00125E78"/>
    <w:rsid w:val="001458EB"/>
    <w:rsid w:val="00146F5B"/>
    <w:rsid w:val="0015536D"/>
    <w:rsid w:val="00161AC6"/>
    <w:rsid w:val="00172778"/>
    <w:rsid w:val="00174288"/>
    <w:rsid w:val="001C30BE"/>
    <w:rsid w:val="001D73AF"/>
    <w:rsid w:val="001F1399"/>
    <w:rsid w:val="001F50D3"/>
    <w:rsid w:val="00213540"/>
    <w:rsid w:val="00244CE5"/>
    <w:rsid w:val="00250D40"/>
    <w:rsid w:val="00271A50"/>
    <w:rsid w:val="00274C2A"/>
    <w:rsid w:val="00280441"/>
    <w:rsid w:val="00290993"/>
    <w:rsid w:val="002B1622"/>
    <w:rsid w:val="002D2C41"/>
    <w:rsid w:val="002D42DA"/>
    <w:rsid w:val="003072B7"/>
    <w:rsid w:val="003174B4"/>
    <w:rsid w:val="00321E7B"/>
    <w:rsid w:val="00326619"/>
    <w:rsid w:val="00335B93"/>
    <w:rsid w:val="00337F27"/>
    <w:rsid w:val="003404AF"/>
    <w:rsid w:val="003529C0"/>
    <w:rsid w:val="00362D2D"/>
    <w:rsid w:val="00365CEC"/>
    <w:rsid w:val="003832AF"/>
    <w:rsid w:val="00384216"/>
    <w:rsid w:val="00386818"/>
    <w:rsid w:val="003B49B5"/>
    <w:rsid w:val="003E67E4"/>
    <w:rsid w:val="0043322C"/>
    <w:rsid w:val="004551D7"/>
    <w:rsid w:val="004B7EE2"/>
    <w:rsid w:val="004D1D9A"/>
    <w:rsid w:val="004D23A5"/>
    <w:rsid w:val="004F4DAE"/>
    <w:rsid w:val="005267CF"/>
    <w:rsid w:val="005279BF"/>
    <w:rsid w:val="00532CAC"/>
    <w:rsid w:val="0055585E"/>
    <w:rsid w:val="00574A40"/>
    <w:rsid w:val="00581CD7"/>
    <w:rsid w:val="0058335B"/>
    <w:rsid w:val="00586AFB"/>
    <w:rsid w:val="005941F7"/>
    <w:rsid w:val="005A4FC1"/>
    <w:rsid w:val="005C3C4C"/>
    <w:rsid w:val="005F7841"/>
    <w:rsid w:val="00606283"/>
    <w:rsid w:val="00617402"/>
    <w:rsid w:val="00625947"/>
    <w:rsid w:val="00644432"/>
    <w:rsid w:val="00661941"/>
    <w:rsid w:val="0067690A"/>
    <w:rsid w:val="00695890"/>
    <w:rsid w:val="006A6CCC"/>
    <w:rsid w:val="006A6D47"/>
    <w:rsid w:val="006C59F7"/>
    <w:rsid w:val="006D1F72"/>
    <w:rsid w:val="006E6A7C"/>
    <w:rsid w:val="006F076C"/>
    <w:rsid w:val="006F0AB9"/>
    <w:rsid w:val="00702F01"/>
    <w:rsid w:val="00706BED"/>
    <w:rsid w:val="0073213D"/>
    <w:rsid w:val="0076054D"/>
    <w:rsid w:val="00784FC7"/>
    <w:rsid w:val="007D3033"/>
    <w:rsid w:val="007E2449"/>
    <w:rsid w:val="007F0D60"/>
    <w:rsid w:val="00801D21"/>
    <w:rsid w:val="008025A5"/>
    <w:rsid w:val="0082174A"/>
    <w:rsid w:val="00845443"/>
    <w:rsid w:val="008531A6"/>
    <w:rsid w:val="0087324B"/>
    <w:rsid w:val="00882345"/>
    <w:rsid w:val="008872A5"/>
    <w:rsid w:val="0089700D"/>
    <w:rsid w:val="008A1534"/>
    <w:rsid w:val="008C562A"/>
    <w:rsid w:val="008E688C"/>
    <w:rsid w:val="00930DB7"/>
    <w:rsid w:val="0095065E"/>
    <w:rsid w:val="0095286B"/>
    <w:rsid w:val="009650EB"/>
    <w:rsid w:val="009924FA"/>
    <w:rsid w:val="009944CC"/>
    <w:rsid w:val="00994877"/>
    <w:rsid w:val="009C56B0"/>
    <w:rsid w:val="009F0E85"/>
    <w:rsid w:val="00A31FB3"/>
    <w:rsid w:val="00A34948"/>
    <w:rsid w:val="00A3692C"/>
    <w:rsid w:val="00A63AB8"/>
    <w:rsid w:val="00A67647"/>
    <w:rsid w:val="00A74D83"/>
    <w:rsid w:val="00A931D9"/>
    <w:rsid w:val="00A946B4"/>
    <w:rsid w:val="00AA43F2"/>
    <w:rsid w:val="00AA6D66"/>
    <w:rsid w:val="00AC34B3"/>
    <w:rsid w:val="00AD2D4E"/>
    <w:rsid w:val="00B00324"/>
    <w:rsid w:val="00B2598A"/>
    <w:rsid w:val="00B62AA4"/>
    <w:rsid w:val="00B647DF"/>
    <w:rsid w:val="00B66E44"/>
    <w:rsid w:val="00B75E28"/>
    <w:rsid w:val="00B771EF"/>
    <w:rsid w:val="00B806FF"/>
    <w:rsid w:val="00B8445F"/>
    <w:rsid w:val="00B9384D"/>
    <w:rsid w:val="00BA1692"/>
    <w:rsid w:val="00BB0477"/>
    <w:rsid w:val="00BE1ED7"/>
    <w:rsid w:val="00BE77B1"/>
    <w:rsid w:val="00C12A20"/>
    <w:rsid w:val="00C15532"/>
    <w:rsid w:val="00C513DB"/>
    <w:rsid w:val="00C75756"/>
    <w:rsid w:val="00CA7975"/>
    <w:rsid w:val="00CB5F6D"/>
    <w:rsid w:val="00CE336C"/>
    <w:rsid w:val="00D245B2"/>
    <w:rsid w:val="00D45F5C"/>
    <w:rsid w:val="00D83A7F"/>
    <w:rsid w:val="00DB0CD2"/>
    <w:rsid w:val="00DE43DC"/>
    <w:rsid w:val="00E16844"/>
    <w:rsid w:val="00E17148"/>
    <w:rsid w:val="00E25736"/>
    <w:rsid w:val="00E270C9"/>
    <w:rsid w:val="00E55F89"/>
    <w:rsid w:val="00E5635B"/>
    <w:rsid w:val="00E65384"/>
    <w:rsid w:val="00EB10E6"/>
    <w:rsid w:val="00ED52D2"/>
    <w:rsid w:val="00EF3C81"/>
    <w:rsid w:val="00F1528B"/>
    <w:rsid w:val="00F253DB"/>
    <w:rsid w:val="00F350C9"/>
    <w:rsid w:val="00F365CB"/>
    <w:rsid w:val="00F5484C"/>
    <w:rsid w:val="00F575C2"/>
    <w:rsid w:val="00FD6E55"/>
    <w:rsid w:val="00FF52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1D21"/>
    <w:rPr>
      <w:color w:val="0000FF" w:themeColor="hyperlink"/>
      <w:u w:val="single"/>
    </w:rPr>
  </w:style>
  <w:style w:type="paragraph" w:styleId="ListParagraph">
    <w:name w:val="List Paragraph"/>
    <w:basedOn w:val="Normal"/>
    <w:uiPriority w:val="34"/>
    <w:qFormat/>
    <w:rsid w:val="00B2598A"/>
    <w:pPr>
      <w:ind w:left="720"/>
      <w:contextualSpacing/>
    </w:pPr>
  </w:style>
  <w:style w:type="paragraph" w:styleId="BalloonText">
    <w:name w:val="Balloon Text"/>
    <w:basedOn w:val="Normal"/>
    <w:link w:val="BalloonTextChar"/>
    <w:uiPriority w:val="99"/>
    <w:semiHidden/>
    <w:unhideWhenUsed/>
    <w:rsid w:val="000270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0A2"/>
    <w:rPr>
      <w:rFonts w:ascii="Tahoma" w:hAnsi="Tahoma" w:cs="Tahoma"/>
      <w:sz w:val="16"/>
      <w:szCs w:val="16"/>
    </w:rPr>
  </w:style>
  <w:style w:type="paragraph" w:customStyle="1" w:styleId="TableParagraph">
    <w:name w:val="Table Paragraph"/>
    <w:basedOn w:val="Normal"/>
    <w:uiPriority w:val="1"/>
    <w:qFormat/>
    <w:rsid w:val="00BE1ED7"/>
    <w:pPr>
      <w:widowControl w:val="0"/>
      <w:autoSpaceDE w:val="0"/>
      <w:autoSpaceDN w:val="0"/>
      <w:spacing w:after="0" w:line="240" w:lineRule="auto"/>
    </w:pPr>
    <w:rPr>
      <w:rFonts w:ascii="Calibri" w:eastAsia="Calibri" w:hAnsi="Calibri" w:cs="Calibri"/>
    </w:rPr>
  </w:style>
  <w:style w:type="paragraph" w:customStyle="1" w:styleId="SMcaption">
    <w:name w:val="SM caption"/>
    <w:basedOn w:val="Normal"/>
    <w:qFormat/>
    <w:rsid w:val="00532CAC"/>
    <w:pPr>
      <w:spacing w:after="0" w:line="240" w:lineRule="auto"/>
    </w:pPr>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1D21"/>
    <w:rPr>
      <w:color w:val="0000FF" w:themeColor="hyperlink"/>
      <w:u w:val="single"/>
    </w:rPr>
  </w:style>
  <w:style w:type="paragraph" w:styleId="ListParagraph">
    <w:name w:val="List Paragraph"/>
    <w:basedOn w:val="Normal"/>
    <w:uiPriority w:val="34"/>
    <w:qFormat/>
    <w:rsid w:val="00B2598A"/>
    <w:pPr>
      <w:ind w:left="720"/>
      <w:contextualSpacing/>
    </w:pPr>
  </w:style>
  <w:style w:type="paragraph" w:styleId="BalloonText">
    <w:name w:val="Balloon Text"/>
    <w:basedOn w:val="Normal"/>
    <w:link w:val="BalloonTextChar"/>
    <w:uiPriority w:val="99"/>
    <w:semiHidden/>
    <w:unhideWhenUsed/>
    <w:rsid w:val="000270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0A2"/>
    <w:rPr>
      <w:rFonts w:ascii="Tahoma" w:hAnsi="Tahoma" w:cs="Tahoma"/>
      <w:sz w:val="16"/>
      <w:szCs w:val="16"/>
    </w:rPr>
  </w:style>
  <w:style w:type="paragraph" w:customStyle="1" w:styleId="TableParagraph">
    <w:name w:val="Table Paragraph"/>
    <w:basedOn w:val="Normal"/>
    <w:uiPriority w:val="1"/>
    <w:qFormat/>
    <w:rsid w:val="00BE1ED7"/>
    <w:pPr>
      <w:widowControl w:val="0"/>
      <w:autoSpaceDE w:val="0"/>
      <w:autoSpaceDN w:val="0"/>
      <w:spacing w:after="0" w:line="240" w:lineRule="auto"/>
    </w:pPr>
    <w:rPr>
      <w:rFonts w:ascii="Calibri" w:eastAsia="Calibri" w:hAnsi="Calibri" w:cs="Calibri"/>
    </w:rPr>
  </w:style>
  <w:style w:type="paragraph" w:customStyle="1" w:styleId="SMcaption">
    <w:name w:val="SM caption"/>
    <w:basedOn w:val="Normal"/>
    <w:qFormat/>
    <w:rsid w:val="00532CAC"/>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77299">
      <w:bodyDiv w:val="1"/>
      <w:marLeft w:val="0"/>
      <w:marRight w:val="0"/>
      <w:marTop w:val="0"/>
      <w:marBottom w:val="0"/>
      <w:divBdr>
        <w:top w:val="none" w:sz="0" w:space="0" w:color="auto"/>
        <w:left w:val="none" w:sz="0" w:space="0" w:color="auto"/>
        <w:bottom w:val="none" w:sz="0" w:space="0" w:color="auto"/>
        <w:right w:val="none" w:sz="0" w:space="0" w:color="auto"/>
      </w:divBdr>
    </w:div>
    <w:div w:id="1129936018">
      <w:bodyDiv w:val="1"/>
      <w:marLeft w:val="0"/>
      <w:marRight w:val="0"/>
      <w:marTop w:val="0"/>
      <w:marBottom w:val="0"/>
      <w:divBdr>
        <w:top w:val="none" w:sz="0" w:space="0" w:color="auto"/>
        <w:left w:val="none" w:sz="0" w:space="0" w:color="auto"/>
        <w:bottom w:val="none" w:sz="0" w:space="0" w:color="auto"/>
        <w:right w:val="none" w:sz="0" w:space="0" w:color="auto"/>
      </w:divBdr>
    </w:div>
    <w:div w:id="197605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811</TotalTime>
  <Pages>17</Pages>
  <Words>5872</Words>
  <Characters>33476</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Precision 3460</dc:creator>
  <cp:keywords/>
  <dc:description/>
  <cp:lastModifiedBy>Precision 3460</cp:lastModifiedBy>
  <cp:revision>106</cp:revision>
  <dcterms:created xsi:type="dcterms:W3CDTF">2026-07-04T18:12:00Z</dcterms:created>
  <dcterms:modified xsi:type="dcterms:W3CDTF">2026-07-27T12:57:00Z</dcterms:modified>
</cp:coreProperties>
</file>