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FAF1836" w14:textId="77777777" w:rsidR="00293852" w:rsidRDefault="00293852" w:rsidP="00FF3503">
      <w:pPr>
        <w:spacing w:before="100" w:beforeAutospacing="1" w:after="100" w:afterAutospacing="1"/>
        <w:jc w:val="center"/>
        <w:rPr>
          <w:rFonts w:ascii="Myriad Pro" w:hAnsi="Myriad Pro"/>
          <w:i/>
          <w:sz w:val="22"/>
          <w:szCs w:val="22"/>
        </w:rPr>
      </w:pPr>
    </w:p>
    <w:p w14:paraId="7EE184DA" w14:textId="38939241" w:rsidR="00CE6EAA" w:rsidRPr="00BF1BF9" w:rsidRDefault="00772F7C" w:rsidP="00FF3503">
      <w:pPr>
        <w:spacing w:before="100" w:beforeAutospacing="1" w:after="100" w:afterAutospacing="1"/>
        <w:jc w:val="center"/>
        <w:rPr>
          <w:rFonts w:ascii="Myriad Pro" w:hAnsi="Myriad Pro"/>
          <w:i/>
          <w:sz w:val="22"/>
          <w:szCs w:val="22"/>
        </w:rPr>
      </w:pPr>
      <w:r>
        <w:rPr>
          <w:rFonts w:ascii="Myriad Pro" w:hAnsi="Myriad Pro"/>
          <w:i/>
          <w:sz w:val="22"/>
          <w:szCs w:val="22"/>
        </w:rPr>
        <w:t>Natural Hazards and Earth System Sciences</w:t>
      </w:r>
    </w:p>
    <w:p w14:paraId="2CB29489" w14:textId="77777777" w:rsidR="00FF3503" w:rsidRPr="00CE6EAA" w:rsidRDefault="00FF3503" w:rsidP="00FF3503">
      <w:pPr>
        <w:spacing w:before="100" w:beforeAutospacing="1" w:after="100" w:afterAutospacing="1"/>
        <w:jc w:val="center"/>
        <w:rPr>
          <w:rFonts w:ascii="Myriad Pro" w:hAnsi="Myriad Pro"/>
          <w:sz w:val="22"/>
          <w:szCs w:val="22"/>
        </w:rPr>
      </w:pPr>
      <w:r w:rsidRPr="00CE6EAA">
        <w:rPr>
          <w:rFonts w:ascii="Myriad Pro" w:hAnsi="Myriad Pro"/>
          <w:sz w:val="22"/>
          <w:szCs w:val="22"/>
        </w:rPr>
        <w:t>Supporting Information for</w:t>
      </w:r>
    </w:p>
    <w:p w14:paraId="347237BD" w14:textId="505C26B5" w:rsidR="00094365" w:rsidRPr="00DF0DB6" w:rsidRDefault="00401907" w:rsidP="000B2E64">
      <w:pPr>
        <w:spacing w:before="100" w:beforeAutospacing="1" w:after="100" w:afterAutospacing="1"/>
        <w:jc w:val="center"/>
        <w:rPr>
          <w:rFonts w:ascii="Myriad Pro" w:hAnsi="Myriad Pro"/>
          <w:b/>
          <w:sz w:val="22"/>
          <w:szCs w:val="22"/>
          <w:lang w:val="it-IT"/>
        </w:rPr>
      </w:pPr>
      <w:bookmarkStart w:id="0" w:name="_GoBack"/>
      <w:bookmarkEnd w:id="0"/>
      <w:r w:rsidRPr="00401907">
        <w:rPr>
          <w:rFonts w:ascii="Myriad Pro" w:hAnsi="Myriad Pro"/>
          <w:b/>
          <w:sz w:val="22"/>
          <w:szCs w:val="22"/>
        </w:rPr>
        <w:t xml:space="preserve">Ballistic projectile hazard of major explosions and paroxysms at Stromboli (Italy) with uncertainty quantification: 1. </w:t>
      </w:r>
      <w:proofErr w:type="gramStart"/>
      <w:r w:rsidRPr="00401907">
        <w:rPr>
          <w:rFonts w:ascii="Myriad Pro" w:hAnsi="Myriad Pro"/>
          <w:b/>
          <w:sz w:val="22"/>
          <w:szCs w:val="22"/>
        </w:rPr>
        <w:t>Mapping</w:t>
      </w:r>
      <w:proofErr w:type="gramEnd"/>
      <w:r w:rsidRPr="00401907">
        <w:rPr>
          <w:rFonts w:ascii="Myriad Pro" w:hAnsi="Myriad Pro"/>
          <w:b/>
          <w:sz w:val="22"/>
          <w:szCs w:val="22"/>
        </w:rPr>
        <w:t xml:space="preserve"> method and data analysis</w:t>
      </w:r>
    </w:p>
    <w:p w14:paraId="6B4AE46F" w14:textId="041F2B5F" w:rsidR="00A27F95" w:rsidRPr="00A27F95" w:rsidRDefault="00A27F95" w:rsidP="00A27F95">
      <w:pPr>
        <w:spacing w:before="100" w:beforeAutospacing="1" w:after="100" w:afterAutospacing="1"/>
        <w:jc w:val="center"/>
        <w:rPr>
          <w:rFonts w:ascii="Myriad Pro" w:hAnsi="Myriad Pro"/>
          <w:sz w:val="22"/>
          <w:szCs w:val="22"/>
          <w:lang w:val="it-IT"/>
        </w:rPr>
      </w:pPr>
      <w:r w:rsidRPr="00A27F95">
        <w:rPr>
          <w:rFonts w:ascii="Myriad Pro" w:hAnsi="Myriad Pro"/>
          <w:sz w:val="22"/>
          <w:szCs w:val="22"/>
          <w:lang w:val="it-IT"/>
        </w:rPr>
        <w:t>Andrea Bevilacqua</w:t>
      </w:r>
      <w:r w:rsidRPr="00A27F95">
        <w:rPr>
          <w:rFonts w:ascii="Myriad Pro" w:hAnsi="Myriad Pro"/>
          <w:sz w:val="22"/>
          <w:szCs w:val="22"/>
          <w:vertAlign w:val="superscript"/>
          <w:lang w:val="it-IT"/>
        </w:rPr>
        <w:t>(1)</w:t>
      </w:r>
      <w:r w:rsidRPr="00A27F95">
        <w:rPr>
          <w:rFonts w:ascii="Myriad Pro" w:hAnsi="Myriad Pro"/>
          <w:sz w:val="22"/>
          <w:szCs w:val="22"/>
          <w:lang w:val="it-IT"/>
        </w:rPr>
        <w:t>, Patrizia Landi</w:t>
      </w:r>
      <w:r w:rsidRPr="00A27F95">
        <w:rPr>
          <w:rFonts w:ascii="Myriad Pro" w:hAnsi="Myriad Pro"/>
          <w:sz w:val="22"/>
          <w:szCs w:val="22"/>
          <w:vertAlign w:val="superscript"/>
          <w:lang w:val="it-IT"/>
        </w:rPr>
        <w:t>(1)</w:t>
      </w:r>
      <w:r w:rsidRPr="00A27F95">
        <w:rPr>
          <w:rFonts w:ascii="Myriad Pro" w:hAnsi="Myriad Pro"/>
          <w:sz w:val="22"/>
          <w:szCs w:val="22"/>
          <w:lang w:val="it-IT"/>
        </w:rPr>
        <w:t>, Paola Del Carlo</w:t>
      </w:r>
      <w:r w:rsidRPr="00A27F95">
        <w:rPr>
          <w:rFonts w:ascii="Myriad Pro" w:hAnsi="Myriad Pro"/>
          <w:sz w:val="22"/>
          <w:szCs w:val="22"/>
          <w:vertAlign w:val="superscript"/>
          <w:lang w:val="it-IT"/>
        </w:rPr>
        <w:t>(1)</w:t>
      </w:r>
      <w:r w:rsidRPr="00A27F95">
        <w:rPr>
          <w:rFonts w:ascii="Myriad Pro" w:hAnsi="Myriad Pro"/>
          <w:sz w:val="22"/>
          <w:szCs w:val="22"/>
          <w:lang w:val="it-IT"/>
        </w:rPr>
        <w:t xml:space="preserve">, </w:t>
      </w:r>
      <w:r>
        <w:rPr>
          <w:rFonts w:ascii="Myriad Pro" w:hAnsi="Myriad Pro"/>
          <w:sz w:val="22"/>
          <w:szCs w:val="22"/>
          <w:lang w:val="it-IT"/>
        </w:rPr>
        <w:br/>
      </w:r>
      <w:r w:rsidRPr="00A27F95">
        <w:rPr>
          <w:rFonts w:ascii="Myriad Pro" w:hAnsi="Myriad Pro"/>
          <w:sz w:val="22"/>
          <w:szCs w:val="22"/>
          <w:lang w:val="it-IT"/>
        </w:rPr>
        <w:t>Augusto Neri</w:t>
      </w:r>
      <w:r w:rsidRPr="00A27F95">
        <w:rPr>
          <w:rFonts w:ascii="Myriad Pro" w:hAnsi="Myriad Pro"/>
          <w:sz w:val="22"/>
          <w:szCs w:val="22"/>
          <w:vertAlign w:val="superscript"/>
          <w:lang w:val="it-IT"/>
        </w:rPr>
        <w:t>(1)</w:t>
      </w:r>
      <w:r w:rsidRPr="00A27F95">
        <w:rPr>
          <w:rFonts w:ascii="Myriad Pro" w:hAnsi="Myriad Pro"/>
          <w:sz w:val="22"/>
          <w:szCs w:val="22"/>
          <w:lang w:val="it-IT"/>
        </w:rPr>
        <w:t>, Massimo Pompilio</w:t>
      </w:r>
      <w:r w:rsidRPr="00A27F95">
        <w:rPr>
          <w:rFonts w:ascii="Myriad Pro" w:hAnsi="Myriad Pro"/>
          <w:sz w:val="22"/>
          <w:szCs w:val="22"/>
          <w:vertAlign w:val="superscript"/>
          <w:lang w:val="it-IT"/>
        </w:rPr>
        <w:t>(1)</w:t>
      </w:r>
      <w:r w:rsidRPr="00A27F95">
        <w:rPr>
          <w:rFonts w:ascii="Myriad Pro" w:hAnsi="Myriad Pro"/>
          <w:sz w:val="22"/>
          <w:szCs w:val="22"/>
          <w:lang w:val="it-IT"/>
        </w:rPr>
        <w:t xml:space="preserve"> </w:t>
      </w:r>
    </w:p>
    <w:p w14:paraId="0B782355" w14:textId="783D5056" w:rsidR="00A27F95" w:rsidRPr="00A27F95" w:rsidRDefault="00A27F95" w:rsidP="00A27F95">
      <w:pPr>
        <w:spacing w:before="100" w:beforeAutospacing="1" w:after="100" w:afterAutospacing="1"/>
        <w:jc w:val="center"/>
        <w:rPr>
          <w:rFonts w:ascii="Myriad Pro" w:hAnsi="Myriad Pro"/>
          <w:sz w:val="22"/>
          <w:szCs w:val="22"/>
          <w:lang w:val="it-IT"/>
        </w:rPr>
      </w:pPr>
      <w:r w:rsidRPr="00A27F95">
        <w:rPr>
          <w:rFonts w:ascii="Myriad Pro" w:hAnsi="Myriad Pro"/>
          <w:sz w:val="22"/>
          <w:szCs w:val="22"/>
          <w:lang w:val="it-IT"/>
        </w:rPr>
        <w:t>1 Istituto Nazionale di Geofisica e Vulcanologia, Sezione di Pisa, Pisa, Italy</w:t>
      </w:r>
    </w:p>
    <w:p w14:paraId="1CD128B3" w14:textId="77777777" w:rsidR="00111843" w:rsidRDefault="00111843" w:rsidP="00111843">
      <w:pPr>
        <w:rPr>
          <w:rFonts w:ascii="Myriad Pro" w:hAnsi="Myriad Pro"/>
          <w:b/>
        </w:rPr>
      </w:pPr>
      <w:r w:rsidRPr="00CE6EAA">
        <w:rPr>
          <w:rFonts w:ascii="Myriad Pro" w:hAnsi="Myriad Pro"/>
          <w:b/>
        </w:rPr>
        <w:t>Contents of this file</w:t>
      </w:r>
      <w:r w:rsidR="00E43D2D">
        <w:rPr>
          <w:rFonts w:ascii="Myriad Pro" w:hAnsi="Myriad Pro"/>
          <w:b/>
        </w:rPr>
        <w:t xml:space="preserve"> </w:t>
      </w:r>
    </w:p>
    <w:p w14:paraId="1F13291B" w14:textId="77777777" w:rsidR="00E43D2D" w:rsidRPr="00E40896" w:rsidRDefault="00E43D2D" w:rsidP="00111843">
      <w:pPr>
        <w:rPr>
          <w:rFonts w:ascii="Myriad Pro" w:hAnsi="Myriad Pro"/>
        </w:rPr>
      </w:pPr>
    </w:p>
    <w:p w14:paraId="10640459" w14:textId="758B7F8C" w:rsidR="00111843" w:rsidRDefault="0048370C" w:rsidP="00111843">
      <w:pPr>
        <w:ind w:left="720"/>
        <w:rPr>
          <w:rFonts w:ascii="Myriad Pro" w:hAnsi="Myriad Pro"/>
          <w:sz w:val="22"/>
          <w:szCs w:val="22"/>
        </w:rPr>
      </w:pPr>
      <w:r>
        <w:rPr>
          <w:rFonts w:ascii="Myriad Pro" w:hAnsi="Myriad Pro"/>
          <w:sz w:val="22"/>
          <w:szCs w:val="22"/>
        </w:rPr>
        <w:t>Figures S</w:t>
      </w:r>
      <w:r w:rsidR="00460BA9">
        <w:rPr>
          <w:rFonts w:ascii="Myriad Pro" w:hAnsi="Myriad Pro"/>
          <w:sz w:val="22"/>
          <w:szCs w:val="22"/>
        </w:rPr>
        <w:t>1</w:t>
      </w:r>
      <w:r>
        <w:rPr>
          <w:rFonts w:ascii="Myriad Pro" w:hAnsi="Myriad Pro"/>
          <w:sz w:val="22"/>
          <w:szCs w:val="22"/>
        </w:rPr>
        <w:t xml:space="preserve"> to S</w:t>
      </w:r>
      <w:r w:rsidR="00D36B31">
        <w:rPr>
          <w:rFonts w:ascii="Myriad Pro" w:hAnsi="Myriad Pro"/>
          <w:sz w:val="22"/>
          <w:szCs w:val="22"/>
        </w:rPr>
        <w:t>6</w:t>
      </w:r>
    </w:p>
    <w:p w14:paraId="07921887" w14:textId="58AEDFC8" w:rsidR="00460BA9" w:rsidRPr="00CE6EAA" w:rsidRDefault="00460BA9" w:rsidP="00111843">
      <w:pPr>
        <w:ind w:left="720"/>
        <w:rPr>
          <w:rFonts w:ascii="Myriad Pro" w:hAnsi="Myriad Pro"/>
          <w:sz w:val="22"/>
          <w:szCs w:val="22"/>
        </w:rPr>
      </w:pPr>
      <w:r>
        <w:rPr>
          <w:rFonts w:ascii="Myriad Pro" w:hAnsi="Myriad Pro"/>
          <w:sz w:val="22"/>
          <w:szCs w:val="22"/>
        </w:rPr>
        <w:t>Table S4</w:t>
      </w:r>
    </w:p>
    <w:p w14:paraId="0363B503" w14:textId="77777777" w:rsidR="00111843" w:rsidRPr="00E40896" w:rsidRDefault="00111843" w:rsidP="00111843">
      <w:pPr>
        <w:ind w:left="720"/>
        <w:rPr>
          <w:rFonts w:ascii="Myriad Pro" w:hAnsi="Myriad Pro"/>
        </w:rPr>
      </w:pPr>
    </w:p>
    <w:p w14:paraId="2323E638" w14:textId="77777777" w:rsidR="00111843" w:rsidRPr="00CE6EAA" w:rsidRDefault="00111843" w:rsidP="00111843">
      <w:pPr>
        <w:rPr>
          <w:rFonts w:ascii="Myriad Pro" w:hAnsi="Myriad Pro"/>
          <w:b/>
        </w:rPr>
      </w:pPr>
      <w:r w:rsidRPr="00CE6EAA">
        <w:rPr>
          <w:rFonts w:ascii="Myriad Pro" w:hAnsi="Myriad Pro"/>
          <w:b/>
        </w:rPr>
        <w:t>Additional Supporting Information (Files uploaded separately)</w:t>
      </w:r>
    </w:p>
    <w:p w14:paraId="3343B9AD" w14:textId="77777777" w:rsidR="00111843" w:rsidRPr="00E40896" w:rsidRDefault="00111843" w:rsidP="00111843">
      <w:pPr>
        <w:rPr>
          <w:rFonts w:ascii="Myriad Pro Light" w:hAnsi="Myriad Pro Light"/>
          <w:b/>
        </w:rPr>
      </w:pPr>
    </w:p>
    <w:p w14:paraId="170EC803" w14:textId="3FF8C4CB" w:rsidR="0025419F" w:rsidRDefault="0025419F" w:rsidP="0048370C">
      <w:pPr>
        <w:ind w:left="720"/>
        <w:rPr>
          <w:rFonts w:ascii="Myriad Pro" w:hAnsi="Myriad Pro"/>
          <w:sz w:val="22"/>
          <w:szCs w:val="22"/>
        </w:rPr>
      </w:pPr>
      <w:r>
        <w:rPr>
          <w:rFonts w:ascii="Myriad Pro" w:hAnsi="Myriad Pro"/>
          <w:sz w:val="22"/>
          <w:szCs w:val="22"/>
        </w:rPr>
        <w:t>Captions for Texts S1 to S2</w:t>
      </w:r>
    </w:p>
    <w:p w14:paraId="62051E00" w14:textId="7E1698AA" w:rsidR="00111843" w:rsidRPr="00CE6EAA" w:rsidRDefault="00111843" w:rsidP="0048370C">
      <w:pPr>
        <w:ind w:left="720"/>
        <w:rPr>
          <w:rFonts w:ascii="Myriad Pro" w:hAnsi="Myriad Pro"/>
          <w:sz w:val="22"/>
          <w:szCs w:val="22"/>
        </w:rPr>
      </w:pPr>
      <w:r w:rsidRPr="00CE6EAA">
        <w:rPr>
          <w:rFonts w:ascii="Myriad Pro" w:hAnsi="Myriad Pro"/>
          <w:sz w:val="22"/>
          <w:szCs w:val="22"/>
        </w:rPr>
        <w:t>Captions for Tables S</w:t>
      </w:r>
      <w:r w:rsidR="00460BA9">
        <w:rPr>
          <w:rFonts w:ascii="Myriad Pro" w:hAnsi="Myriad Pro"/>
          <w:sz w:val="22"/>
          <w:szCs w:val="22"/>
        </w:rPr>
        <w:t>1</w:t>
      </w:r>
      <w:r w:rsidRPr="00CE6EAA">
        <w:rPr>
          <w:rFonts w:ascii="Myriad Pro" w:hAnsi="Myriad Pro"/>
          <w:sz w:val="22"/>
          <w:szCs w:val="22"/>
        </w:rPr>
        <w:t xml:space="preserve"> to S</w:t>
      </w:r>
      <w:r w:rsidR="00460BA9">
        <w:rPr>
          <w:rFonts w:ascii="Myriad Pro" w:hAnsi="Myriad Pro"/>
          <w:sz w:val="22"/>
          <w:szCs w:val="22"/>
        </w:rPr>
        <w:t>3</w:t>
      </w:r>
    </w:p>
    <w:p w14:paraId="32CE9E2D" w14:textId="77777777" w:rsidR="003E1980" w:rsidRPr="00CE6EAA" w:rsidRDefault="003E1980" w:rsidP="009A5287">
      <w:pPr>
        <w:pStyle w:val="SMcaption"/>
        <w:rPr>
          <w:rFonts w:ascii="Myriad Pro" w:hAnsi="Myriad Pro"/>
        </w:rPr>
      </w:pPr>
    </w:p>
    <w:p w14:paraId="64282FD5" w14:textId="36337FEF" w:rsidR="00D36B31" w:rsidRDefault="0098642D" w:rsidP="00D36B31">
      <w:pPr>
        <w:jc w:val="center"/>
        <w:rPr>
          <w:rFonts w:ascii="Myriad Pro" w:hAnsi="Myriad Pro"/>
          <w:sz w:val="22"/>
          <w:szCs w:val="22"/>
        </w:rPr>
      </w:pPr>
      <w:r>
        <w:rPr>
          <w:rFonts w:ascii="Myriad Pro" w:hAnsi="Myriad Pro"/>
          <w:sz w:val="22"/>
          <w:szCs w:val="22"/>
        </w:rPr>
        <w:br w:type="page"/>
      </w:r>
    </w:p>
    <w:p w14:paraId="642F28B1" w14:textId="25C3757F" w:rsidR="00F95DBA" w:rsidRDefault="00F95DBA" w:rsidP="00F95DBA">
      <w:pPr>
        <w:jc w:val="center"/>
        <w:rPr>
          <w:rFonts w:ascii="Myriad Pro" w:hAnsi="Myriad Pro"/>
          <w:b/>
          <w:sz w:val="22"/>
          <w:szCs w:val="22"/>
        </w:rPr>
      </w:pPr>
      <w:r>
        <w:rPr>
          <w:rFonts w:ascii="Myriad Pro" w:hAnsi="Myriad Pro"/>
          <w:b/>
          <w:noProof/>
          <w:sz w:val="22"/>
          <w:szCs w:val="22"/>
        </w:rPr>
        <w:lastRenderedPageBreak/>
        <w:drawing>
          <wp:inline distT="0" distB="0" distL="0" distR="0" wp14:anchorId="567F5843" wp14:editId="7D1DC557">
            <wp:extent cx="5486400" cy="604052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S1new.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86400" cy="6040526"/>
                    </a:xfrm>
                    <a:prstGeom prst="rect">
                      <a:avLst/>
                    </a:prstGeom>
                  </pic:spPr>
                </pic:pic>
              </a:graphicData>
            </a:graphic>
          </wp:inline>
        </w:drawing>
      </w:r>
    </w:p>
    <w:p w14:paraId="07275DD7" w14:textId="496F23BD" w:rsidR="00D36B31" w:rsidRDefault="00D36B31" w:rsidP="00D36B31">
      <w:pPr>
        <w:jc w:val="both"/>
        <w:rPr>
          <w:rFonts w:ascii="Myriad Pro" w:hAnsi="Myriad Pro"/>
          <w:sz w:val="22"/>
          <w:szCs w:val="22"/>
        </w:rPr>
      </w:pPr>
      <w:r w:rsidRPr="00D36B31">
        <w:rPr>
          <w:rFonts w:ascii="Myriad Pro" w:hAnsi="Myriad Pro"/>
          <w:b/>
          <w:sz w:val="22"/>
          <w:szCs w:val="22"/>
        </w:rPr>
        <w:t>Figure S1.</w:t>
      </w:r>
      <w:r w:rsidRPr="00D36B31">
        <w:rPr>
          <w:rFonts w:ascii="Myriad Pro" w:hAnsi="Myriad Pro"/>
          <w:sz w:val="22"/>
          <w:szCs w:val="22"/>
        </w:rPr>
        <w:t xml:space="preserve"> Examples of sizes and </w:t>
      </w:r>
      <w:r w:rsidR="008A3313">
        <w:rPr>
          <w:rFonts w:ascii="Myriad Pro" w:hAnsi="Myriad Pro"/>
          <w:sz w:val="22"/>
          <w:szCs w:val="22"/>
        </w:rPr>
        <w:t>type</w:t>
      </w:r>
      <w:r w:rsidRPr="00D36B31">
        <w:rPr>
          <w:rFonts w:ascii="Myriad Pro" w:hAnsi="Myriad Pro"/>
          <w:sz w:val="22"/>
          <w:szCs w:val="22"/>
        </w:rPr>
        <w:t xml:space="preserve"> of ballistic projectiles observed during past events at Stromboli. (a) ballistic block impacted near </w:t>
      </w:r>
      <w:proofErr w:type="spellStart"/>
      <w:r w:rsidRPr="00D36B31">
        <w:rPr>
          <w:rFonts w:ascii="Myriad Pro" w:hAnsi="Myriad Pro"/>
          <w:sz w:val="22"/>
          <w:szCs w:val="22"/>
        </w:rPr>
        <w:t>Labronzo</w:t>
      </w:r>
      <w:proofErr w:type="spellEnd"/>
      <w:r w:rsidRPr="00D36B31">
        <w:rPr>
          <w:rFonts w:ascii="Myriad Pro" w:hAnsi="Myriad Pro"/>
          <w:sz w:val="22"/>
          <w:szCs w:val="22"/>
        </w:rPr>
        <w:t xml:space="preserve"> Lighthouse during the paroxysm of 11 Sep. 1930 (</w:t>
      </w:r>
      <w:proofErr w:type="spellStart"/>
      <w:r w:rsidRPr="00D36B31">
        <w:rPr>
          <w:rFonts w:ascii="Myriad Pro" w:hAnsi="Myriad Pro"/>
          <w:sz w:val="22"/>
          <w:szCs w:val="22"/>
        </w:rPr>
        <w:t>Abbruzzese</w:t>
      </w:r>
      <w:proofErr w:type="spellEnd"/>
      <w:r w:rsidRPr="00D36B31">
        <w:rPr>
          <w:rFonts w:ascii="Myriad Pro" w:hAnsi="Myriad Pro"/>
          <w:sz w:val="22"/>
          <w:szCs w:val="22"/>
        </w:rPr>
        <w:t>, 1936; this is the same projectile shown in Fig.1c); (</w:t>
      </w:r>
      <w:proofErr w:type="spellStart"/>
      <w:r w:rsidRPr="00D36B31">
        <w:rPr>
          <w:rFonts w:ascii="Myriad Pro" w:hAnsi="Myriad Pro"/>
          <w:sz w:val="22"/>
          <w:szCs w:val="22"/>
        </w:rPr>
        <w:t>b</w:t>
      </w:r>
      <w:proofErr w:type="gramStart"/>
      <w:r w:rsidRPr="00D36B31">
        <w:rPr>
          <w:rFonts w:ascii="Myriad Pro" w:hAnsi="Myriad Pro"/>
          <w:sz w:val="22"/>
          <w:szCs w:val="22"/>
        </w:rPr>
        <w:t>,c</w:t>
      </w:r>
      <w:proofErr w:type="spellEnd"/>
      <w:proofErr w:type="gramEnd"/>
      <w:r w:rsidRPr="00D36B31">
        <w:rPr>
          <w:rFonts w:ascii="Myriad Pro" w:hAnsi="Myriad Pro"/>
          <w:sz w:val="22"/>
          <w:szCs w:val="22"/>
        </w:rPr>
        <w:t>) flattened bombs found in the summit area after the paroxysm of 11 July 1959 and the major explosion of 16 Oct. 1993, respectively (</w:t>
      </w:r>
      <w:proofErr w:type="spellStart"/>
      <w:r w:rsidRPr="00D36B31">
        <w:rPr>
          <w:rFonts w:ascii="Myriad Pro" w:hAnsi="Myriad Pro"/>
          <w:sz w:val="22"/>
          <w:szCs w:val="22"/>
        </w:rPr>
        <w:t>Cavallaro</w:t>
      </w:r>
      <w:proofErr w:type="spellEnd"/>
      <w:r w:rsidRPr="00D36B31">
        <w:rPr>
          <w:rFonts w:ascii="Myriad Pro" w:hAnsi="Myriad Pro"/>
          <w:sz w:val="22"/>
          <w:szCs w:val="22"/>
        </w:rPr>
        <w:t xml:space="preserve">, 1960; </w:t>
      </w:r>
      <w:proofErr w:type="spellStart"/>
      <w:r w:rsidRPr="00D36B31">
        <w:rPr>
          <w:rFonts w:ascii="Myriad Pro" w:hAnsi="Myriad Pro"/>
          <w:sz w:val="22"/>
          <w:szCs w:val="22"/>
        </w:rPr>
        <w:t>Bonaccorso</w:t>
      </w:r>
      <w:proofErr w:type="spellEnd"/>
      <w:r w:rsidRPr="00D36B31">
        <w:rPr>
          <w:rFonts w:ascii="Myriad Pro" w:hAnsi="Myriad Pro"/>
          <w:sz w:val="22"/>
          <w:szCs w:val="22"/>
        </w:rPr>
        <w:t xml:space="preserve"> et al., 1996); their scale is illustrated by (b) the hammer placed on top of and (c) the sleeping pad underneath the bombs. (d) </w:t>
      </w:r>
      <w:proofErr w:type="spellStart"/>
      <w:proofErr w:type="gramStart"/>
      <w:r w:rsidRPr="00D36B31">
        <w:rPr>
          <w:rFonts w:ascii="Myriad Pro" w:hAnsi="Myriad Pro"/>
          <w:sz w:val="22"/>
          <w:szCs w:val="22"/>
        </w:rPr>
        <w:t>scoriaceous</w:t>
      </w:r>
      <w:proofErr w:type="spellEnd"/>
      <w:proofErr w:type="gramEnd"/>
      <w:r w:rsidRPr="00D36B31">
        <w:rPr>
          <w:rFonts w:ascii="Myriad Pro" w:hAnsi="Myriad Pro"/>
          <w:sz w:val="22"/>
          <w:szCs w:val="22"/>
        </w:rPr>
        <w:t xml:space="preserve"> projectile observed along </w:t>
      </w:r>
      <w:proofErr w:type="spellStart"/>
      <w:r w:rsidRPr="00D36B31">
        <w:rPr>
          <w:rFonts w:ascii="Myriad Pro" w:hAnsi="Myriad Pro"/>
          <w:sz w:val="22"/>
          <w:szCs w:val="22"/>
        </w:rPr>
        <w:t>Ginostra</w:t>
      </w:r>
      <w:proofErr w:type="spellEnd"/>
      <w:r w:rsidRPr="00D36B31">
        <w:rPr>
          <w:rFonts w:ascii="Myriad Pro" w:hAnsi="Myriad Pro"/>
          <w:sz w:val="22"/>
          <w:szCs w:val="22"/>
        </w:rPr>
        <w:t xml:space="preserve"> trail after the paroxysm of 3 July 2019 (A. </w:t>
      </w:r>
      <w:proofErr w:type="spellStart"/>
      <w:r w:rsidRPr="00D36B31">
        <w:rPr>
          <w:rFonts w:ascii="Myriad Pro" w:hAnsi="Myriad Pro"/>
          <w:sz w:val="22"/>
          <w:szCs w:val="22"/>
        </w:rPr>
        <w:t>Bevilacqua</w:t>
      </w:r>
      <w:proofErr w:type="spellEnd"/>
      <w:r w:rsidRPr="00D36B31">
        <w:rPr>
          <w:rFonts w:ascii="Myriad Pro" w:hAnsi="Myriad Pro"/>
          <w:sz w:val="22"/>
          <w:szCs w:val="22"/>
        </w:rPr>
        <w:t xml:space="preserve"> ph.); (e) example of broken blocks found near the summit helipad after the major explosion of 13 May 2022 (P. Landi ph</w:t>
      </w:r>
      <w:r w:rsidR="00442BBE">
        <w:rPr>
          <w:rFonts w:ascii="Myriad Pro" w:hAnsi="Myriad Pro"/>
          <w:sz w:val="22"/>
          <w:szCs w:val="22"/>
        </w:rPr>
        <w:t>.</w:t>
      </w:r>
      <w:r w:rsidRPr="00D36B31">
        <w:rPr>
          <w:rFonts w:ascii="Myriad Pro" w:hAnsi="Myriad Pro"/>
          <w:sz w:val="22"/>
          <w:szCs w:val="22"/>
        </w:rPr>
        <w:t>).</w:t>
      </w:r>
      <w:r w:rsidR="009E51FA">
        <w:rPr>
          <w:rFonts w:ascii="Myriad Pro" w:hAnsi="Myriad Pro"/>
          <w:sz w:val="22"/>
          <w:szCs w:val="22"/>
        </w:rPr>
        <w:t xml:space="preserve"> </w:t>
      </w:r>
      <w:r w:rsidR="009E51FA" w:rsidRPr="00303997">
        <w:rPr>
          <w:rFonts w:ascii="Myriad Pro" w:hAnsi="Myriad Pro"/>
          <w:sz w:val="22"/>
          <w:szCs w:val="22"/>
        </w:rPr>
        <w:t>The small map (f) indicates the sites of the photos.</w:t>
      </w:r>
    </w:p>
    <w:p w14:paraId="367A2335" w14:textId="77777777" w:rsidR="00D36B31" w:rsidRDefault="00D36B31">
      <w:pPr>
        <w:rPr>
          <w:rFonts w:ascii="Myriad Pro" w:hAnsi="Myriad Pro"/>
          <w:sz w:val="22"/>
          <w:szCs w:val="22"/>
        </w:rPr>
      </w:pPr>
      <w:r>
        <w:rPr>
          <w:rFonts w:ascii="Myriad Pro" w:hAnsi="Myriad Pro"/>
          <w:sz w:val="22"/>
          <w:szCs w:val="22"/>
        </w:rPr>
        <w:br w:type="page"/>
      </w:r>
    </w:p>
    <w:p w14:paraId="0AB39F12" w14:textId="10D04BC9" w:rsidR="00D36B31" w:rsidRDefault="00F95DBA" w:rsidP="00D36B31">
      <w:pPr>
        <w:jc w:val="center"/>
        <w:rPr>
          <w:rFonts w:ascii="Myriad Pro" w:hAnsi="Myriad Pro"/>
          <w:sz w:val="22"/>
          <w:szCs w:val="22"/>
        </w:rPr>
      </w:pPr>
      <w:r>
        <w:rPr>
          <w:rFonts w:ascii="Myriad Pro" w:hAnsi="Myriad Pro"/>
          <w:noProof/>
          <w:sz w:val="22"/>
          <w:szCs w:val="22"/>
        </w:rPr>
        <w:lastRenderedPageBreak/>
        <w:drawing>
          <wp:inline distT="0" distB="0" distL="0" distR="0" wp14:anchorId="21F80955" wp14:editId="70C417BC">
            <wp:extent cx="4696443" cy="7025640"/>
            <wp:effectExtent l="0" t="0" r="952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S2new.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698171" cy="7028225"/>
                    </a:xfrm>
                    <a:prstGeom prst="rect">
                      <a:avLst/>
                    </a:prstGeom>
                  </pic:spPr>
                </pic:pic>
              </a:graphicData>
            </a:graphic>
          </wp:inline>
        </w:drawing>
      </w:r>
    </w:p>
    <w:p w14:paraId="539A3B97" w14:textId="7F05879B" w:rsidR="00D36B31" w:rsidRDefault="00D36B31" w:rsidP="00D36B31">
      <w:pPr>
        <w:jc w:val="both"/>
        <w:rPr>
          <w:rFonts w:ascii="Myriad Pro" w:hAnsi="Myriad Pro"/>
          <w:sz w:val="22"/>
          <w:szCs w:val="22"/>
        </w:rPr>
      </w:pPr>
      <w:r w:rsidRPr="00D36B31">
        <w:rPr>
          <w:rFonts w:ascii="Myriad Pro" w:hAnsi="Myriad Pro"/>
          <w:b/>
          <w:sz w:val="22"/>
          <w:szCs w:val="22"/>
        </w:rPr>
        <w:t>Figure S2.</w:t>
      </w:r>
      <w:r w:rsidRPr="00D36B31">
        <w:rPr>
          <w:rFonts w:ascii="Myriad Pro" w:hAnsi="Myriad Pro"/>
          <w:sz w:val="22"/>
          <w:szCs w:val="22"/>
        </w:rPr>
        <w:t xml:space="preserve"> Three examples of field data (left) and simplified maps (right) of the areas affected by ballistics, including measurements of maximum distances, directional angles, and sector </w:t>
      </w:r>
      <w:r w:rsidR="006E3D3D">
        <w:rPr>
          <w:rFonts w:ascii="Myriad Pro" w:hAnsi="Myriad Pro"/>
          <w:sz w:val="22"/>
          <w:szCs w:val="22"/>
        </w:rPr>
        <w:t>width</w:t>
      </w:r>
      <w:r w:rsidRPr="00D36B31">
        <w:rPr>
          <w:rFonts w:ascii="Myriad Pro" w:hAnsi="Myriad Pro"/>
          <w:sz w:val="22"/>
          <w:szCs w:val="22"/>
        </w:rPr>
        <w:t xml:space="preserve">s. See also Supporting Text S1 and S2, </w:t>
      </w:r>
      <w:r w:rsidR="009E3644">
        <w:rPr>
          <w:rFonts w:ascii="Myriad Pro" w:hAnsi="Myriad Pro"/>
          <w:sz w:val="22"/>
          <w:szCs w:val="22"/>
        </w:rPr>
        <w:t xml:space="preserve">and </w:t>
      </w:r>
      <w:r w:rsidRPr="00D36B31">
        <w:rPr>
          <w:rFonts w:ascii="Myriad Pro" w:hAnsi="Myriad Pro"/>
          <w:sz w:val="22"/>
          <w:szCs w:val="22"/>
        </w:rPr>
        <w:t xml:space="preserve">Tables S1 and S2. Different hues indicate different uncertainty classes: blue for low, azure for intermediate, green for high uncertainty. The boundary areas in lighter colors around each sector represent the uncertainty considered. </w:t>
      </w:r>
      <w:r>
        <w:rPr>
          <w:rFonts w:ascii="Myriad Pro" w:hAnsi="Myriad Pro"/>
          <w:sz w:val="22"/>
          <w:szCs w:val="22"/>
        </w:rPr>
        <w:br w:type="page"/>
      </w:r>
    </w:p>
    <w:p w14:paraId="2DCF8926" w14:textId="175F69D8" w:rsidR="00F95DBA" w:rsidRDefault="00F95DBA" w:rsidP="00F95DBA">
      <w:pPr>
        <w:pStyle w:val="SMHeading"/>
        <w:spacing w:before="0"/>
        <w:jc w:val="center"/>
        <w:rPr>
          <w:rFonts w:ascii="Myriad Pro" w:hAnsi="Myriad Pro"/>
          <w:sz w:val="22"/>
          <w:szCs w:val="22"/>
        </w:rPr>
      </w:pPr>
      <w:r>
        <w:rPr>
          <w:rFonts w:ascii="Myriad Pro" w:hAnsi="Myriad Pro"/>
          <w:noProof/>
          <w:sz w:val="22"/>
          <w:szCs w:val="22"/>
        </w:rPr>
        <w:lastRenderedPageBreak/>
        <w:drawing>
          <wp:inline distT="0" distB="0" distL="0" distR="0" wp14:anchorId="426C2F74" wp14:editId="211EFDF7">
            <wp:extent cx="5486400" cy="4699101"/>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S3.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86400" cy="4699101"/>
                    </a:xfrm>
                    <a:prstGeom prst="rect">
                      <a:avLst/>
                    </a:prstGeom>
                  </pic:spPr>
                </pic:pic>
              </a:graphicData>
            </a:graphic>
          </wp:inline>
        </w:drawing>
      </w:r>
    </w:p>
    <w:p w14:paraId="533259E1" w14:textId="34955938" w:rsidR="00D65FA7" w:rsidRDefault="00D65FA7" w:rsidP="00B43212">
      <w:pPr>
        <w:pStyle w:val="SMHeading"/>
        <w:spacing w:before="0"/>
        <w:jc w:val="both"/>
        <w:rPr>
          <w:rFonts w:ascii="Myriad Pro" w:hAnsi="Myriad Pro"/>
          <w:b w:val="0"/>
          <w:sz w:val="22"/>
          <w:szCs w:val="22"/>
        </w:rPr>
      </w:pPr>
      <w:r w:rsidRPr="005314B5">
        <w:rPr>
          <w:rFonts w:ascii="Myriad Pro" w:hAnsi="Myriad Pro"/>
          <w:sz w:val="22"/>
          <w:szCs w:val="22"/>
        </w:rPr>
        <w:t>Figure S</w:t>
      </w:r>
      <w:r w:rsidR="00D36B31">
        <w:rPr>
          <w:rFonts w:ascii="Myriad Pro" w:hAnsi="Myriad Pro"/>
          <w:sz w:val="22"/>
          <w:szCs w:val="22"/>
        </w:rPr>
        <w:t>3</w:t>
      </w:r>
      <w:r w:rsidRPr="005314B5">
        <w:rPr>
          <w:rFonts w:ascii="Myriad Pro" w:hAnsi="Myriad Pro"/>
          <w:sz w:val="22"/>
          <w:szCs w:val="22"/>
        </w:rPr>
        <w:t xml:space="preserve">. </w:t>
      </w:r>
      <w:proofErr w:type="gramStart"/>
      <w:r w:rsidRPr="00D65FA7">
        <w:rPr>
          <w:rFonts w:ascii="Myriad Pro" w:hAnsi="Myriad Pro"/>
          <w:b w:val="0"/>
          <w:sz w:val="22"/>
          <w:szCs w:val="22"/>
        </w:rPr>
        <w:t>(a) Historical catalog of major explosions and paroxysms at Stromboli from 1879 to 1960, (b) recent catalog from 1970 to 2023.</w:t>
      </w:r>
      <w:proofErr w:type="gramEnd"/>
      <w:r w:rsidRPr="00D65FA7">
        <w:rPr>
          <w:rFonts w:ascii="Myriad Pro" w:hAnsi="Myriad Pro"/>
          <w:b w:val="0"/>
          <w:sz w:val="22"/>
          <w:szCs w:val="22"/>
        </w:rPr>
        <w:t xml:space="preserve"> Black bars mark the major explosions and red bars mark the paroxysms. Table S1 reports the full explosion record of the two catalogs.</w:t>
      </w:r>
    </w:p>
    <w:p w14:paraId="65240563" w14:textId="1724DB18" w:rsidR="00D65FA7" w:rsidRDefault="00D65FA7">
      <w:pPr>
        <w:rPr>
          <w:rFonts w:ascii="Myriad Pro" w:hAnsi="Myriad Pro"/>
          <w:sz w:val="22"/>
          <w:szCs w:val="22"/>
        </w:rPr>
      </w:pPr>
      <w:r>
        <w:rPr>
          <w:rFonts w:ascii="Myriad Pro" w:hAnsi="Myriad Pro"/>
          <w:sz w:val="22"/>
          <w:szCs w:val="22"/>
        </w:rPr>
        <w:br w:type="page"/>
      </w:r>
    </w:p>
    <w:p w14:paraId="09F0406D" w14:textId="566E6866" w:rsidR="0098642D" w:rsidRPr="000E2493" w:rsidRDefault="00F95DBA" w:rsidP="005A57A3">
      <w:pPr>
        <w:pStyle w:val="SMHeading"/>
        <w:jc w:val="center"/>
        <w:rPr>
          <w:rFonts w:ascii="Myriad Pro" w:hAnsi="Myriad Pro"/>
          <w:sz w:val="22"/>
          <w:szCs w:val="22"/>
        </w:rPr>
      </w:pPr>
      <w:r>
        <w:rPr>
          <w:rFonts w:ascii="Myriad Pro" w:hAnsi="Myriad Pro"/>
          <w:noProof/>
          <w:sz w:val="22"/>
          <w:szCs w:val="22"/>
        </w:rPr>
        <w:lastRenderedPageBreak/>
        <w:drawing>
          <wp:inline distT="0" distB="0" distL="0" distR="0" wp14:anchorId="64A7F66E" wp14:editId="1E4DCCB8">
            <wp:extent cx="5486399" cy="6668719"/>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S4new.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86399" cy="6668719"/>
                    </a:xfrm>
                    <a:prstGeom prst="rect">
                      <a:avLst/>
                    </a:prstGeom>
                  </pic:spPr>
                </pic:pic>
              </a:graphicData>
            </a:graphic>
          </wp:inline>
        </w:drawing>
      </w:r>
    </w:p>
    <w:p w14:paraId="2A630BF5" w14:textId="2E8E4EDF" w:rsidR="00AF2636" w:rsidRDefault="00227D86" w:rsidP="00125C74">
      <w:pPr>
        <w:pStyle w:val="SMHeading"/>
        <w:spacing w:before="0"/>
        <w:jc w:val="both"/>
        <w:rPr>
          <w:rFonts w:ascii="Myriad Pro" w:hAnsi="Myriad Pro"/>
          <w:b w:val="0"/>
          <w:sz w:val="22"/>
          <w:szCs w:val="22"/>
        </w:rPr>
      </w:pPr>
      <w:r w:rsidRPr="005314B5">
        <w:rPr>
          <w:rFonts w:ascii="Myriad Pro" w:hAnsi="Myriad Pro"/>
          <w:sz w:val="22"/>
          <w:szCs w:val="22"/>
        </w:rPr>
        <w:t>Figure S</w:t>
      </w:r>
      <w:r w:rsidR="00D36B31">
        <w:rPr>
          <w:rFonts w:ascii="Myriad Pro" w:hAnsi="Myriad Pro"/>
          <w:sz w:val="22"/>
          <w:szCs w:val="22"/>
        </w:rPr>
        <w:t>4</w:t>
      </w:r>
      <w:r w:rsidR="003E1980" w:rsidRPr="005314B5">
        <w:rPr>
          <w:rFonts w:ascii="Myriad Pro" w:hAnsi="Myriad Pro"/>
          <w:sz w:val="22"/>
          <w:szCs w:val="22"/>
        </w:rPr>
        <w:t xml:space="preserve">. </w:t>
      </w:r>
      <w:r w:rsidR="0087513E">
        <w:rPr>
          <w:rFonts w:ascii="Myriad Pro" w:hAnsi="Myriad Pro"/>
          <w:b w:val="0"/>
          <w:sz w:val="22"/>
          <w:szCs w:val="22"/>
        </w:rPr>
        <w:t>List</w:t>
      </w:r>
      <w:r w:rsidR="0098642D" w:rsidRPr="0098642D">
        <w:rPr>
          <w:rFonts w:ascii="Myriad Pro" w:hAnsi="Myriad Pro"/>
          <w:b w:val="0"/>
          <w:sz w:val="22"/>
          <w:szCs w:val="22"/>
        </w:rPr>
        <w:t xml:space="preserve"> of the ballistic distances arranged in ascending order, by considering </w:t>
      </w:r>
      <w:r w:rsidR="0098642D">
        <w:rPr>
          <w:rFonts w:ascii="Myriad Pro" w:hAnsi="Myriad Pro"/>
          <w:b w:val="0"/>
          <w:sz w:val="22"/>
          <w:szCs w:val="22"/>
        </w:rPr>
        <w:t>(</w:t>
      </w:r>
      <w:proofErr w:type="spellStart"/>
      <w:r w:rsidR="0098642D">
        <w:rPr>
          <w:rFonts w:ascii="Myriad Pro" w:hAnsi="Myriad Pro"/>
          <w:b w:val="0"/>
          <w:sz w:val="22"/>
          <w:szCs w:val="22"/>
        </w:rPr>
        <w:t>a,</w:t>
      </w:r>
      <w:r w:rsidR="00125C74">
        <w:rPr>
          <w:rFonts w:ascii="Myriad Pro" w:hAnsi="Myriad Pro"/>
          <w:b w:val="0"/>
          <w:sz w:val="22"/>
          <w:szCs w:val="22"/>
        </w:rPr>
        <w:t>b</w:t>
      </w:r>
      <w:proofErr w:type="spellEnd"/>
      <w:r w:rsidR="0098642D">
        <w:rPr>
          <w:rFonts w:ascii="Myriad Pro" w:hAnsi="Myriad Pro"/>
          <w:b w:val="0"/>
          <w:sz w:val="22"/>
          <w:szCs w:val="22"/>
        </w:rPr>
        <w:t xml:space="preserve">) </w:t>
      </w:r>
      <w:r w:rsidR="00125C74">
        <w:rPr>
          <w:rFonts w:ascii="Myriad Pro" w:hAnsi="Myriad Pro"/>
          <w:b w:val="0"/>
          <w:sz w:val="22"/>
          <w:szCs w:val="22"/>
        </w:rPr>
        <w:t>the maximum distances of each event</w:t>
      </w:r>
      <w:r w:rsidR="005A57A3">
        <w:rPr>
          <w:rFonts w:ascii="Myriad Pro" w:hAnsi="Myriad Pro"/>
          <w:b w:val="0"/>
          <w:sz w:val="22"/>
          <w:szCs w:val="22"/>
        </w:rPr>
        <w:t>, (</w:t>
      </w:r>
      <w:proofErr w:type="spellStart"/>
      <w:r w:rsidR="00125C74">
        <w:rPr>
          <w:rFonts w:ascii="Myriad Pro" w:hAnsi="Myriad Pro"/>
          <w:b w:val="0"/>
          <w:sz w:val="22"/>
          <w:szCs w:val="22"/>
        </w:rPr>
        <w:t>c</w:t>
      </w:r>
      <w:r w:rsidR="005A57A3">
        <w:rPr>
          <w:rFonts w:ascii="Myriad Pro" w:hAnsi="Myriad Pro"/>
          <w:b w:val="0"/>
          <w:sz w:val="22"/>
          <w:szCs w:val="22"/>
        </w:rPr>
        <w:t>,d</w:t>
      </w:r>
      <w:proofErr w:type="spellEnd"/>
      <w:r w:rsidR="0098642D">
        <w:rPr>
          <w:rFonts w:ascii="Myriad Pro" w:hAnsi="Myriad Pro"/>
          <w:b w:val="0"/>
          <w:sz w:val="22"/>
          <w:szCs w:val="22"/>
        </w:rPr>
        <w:t>)</w:t>
      </w:r>
      <w:r w:rsidR="0098642D" w:rsidRPr="0098642D">
        <w:rPr>
          <w:rFonts w:ascii="Myriad Pro" w:hAnsi="Myriad Pro"/>
          <w:b w:val="0"/>
          <w:sz w:val="22"/>
          <w:szCs w:val="22"/>
        </w:rPr>
        <w:t xml:space="preserve"> </w:t>
      </w:r>
      <w:r w:rsidR="00125C74" w:rsidRPr="00125C74">
        <w:rPr>
          <w:rFonts w:ascii="Myriad Pro" w:hAnsi="Myriad Pro"/>
          <w:b w:val="0"/>
          <w:sz w:val="22"/>
          <w:szCs w:val="22"/>
        </w:rPr>
        <w:t>by considering all the circular sectors involved</w:t>
      </w:r>
      <w:r w:rsidR="00F95DBA">
        <w:rPr>
          <w:rFonts w:ascii="Myriad Pro" w:hAnsi="Myriad Pro"/>
          <w:b w:val="0"/>
          <w:sz w:val="22"/>
          <w:szCs w:val="22"/>
        </w:rPr>
        <w:t>; multiple sectors of the same event are identically labeled</w:t>
      </w:r>
      <w:r w:rsidR="0098642D">
        <w:rPr>
          <w:rFonts w:ascii="Myriad Pro" w:hAnsi="Myriad Pro"/>
          <w:b w:val="0"/>
          <w:sz w:val="22"/>
          <w:szCs w:val="22"/>
        </w:rPr>
        <w:t xml:space="preserve">. </w:t>
      </w:r>
      <w:r w:rsidR="0098642D" w:rsidRPr="0098642D">
        <w:rPr>
          <w:rFonts w:ascii="Myriad Pro" w:hAnsi="Myriad Pro"/>
          <w:b w:val="0"/>
          <w:sz w:val="22"/>
          <w:szCs w:val="22"/>
        </w:rPr>
        <w:t>In (</w:t>
      </w:r>
      <w:proofErr w:type="spellStart"/>
      <w:r w:rsidR="0098642D" w:rsidRPr="0098642D">
        <w:rPr>
          <w:rFonts w:ascii="Myriad Pro" w:hAnsi="Myriad Pro"/>
          <w:b w:val="0"/>
          <w:sz w:val="22"/>
          <w:szCs w:val="22"/>
        </w:rPr>
        <w:t>a</w:t>
      </w:r>
      <w:proofErr w:type="gramStart"/>
      <w:r w:rsidR="005A57A3">
        <w:rPr>
          <w:rFonts w:ascii="Myriad Pro" w:hAnsi="Myriad Pro"/>
          <w:b w:val="0"/>
          <w:sz w:val="22"/>
          <w:szCs w:val="22"/>
        </w:rPr>
        <w:t>,</w:t>
      </w:r>
      <w:r w:rsidR="00125C74">
        <w:rPr>
          <w:rFonts w:ascii="Myriad Pro" w:hAnsi="Myriad Pro"/>
          <w:b w:val="0"/>
          <w:sz w:val="22"/>
          <w:szCs w:val="22"/>
        </w:rPr>
        <w:t>c</w:t>
      </w:r>
      <w:proofErr w:type="spellEnd"/>
      <w:proofErr w:type="gramEnd"/>
      <w:r w:rsidR="0098642D" w:rsidRPr="0098642D">
        <w:rPr>
          <w:rFonts w:ascii="Myriad Pro" w:hAnsi="Myriad Pro"/>
          <w:b w:val="0"/>
          <w:sz w:val="22"/>
          <w:szCs w:val="22"/>
        </w:rPr>
        <w:t>) we sho</w:t>
      </w:r>
      <w:r w:rsidR="0098642D">
        <w:rPr>
          <w:rFonts w:ascii="Myriad Pro" w:hAnsi="Myriad Pro"/>
          <w:b w:val="0"/>
          <w:sz w:val="22"/>
          <w:szCs w:val="22"/>
        </w:rPr>
        <w:t>w the major explosions and in (</w:t>
      </w:r>
      <w:proofErr w:type="spellStart"/>
      <w:r w:rsidR="00125C74">
        <w:rPr>
          <w:rFonts w:ascii="Myriad Pro" w:hAnsi="Myriad Pro"/>
          <w:b w:val="0"/>
          <w:sz w:val="22"/>
          <w:szCs w:val="22"/>
        </w:rPr>
        <w:t>b</w:t>
      </w:r>
      <w:r w:rsidR="005A57A3">
        <w:rPr>
          <w:rFonts w:ascii="Myriad Pro" w:hAnsi="Myriad Pro"/>
          <w:b w:val="0"/>
          <w:sz w:val="22"/>
          <w:szCs w:val="22"/>
        </w:rPr>
        <w:t>,d</w:t>
      </w:r>
      <w:proofErr w:type="spellEnd"/>
      <w:r w:rsidR="0098642D" w:rsidRPr="0098642D">
        <w:rPr>
          <w:rFonts w:ascii="Myriad Pro" w:hAnsi="Myriad Pro"/>
          <w:b w:val="0"/>
          <w:sz w:val="22"/>
          <w:szCs w:val="22"/>
        </w:rPr>
        <w:t>) the paroxysms</w:t>
      </w:r>
      <w:r w:rsidR="003E0D8F" w:rsidRPr="003E0D8F">
        <w:rPr>
          <w:rFonts w:ascii="Myriad Pro" w:hAnsi="Myriad Pro"/>
          <w:b w:val="0"/>
          <w:sz w:val="22"/>
          <w:szCs w:val="22"/>
        </w:rPr>
        <w:t xml:space="preserve">, labeled according to Figures </w:t>
      </w:r>
      <w:r w:rsidR="005A57A3">
        <w:rPr>
          <w:rFonts w:ascii="Myriad Pro" w:hAnsi="Myriad Pro"/>
          <w:b w:val="0"/>
          <w:sz w:val="22"/>
          <w:szCs w:val="22"/>
        </w:rPr>
        <w:t>5-7</w:t>
      </w:r>
      <w:r w:rsidR="0098642D" w:rsidRPr="0098642D">
        <w:rPr>
          <w:rFonts w:ascii="Myriad Pro" w:hAnsi="Myriad Pro"/>
          <w:b w:val="0"/>
          <w:sz w:val="22"/>
          <w:szCs w:val="22"/>
        </w:rPr>
        <w:t xml:space="preserve">. Dashed lines highlight the maximum uncertainty. The counting index is chronological among equal distances. The colors distinguish the classes of uncertainty, i.e. blue is low, light blue is intermediate, green is high. </w:t>
      </w:r>
    </w:p>
    <w:p w14:paraId="056CD0B2" w14:textId="4FB3520A" w:rsidR="003E1980" w:rsidRPr="005314B5" w:rsidRDefault="00F95DBA" w:rsidP="00F95DBA">
      <w:pPr>
        <w:pStyle w:val="SMHeading"/>
        <w:jc w:val="center"/>
        <w:rPr>
          <w:rFonts w:ascii="Myriad Pro" w:hAnsi="Myriad Pro"/>
          <w:sz w:val="22"/>
          <w:szCs w:val="22"/>
        </w:rPr>
      </w:pPr>
      <w:r>
        <w:rPr>
          <w:rFonts w:ascii="Myriad Pro" w:hAnsi="Myriad Pro"/>
          <w:noProof/>
          <w:sz w:val="22"/>
          <w:szCs w:val="22"/>
        </w:rPr>
        <w:lastRenderedPageBreak/>
        <w:drawing>
          <wp:inline distT="0" distB="0" distL="0" distR="0" wp14:anchorId="2D5F2B1E" wp14:editId="770CECB9">
            <wp:extent cx="5486400" cy="59061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S5ok.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86400" cy="5906135"/>
                    </a:xfrm>
                    <a:prstGeom prst="rect">
                      <a:avLst/>
                    </a:prstGeom>
                  </pic:spPr>
                </pic:pic>
              </a:graphicData>
            </a:graphic>
          </wp:inline>
        </w:drawing>
      </w:r>
    </w:p>
    <w:p w14:paraId="55916AE9" w14:textId="443C0B49" w:rsidR="00AF2636" w:rsidRDefault="00AF2636" w:rsidP="00B43212">
      <w:pPr>
        <w:pStyle w:val="SMHeading"/>
        <w:spacing w:before="0"/>
        <w:jc w:val="both"/>
        <w:rPr>
          <w:rFonts w:ascii="Myriad Pro" w:hAnsi="Myriad Pro"/>
          <w:sz w:val="22"/>
          <w:szCs w:val="22"/>
        </w:rPr>
      </w:pPr>
      <w:r w:rsidRPr="005314B5">
        <w:rPr>
          <w:rFonts w:ascii="Myriad Pro" w:hAnsi="Myriad Pro"/>
          <w:sz w:val="22"/>
          <w:szCs w:val="22"/>
        </w:rPr>
        <w:t>Figure S</w:t>
      </w:r>
      <w:r w:rsidR="00D36B31">
        <w:rPr>
          <w:rFonts w:ascii="Myriad Pro" w:hAnsi="Myriad Pro"/>
          <w:sz w:val="22"/>
          <w:szCs w:val="22"/>
        </w:rPr>
        <w:t>5</w:t>
      </w:r>
      <w:r w:rsidRPr="005314B5">
        <w:rPr>
          <w:rFonts w:ascii="Myriad Pro" w:hAnsi="Myriad Pro"/>
          <w:sz w:val="22"/>
          <w:szCs w:val="22"/>
        </w:rPr>
        <w:t xml:space="preserve">. </w:t>
      </w:r>
      <w:r w:rsidRPr="00AF2636">
        <w:rPr>
          <w:rFonts w:ascii="Myriad Pro" w:hAnsi="Myriad Pro"/>
          <w:b w:val="0"/>
          <w:sz w:val="22"/>
          <w:szCs w:val="22"/>
        </w:rPr>
        <w:t>(</w:t>
      </w:r>
      <w:proofErr w:type="spellStart"/>
      <w:proofErr w:type="gramStart"/>
      <w:r w:rsidRPr="00AF2636">
        <w:rPr>
          <w:rFonts w:ascii="Myriad Pro" w:hAnsi="Myriad Pro"/>
          <w:b w:val="0"/>
          <w:sz w:val="22"/>
          <w:szCs w:val="22"/>
        </w:rPr>
        <w:t>a,</w:t>
      </w:r>
      <w:proofErr w:type="gramEnd"/>
      <w:r w:rsidRPr="00AF2636">
        <w:rPr>
          <w:rFonts w:ascii="Myriad Pro" w:hAnsi="Myriad Pro"/>
          <w:b w:val="0"/>
          <w:sz w:val="22"/>
          <w:szCs w:val="22"/>
        </w:rPr>
        <w:t>b</w:t>
      </w:r>
      <w:proofErr w:type="spellEnd"/>
      <w:r w:rsidRPr="00AF2636">
        <w:rPr>
          <w:rFonts w:ascii="Myriad Pro" w:hAnsi="Myriad Pro"/>
          <w:b w:val="0"/>
          <w:sz w:val="22"/>
          <w:szCs w:val="22"/>
        </w:rPr>
        <w:t xml:space="preserve">) </w:t>
      </w:r>
      <w:proofErr w:type="spellStart"/>
      <w:r w:rsidRPr="00AF2636">
        <w:rPr>
          <w:rFonts w:ascii="Myriad Pro" w:hAnsi="Myriad Pro"/>
          <w:b w:val="0"/>
          <w:sz w:val="22"/>
          <w:szCs w:val="22"/>
        </w:rPr>
        <w:t>Exceedance</w:t>
      </w:r>
      <w:proofErr w:type="spellEnd"/>
      <w:r w:rsidRPr="00AF2636">
        <w:rPr>
          <w:rFonts w:ascii="Myriad Pro" w:hAnsi="Myriad Pro"/>
          <w:b w:val="0"/>
          <w:sz w:val="22"/>
          <w:szCs w:val="22"/>
        </w:rPr>
        <w:t xml:space="preserve"> probability function of the </w:t>
      </w:r>
      <w:r>
        <w:rPr>
          <w:rFonts w:ascii="Myriad Pro" w:hAnsi="Myriad Pro"/>
          <w:b w:val="0"/>
          <w:sz w:val="22"/>
          <w:szCs w:val="22"/>
        </w:rPr>
        <w:t>maximum</w:t>
      </w:r>
      <w:r w:rsidRPr="00AF2636">
        <w:rPr>
          <w:rFonts w:ascii="Myriad Pro" w:hAnsi="Myriad Pro"/>
          <w:b w:val="0"/>
          <w:sz w:val="22"/>
          <w:szCs w:val="22"/>
        </w:rPr>
        <w:t xml:space="preserve"> distances </w:t>
      </w:r>
      <w:r>
        <w:rPr>
          <w:rFonts w:ascii="Myriad Pro" w:hAnsi="Myriad Pro"/>
          <w:b w:val="0"/>
          <w:sz w:val="22"/>
          <w:szCs w:val="22"/>
        </w:rPr>
        <w:t xml:space="preserve">(black) </w:t>
      </w:r>
      <w:proofErr w:type="gramStart"/>
      <w:r>
        <w:rPr>
          <w:rFonts w:ascii="Myriad Pro" w:hAnsi="Myriad Pro"/>
          <w:b w:val="0"/>
          <w:sz w:val="22"/>
          <w:szCs w:val="22"/>
        </w:rPr>
        <w:t>an of</w:t>
      </w:r>
      <w:proofErr w:type="gramEnd"/>
      <w:r>
        <w:rPr>
          <w:rFonts w:ascii="Myriad Pro" w:hAnsi="Myriad Pro"/>
          <w:b w:val="0"/>
          <w:sz w:val="22"/>
          <w:szCs w:val="22"/>
        </w:rPr>
        <w:t xml:space="preserve"> the</w:t>
      </w:r>
      <w:r w:rsidR="00DC3496">
        <w:rPr>
          <w:rFonts w:ascii="Myriad Pro" w:hAnsi="Myriad Pro"/>
          <w:b w:val="0"/>
          <w:sz w:val="22"/>
          <w:szCs w:val="22"/>
        </w:rPr>
        <w:t xml:space="preserve"> axisymmetric part</w:t>
      </w:r>
      <w:r>
        <w:rPr>
          <w:rFonts w:ascii="Myriad Pro" w:hAnsi="Myriad Pro"/>
          <w:b w:val="0"/>
          <w:sz w:val="22"/>
          <w:szCs w:val="22"/>
        </w:rPr>
        <w:t xml:space="preserve"> (blue)</w:t>
      </w:r>
      <w:r w:rsidRPr="00AF2636">
        <w:rPr>
          <w:rFonts w:ascii="Myriad Pro" w:hAnsi="Myriad Pro"/>
          <w:b w:val="0"/>
          <w:sz w:val="22"/>
          <w:szCs w:val="22"/>
        </w:rPr>
        <w:t xml:space="preserve">. All the circular sectors are weighted according to their amplitude. Dashed lines highlight the uncertainty intervals caused by the uncertainty estimates in the sectors affected by the projectiles. </w:t>
      </w:r>
      <w:r>
        <w:rPr>
          <w:rFonts w:ascii="Myriad Pro" w:hAnsi="Myriad Pro"/>
          <w:b w:val="0"/>
          <w:sz w:val="22"/>
          <w:szCs w:val="22"/>
        </w:rPr>
        <w:t>(</w:t>
      </w:r>
      <w:proofErr w:type="spellStart"/>
      <w:proofErr w:type="gramStart"/>
      <w:r>
        <w:rPr>
          <w:rFonts w:ascii="Myriad Pro" w:hAnsi="Myriad Pro"/>
          <w:b w:val="0"/>
          <w:sz w:val="22"/>
          <w:szCs w:val="22"/>
        </w:rPr>
        <w:t>c,</w:t>
      </w:r>
      <w:proofErr w:type="gramEnd"/>
      <w:r>
        <w:rPr>
          <w:rFonts w:ascii="Myriad Pro" w:hAnsi="Myriad Pro"/>
          <w:b w:val="0"/>
          <w:sz w:val="22"/>
          <w:szCs w:val="22"/>
        </w:rPr>
        <w:t>d</w:t>
      </w:r>
      <w:proofErr w:type="spellEnd"/>
      <w:r>
        <w:rPr>
          <w:rFonts w:ascii="Myriad Pro" w:hAnsi="Myriad Pro"/>
          <w:b w:val="0"/>
          <w:sz w:val="22"/>
          <w:szCs w:val="22"/>
        </w:rPr>
        <w:t xml:space="preserve">) </w:t>
      </w:r>
      <w:proofErr w:type="gramStart"/>
      <w:r w:rsidRPr="00AF2636">
        <w:rPr>
          <w:rFonts w:ascii="Myriad Pro" w:hAnsi="Myriad Pro"/>
          <w:b w:val="0"/>
          <w:sz w:val="22"/>
          <w:szCs w:val="22"/>
        </w:rPr>
        <w:t xml:space="preserve">Histograms of the </w:t>
      </w:r>
      <w:r w:rsidR="006E3D3D">
        <w:rPr>
          <w:rFonts w:ascii="Myriad Pro" w:hAnsi="Myriad Pro"/>
          <w:b w:val="0"/>
          <w:sz w:val="22"/>
          <w:szCs w:val="22"/>
        </w:rPr>
        <w:t>width</w:t>
      </w:r>
      <w:r w:rsidRPr="00AF2636">
        <w:rPr>
          <w:rFonts w:ascii="Myriad Pro" w:hAnsi="Myriad Pro"/>
          <w:b w:val="0"/>
          <w:sz w:val="22"/>
          <w:szCs w:val="22"/>
        </w:rPr>
        <w:t xml:space="preserve"> only of the sectors of maximum distance</w:t>
      </w:r>
      <w:r>
        <w:rPr>
          <w:rFonts w:ascii="Myriad Pro" w:hAnsi="Myriad Pro"/>
          <w:b w:val="0"/>
          <w:sz w:val="22"/>
          <w:szCs w:val="22"/>
        </w:rPr>
        <w:t>.</w:t>
      </w:r>
      <w:proofErr w:type="gramEnd"/>
      <w:r>
        <w:rPr>
          <w:rFonts w:ascii="Myriad Pro" w:hAnsi="Myriad Pro"/>
          <w:b w:val="0"/>
          <w:sz w:val="22"/>
          <w:szCs w:val="22"/>
        </w:rPr>
        <w:t xml:space="preserve"> </w:t>
      </w:r>
      <w:r w:rsidRPr="00AF2636">
        <w:rPr>
          <w:rFonts w:ascii="Myriad Pro" w:hAnsi="Myriad Pro"/>
          <w:b w:val="0"/>
          <w:sz w:val="22"/>
          <w:szCs w:val="22"/>
        </w:rPr>
        <w:t>In (</w:t>
      </w:r>
      <w:proofErr w:type="spellStart"/>
      <w:r w:rsidRPr="00AF2636">
        <w:rPr>
          <w:rFonts w:ascii="Myriad Pro" w:hAnsi="Myriad Pro"/>
          <w:b w:val="0"/>
          <w:sz w:val="22"/>
          <w:szCs w:val="22"/>
        </w:rPr>
        <w:t>a</w:t>
      </w:r>
      <w:proofErr w:type="gramStart"/>
      <w:r w:rsidRPr="00AF2636">
        <w:rPr>
          <w:rFonts w:ascii="Myriad Pro" w:hAnsi="Myriad Pro"/>
          <w:b w:val="0"/>
          <w:sz w:val="22"/>
          <w:szCs w:val="22"/>
        </w:rPr>
        <w:t>,c</w:t>
      </w:r>
      <w:proofErr w:type="spellEnd"/>
      <w:proofErr w:type="gramEnd"/>
      <w:r w:rsidRPr="00AF2636">
        <w:rPr>
          <w:rFonts w:ascii="Myriad Pro" w:hAnsi="Myriad Pro"/>
          <w:b w:val="0"/>
          <w:sz w:val="22"/>
          <w:szCs w:val="22"/>
        </w:rPr>
        <w:t>) we show the major explosions and in (</w:t>
      </w:r>
      <w:proofErr w:type="spellStart"/>
      <w:r w:rsidRPr="00AF2636">
        <w:rPr>
          <w:rFonts w:ascii="Myriad Pro" w:hAnsi="Myriad Pro"/>
          <w:b w:val="0"/>
          <w:sz w:val="22"/>
          <w:szCs w:val="22"/>
        </w:rPr>
        <w:t>b,d</w:t>
      </w:r>
      <w:proofErr w:type="spellEnd"/>
      <w:r w:rsidRPr="00AF2636">
        <w:rPr>
          <w:rFonts w:ascii="Myriad Pro" w:hAnsi="Myriad Pro"/>
          <w:b w:val="0"/>
          <w:sz w:val="22"/>
          <w:szCs w:val="22"/>
        </w:rPr>
        <w:t xml:space="preserve">) the paroxysms. </w:t>
      </w:r>
    </w:p>
    <w:p w14:paraId="530CA1C4" w14:textId="77777777" w:rsidR="0066722B" w:rsidRPr="00CE6EAA" w:rsidRDefault="0066722B" w:rsidP="00477182">
      <w:pPr>
        <w:pStyle w:val="SMcaption"/>
        <w:rPr>
          <w:rFonts w:ascii="Myriad Pro" w:hAnsi="Myriad Pro"/>
          <w:b/>
          <w:i/>
        </w:rPr>
      </w:pPr>
    </w:p>
    <w:p w14:paraId="4DD16DCB" w14:textId="77777777" w:rsidR="00AF2636" w:rsidRDefault="00AF2636">
      <w:pPr>
        <w:rPr>
          <w:rFonts w:ascii="Myriad Pro" w:hAnsi="Myriad Pro"/>
          <w:b/>
          <w:bCs/>
          <w:kern w:val="32"/>
          <w:sz w:val="22"/>
          <w:szCs w:val="22"/>
        </w:rPr>
      </w:pPr>
      <w:r>
        <w:rPr>
          <w:rFonts w:ascii="Myriad Pro" w:hAnsi="Myriad Pro"/>
          <w:sz w:val="22"/>
          <w:szCs w:val="22"/>
        </w:rPr>
        <w:br w:type="page"/>
      </w:r>
    </w:p>
    <w:p w14:paraId="284536CB" w14:textId="19FBC346" w:rsidR="00AF2636" w:rsidRDefault="00F95DBA" w:rsidP="00AF2636">
      <w:pPr>
        <w:pStyle w:val="SMHeading"/>
        <w:jc w:val="center"/>
        <w:rPr>
          <w:rFonts w:ascii="Myriad Pro" w:hAnsi="Myriad Pro"/>
          <w:sz w:val="22"/>
          <w:szCs w:val="22"/>
        </w:rPr>
      </w:pPr>
      <w:r>
        <w:rPr>
          <w:rFonts w:ascii="Myriad Pro" w:hAnsi="Myriad Pro"/>
          <w:noProof/>
          <w:sz w:val="22"/>
          <w:szCs w:val="22"/>
        </w:rPr>
        <w:lastRenderedPageBreak/>
        <w:drawing>
          <wp:inline distT="0" distB="0" distL="0" distR="0" wp14:anchorId="6A7F1038" wp14:editId="106F6A85">
            <wp:extent cx="5486200" cy="6981190"/>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S6ok.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86200" cy="6981190"/>
                    </a:xfrm>
                    <a:prstGeom prst="rect">
                      <a:avLst/>
                    </a:prstGeom>
                  </pic:spPr>
                </pic:pic>
              </a:graphicData>
            </a:graphic>
          </wp:inline>
        </w:drawing>
      </w:r>
    </w:p>
    <w:p w14:paraId="1A1D7D3C" w14:textId="181E132A" w:rsidR="00CB46E5" w:rsidRDefault="00AF2636" w:rsidP="00B43212">
      <w:pPr>
        <w:jc w:val="both"/>
        <w:rPr>
          <w:rFonts w:asciiTheme="minorHAnsi" w:hAnsiTheme="minorHAnsi" w:cstheme="minorHAnsi"/>
        </w:rPr>
      </w:pPr>
      <w:r w:rsidRPr="00AF2636">
        <w:rPr>
          <w:rFonts w:ascii="Myriad Pro" w:hAnsi="Myriad Pro"/>
          <w:b/>
          <w:sz w:val="22"/>
          <w:szCs w:val="22"/>
        </w:rPr>
        <w:t xml:space="preserve">Figure </w:t>
      </w:r>
      <w:r w:rsidR="007400CE">
        <w:rPr>
          <w:rFonts w:ascii="Myriad Pro" w:hAnsi="Myriad Pro"/>
          <w:b/>
          <w:sz w:val="22"/>
          <w:szCs w:val="22"/>
        </w:rPr>
        <w:t>S</w:t>
      </w:r>
      <w:r w:rsidR="00D36B31">
        <w:rPr>
          <w:rFonts w:ascii="Myriad Pro" w:hAnsi="Myriad Pro"/>
          <w:b/>
          <w:sz w:val="22"/>
          <w:szCs w:val="22"/>
        </w:rPr>
        <w:t>6</w:t>
      </w:r>
      <w:r w:rsidRPr="00AF2636">
        <w:rPr>
          <w:rFonts w:ascii="Myriad Pro" w:hAnsi="Myriad Pro"/>
          <w:b/>
          <w:sz w:val="22"/>
          <w:szCs w:val="22"/>
        </w:rPr>
        <w:t>.</w:t>
      </w:r>
      <w:r w:rsidRPr="00AF2636">
        <w:rPr>
          <w:rFonts w:ascii="Myriad Pro" w:hAnsi="Myriad Pro"/>
          <w:sz w:val="22"/>
          <w:szCs w:val="22"/>
        </w:rPr>
        <w:t xml:space="preserve"> </w:t>
      </w:r>
      <w:r>
        <w:rPr>
          <w:rFonts w:ascii="Myriad Pro" w:hAnsi="Myriad Pro"/>
          <w:sz w:val="22"/>
          <w:szCs w:val="22"/>
        </w:rPr>
        <w:t>(</w:t>
      </w:r>
      <w:proofErr w:type="spellStart"/>
      <w:proofErr w:type="gramStart"/>
      <w:r>
        <w:rPr>
          <w:rFonts w:ascii="Myriad Pro" w:hAnsi="Myriad Pro"/>
          <w:sz w:val="22"/>
          <w:szCs w:val="22"/>
        </w:rPr>
        <w:t>a,</w:t>
      </w:r>
      <w:proofErr w:type="gramEnd"/>
      <w:r>
        <w:rPr>
          <w:rFonts w:ascii="Myriad Pro" w:hAnsi="Myriad Pro"/>
          <w:sz w:val="22"/>
          <w:szCs w:val="22"/>
        </w:rPr>
        <w:t>b</w:t>
      </w:r>
      <w:proofErr w:type="spellEnd"/>
      <w:r>
        <w:rPr>
          <w:rFonts w:ascii="Myriad Pro" w:hAnsi="Myriad Pro"/>
          <w:sz w:val="22"/>
          <w:szCs w:val="22"/>
        </w:rPr>
        <w:t xml:space="preserve">) </w:t>
      </w:r>
      <w:r w:rsidRPr="00AF2636">
        <w:rPr>
          <w:rFonts w:ascii="Myriad Pro" w:hAnsi="Myriad Pro"/>
          <w:sz w:val="22"/>
          <w:szCs w:val="22"/>
        </w:rPr>
        <w:t xml:space="preserve">Range graphs of the ballistic </w:t>
      </w:r>
      <w:r w:rsidR="00186BE7">
        <w:rPr>
          <w:rFonts w:ascii="Myriad Pro" w:hAnsi="Myriad Pro"/>
          <w:sz w:val="22"/>
          <w:szCs w:val="22"/>
        </w:rPr>
        <w:t xml:space="preserve">sectors </w:t>
      </w:r>
      <w:r w:rsidRPr="00AF2636">
        <w:rPr>
          <w:rFonts w:ascii="Myriad Pro" w:hAnsi="Myriad Pro"/>
          <w:sz w:val="22"/>
          <w:szCs w:val="22"/>
        </w:rPr>
        <w:t>directions (red dots) and</w:t>
      </w:r>
      <w:r>
        <w:rPr>
          <w:rFonts w:ascii="Myriad Pro" w:hAnsi="Myriad Pro"/>
          <w:sz w:val="22"/>
          <w:szCs w:val="22"/>
        </w:rPr>
        <w:t xml:space="preserve"> </w:t>
      </w:r>
      <w:r w:rsidR="006E3D3D">
        <w:rPr>
          <w:rFonts w:ascii="Myriad Pro" w:hAnsi="Myriad Pro"/>
          <w:sz w:val="22"/>
          <w:szCs w:val="22"/>
        </w:rPr>
        <w:t>width</w:t>
      </w:r>
      <w:r>
        <w:rPr>
          <w:rFonts w:ascii="Myriad Pro" w:hAnsi="Myriad Pro"/>
          <w:sz w:val="22"/>
          <w:szCs w:val="22"/>
        </w:rPr>
        <w:t>s (blue intervals) only of the sectors of maximum distance</w:t>
      </w:r>
      <w:r w:rsidRPr="00AF2636">
        <w:rPr>
          <w:rFonts w:ascii="Myriad Pro" w:hAnsi="Myriad Pro"/>
          <w:sz w:val="22"/>
          <w:szCs w:val="22"/>
        </w:rPr>
        <w:t xml:space="preserve">. The counting index is ordered chronologically. The maximum uncertainty is highlighted in gray. </w:t>
      </w:r>
      <w:r w:rsidR="00571C02">
        <w:rPr>
          <w:rFonts w:ascii="Myriad Pro" w:hAnsi="Myriad Pro"/>
          <w:sz w:val="22"/>
          <w:szCs w:val="22"/>
        </w:rPr>
        <w:t>(</w:t>
      </w:r>
      <w:proofErr w:type="spellStart"/>
      <w:proofErr w:type="gramStart"/>
      <w:r w:rsidR="00571C02">
        <w:rPr>
          <w:rFonts w:ascii="Myriad Pro" w:hAnsi="Myriad Pro"/>
          <w:sz w:val="22"/>
          <w:szCs w:val="22"/>
        </w:rPr>
        <w:t>c,</w:t>
      </w:r>
      <w:proofErr w:type="gramEnd"/>
      <w:r w:rsidR="00571C02">
        <w:rPr>
          <w:rFonts w:ascii="Myriad Pro" w:hAnsi="Myriad Pro"/>
          <w:sz w:val="22"/>
          <w:szCs w:val="22"/>
        </w:rPr>
        <w:t>d</w:t>
      </w:r>
      <w:proofErr w:type="spellEnd"/>
      <w:r w:rsidR="00571C02">
        <w:rPr>
          <w:rFonts w:ascii="Myriad Pro" w:hAnsi="Myriad Pro"/>
          <w:sz w:val="22"/>
          <w:szCs w:val="22"/>
        </w:rPr>
        <w:t xml:space="preserve">) </w:t>
      </w:r>
      <w:proofErr w:type="gramStart"/>
      <w:r w:rsidR="00571C02">
        <w:rPr>
          <w:rFonts w:asciiTheme="minorHAnsi" w:hAnsiTheme="minorHAnsi" w:cstheme="minorHAnsi"/>
        </w:rPr>
        <w:t>Ballistic</w:t>
      </w:r>
      <w:r w:rsidR="00186BE7">
        <w:rPr>
          <w:rFonts w:asciiTheme="minorHAnsi" w:hAnsiTheme="minorHAnsi" w:cstheme="minorHAnsi"/>
        </w:rPr>
        <w:t>s</w:t>
      </w:r>
      <w:r w:rsidR="00571C02">
        <w:rPr>
          <w:rFonts w:asciiTheme="minorHAnsi" w:hAnsiTheme="minorHAnsi" w:cstheme="minorHAnsi"/>
        </w:rPr>
        <w:t xml:space="preserve"> direction probability</w:t>
      </w:r>
      <w:r w:rsidR="00571C02" w:rsidRPr="00693920">
        <w:rPr>
          <w:rFonts w:asciiTheme="minorHAnsi" w:hAnsiTheme="minorHAnsi" w:cstheme="minorHAnsi"/>
        </w:rPr>
        <w:t xml:space="preserve"> </w:t>
      </w:r>
      <w:r w:rsidR="00571C02">
        <w:rPr>
          <w:rFonts w:asciiTheme="minorHAnsi" w:hAnsiTheme="minorHAnsi" w:cstheme="minorHAnsi"/>
        </w:rPr>
        <w:t>percentage</w:t>
      </w:r>
      <w:r w:rsidR="00571C02" w:rsidRPr="00693920">
        <w:rPr>
          <w:rFonts w:asciiTheme="minorHAnsi" w:hAnsiTheme="minorHAnsi" w:cstheme="minorHAnsi"/>
        </w:rPr>
        <w:t xml:space="preserve"> </w:t>
      </w:r>
      <w:r w:rsidR="00CB46E5">
        <w:rPr>
          <w:rFonts w:asciiTheme="minorHAnsi" w:hAnsiTheme="minorHAnsi" w:cstheme="minorHAnsi"/>
        </w:rPr>
        <w:t xml:space="preserve">of only </w:t>
      </w:r>
      <w:r w:rsidR="00571C02">
        <w:rPr>
          <w:rFonts w:asciiTheme="minorHAnsi" w:hAnsiTheme="minorHAnsi" w:cstheme="minorHAnsi"/>
        </w:rPr>
        <w:t>the sectors of maximum distance.</w:t>
      </w:r>
      <w:proofErr w:type="gramEnd"/>
      <w:r w:rsidR="00571C02" w:rsidRPr="00571C02">
        <w:rPr>
          <w:rFonts w:asciiTheme="minorHAnsi" w:hAnsiTheme="minorHAnsi" w:cstheme="minorHAnsi"/>
        </w:rPr>
        <w:t xml:space="preserve"> </w:t>
      </w:r>
      <w:r w:rsidR="00571C02" w:rsidRPr="00693920">
        <w:rPr>
          <w:rFonts w:asciiTheme="minorHAnsi" w:hAnsiTheme="minorHAnsi" w:cstheme="minorHAnsi"/>
        </w:rPr>
        <w:t>Dashed lines highlight the uncertainty in the sectors affe</w:t>
      </w:r>
      <w:r w:rsidR="00571C02">
        <w:rPr>
          <w:rFonts w:asciiTheme="minorHAnsi" w:hAnsiTheme="minorHAnsi" w:cstheme="minorHAnsi"/>
        </w:rPr>
        <w:t>cted by the past projectiles</w:t>
      </w:r>
      <w:r w:rsidR="00571C02" w:rsidRPr="00693920">
        <w:rPr>
          <w:rFonts w:asciiTheme="minorHAnsi" w:hAnsiTheme="minorHAnsi" w:cstheme="minorHAnsi"/>
        </w:rPr>
        <w:t>.</w:t>
      </w:r>
      <w:r w:rsidR="00571C02">
        <w:rPr>
          <w:rFonts w:asciiTheme="minorHAnsi" w:hAnsiTheme="minorHAnsi" w:cstheme="minorHAnsi"/>
        </w:rPr>
        <w:t xml:space="preserve"> </w:t>
      </w:r>
      <w:r w:rsidR="00571C02" w:rsidRPr="00571C02">
        <w:rPr>
          <w:rFonts w:ascii="Myriad Pro" w:hAnsi="Myriad Pro"/>
          <w:sz w:val="22"/>
          <w:szCs w:val="22"/>
        </w:rPr>
        <w:t>In (</w:t>
      </w:r>
      <w:proofErr w:type="spellStart"/>
      <w:r w:rsidR="00571C02" w:rsidRPr="00571C02">
        <w:rPr>
          <w:rFonts w:ascii="Myriad Pro" w:hAnsi="Myriad Pro"/>
          <w:sz w:val="22"/>
          <w:szCs w:val="22"/>
        </w:rPr>
        <w:t>a</w:t>
      </w:r>
      <w:proofErr w:type="gramStart"/>
      <w:r w:rsidR="00571C02" w:rsidRPr="00571C02">
        <w:rPr>
          <w:rFonts w:ascii="Myriad Pro" w:hAnsi="Myriad Pro"/>
          <w:sz w:val="22"/>
          <w:szCs w:val="22"/>
        </w:rPr>
        <w:t>,c</w:t>
      </w:r>
      <w:proofErr w:type="spellEnd"/>
      <w:proofErr w:type="gramEnd"/>
      <w:r w:rsidR="00571C02" w:rsidRPr="00571C02">
        <w:rPr>
          <w:rFonts w:ascii="Myriad Pro" w:hAnsi="Myriad Pro"/>
          <w:sz w:val="22"/>
          <w:szCs w:val="22"/>
        </w:rPr>
        <w:t>) we show the major explosions and in (</w:t>
      </w:r>
      <w:proofErr w:type="spellStart"/>
      <w:r w:rsidR="00571C02" w:rsidRPr="00571C02">
        <w:rPr>
          <w:rFonts w:ascii="Myriad Pro" w:hAnsi="Myriad Pro"/>
          <w:sz w:val="22"/>
          <w:szCs w:val="22"/>
        </w:rPr>
        <w:t>b,d</w:t>
      </w:r>
      <w:proofErr w:type="spellEnd"/>
      <w:r w:rsidR="00571C02" w:rsidRPr="00571C02">
        <w:rPr>
          <w:rFonts w:ascii="Myriad Pro" w:hAnsi="Myriad Pro"/>
          <w:sz w:val="22"/>
          <w:szCs w:val="22"/>
        </w:rPr>
        <w:t>) the paroxysms</w:t>
      </w:r>
      <w:r w:rsidR="005A57A3" w:rsidRPr="003E0D8F">
        <w:rPr>
          <w:rFonts w:ascii="Myriad Pro" w:hAnsi="Myriad Pro"/>
          <w:sz w:val="22"/>
          <w:szCs w:val="22"/>
        </w:rPr>
        <w:t xml:space="preserve">, </w:t>
      </w:r>
      <w:r w:rsidR="005A57A3" w:rsidRPr="005A57A3">
        <w:rPr>
          <w:rFonts w:asciiTheme="minorHAnsi" w:hAnsiTheme="minorHAnsi" w:cstheme="minorHAnsi"/>
        </w:rPr>
        <w:t>labeled according to Figures 5-7</w:t>
      </w:r>
      <w:r w:rsidR="00571C02" w:rsidRPr="005A57A3">
        <w:rPr>
          <w:rFonts w:asciiTheme="minorHAnsi" w:hAnsiTheme="minorHAnsi" w:cstheme="minorHAnsi"/>
        </w:rPr>
        <w:t>.</w:t>
      </w:r>
      <w:r w:rsidR="00CB46E5">
        <w:rPr>
          <w:rFonts w:asciiTheme="minorHAnsi" w:hAnsiTheme="minorHAnsi" w:cstheme="minorHAnsi"/>
        </w:rPr>
        <w:t xml:space="preserve"> </w:t>
      </w:r>
      <w:r w:rsidR="00CB46E5">
        <w:rPr>
          <w:rFonts w:asciiTheme="minorHAnsi" w:hAnsiTheme="minorHAnsi" w:cstheme="minorHAnsi"/>
        </w:rPr>
        <w:br w:type="page"/>
      </w:r>
    </w:p>
    <w:p w14:paraId="20C39DF4" w14:textId="2645FB5B" w:rsidR="009F3AFE" w:rsidRDefault="009F3AFE" w:rsidP="009F3AFE">
      <w:pPr>
        <w:pStyle w:val="SMHeading"/>
        <w:jc w:val="both"/>
        <w:rPr>
          <w:rFonts w:ascii="Myriad Pro" w:hAnsi="Myriad Pro"/>
          <w:sz w:val="22"/>
          <w:szCs w:val="22"/>
        </w:rPr>
      </w:pPr>
      <w:proofErr w:type="gramStart"/>
      <w:r>
        <w:rPr>
          <w:rFonts w:ascii="Myriad Pro" w:hAnsi="Myriad Pro"/>
          <w:sz w:val="22"/>
          <w:szCs w:val="22"/>
        </w:rPr>
        <w:lastRenderedPageBreak/>
        <w:t>Text S1.</w:t>
      </w:r>
      <w:proofErr w:type="gramEnd"/>
      <w:r>
        <w:rPr>
          <w:rFonts w:ascii="Myriad Pro" w:hAnsi="Myriad Pro"/>
          <w:sz w:val="22"/>
          <w:szCs w:val="22"/>
        </w:rPr>
        <w:t xml:space="preserve"> </w:t>
      </w:r>
      <w:r w:rsidRPr="0025419F">
        <w:rPr>
          <w:rFonts w:ascii="Myriad Pro" w:hAnsi="Myriad Pro"/>
          <w:b w:val="0"/>
          <w:sz w:val="22"/>
          <w:szCs w:val="22"/>
        </w:rPr>
        <w:t xml:space="preserve">List of </w:t>
      </w:r>
      <w:r>
        <w:rPr>
          <w:rFonts w:ascii="Myriad Pro" w:hAnsi="Myriad Pro"/>
          <w:b w:val="0"/>
          <w:sz w:val="22"/>
          <w:szCs w:val="22"/>
        </w:rPr>
        <w:t>43</w:t>
      </w:r>
      <w:r w:rsidRPr="0025419F">
        <w:rPr>
          <w:rFonts w:ascii="Myriad Pro" w:hAnsi="Myriad Pro"/>
          <w:b w:val="0"/>
          <w:sz w:val="22"/>
          <w:szCs w:val="22"/>
        </w:rPr>
        <w:t xml:space="preserve"> descriptive files presenting the reconstructions of the areas affected by the major explosions considered in our analysis. In particular, for every major explosion on the left of the simplified map based on circular sectors, we show a visual summary of the available information on ballistics. Above the figures we report the references of the main sources, the date and time of the event; below the figures we report the description of ballistic projectiles and the field s</w:t>
      </w:r>
      <w:r>
        <w:rPr>
          <w:rFonts w:ascii="Myriad Pro" w:hAnsi="Myriad Pro"/>
          <w:b w:val="0"/>
          <w:sz w:val="22"/>
          <w:szCs w:val="22"/>
        </w:rPr>
        <w:t>urvey information if available.</w:t>
      </w:r>
      <w:r w:rsidRPr="0025419F">
        <w:rPr>
          <w:rFonts w:ascii="Myriad Pro" w:hAnsi="Myriad Pro"/>
          <w:b w:val="0"/>
          <w:sz w:val="22"/>
          <w:szCs w:val="22"/>
        </w:rPr>
        <w:t xml:space="preserve"> </w:t>
      </w:r>
    </w:p>
    <w:p w14:paraId="45A2771D" w14:textId="65C88A67" w:rsidR="0025419F" w:rsidRDefault="009F3AFE" w:rsidP="0025419F">
      <w:pPr>
        <w:pStyle w:val="SMHeading"/>
        <w:jc w:val="both"/>
        <w:rPr>
          <w:rFonts w:ascii="Myriad Pro" w:hAnsi="Myriad Pro"/>
          <w:b w:val="0"/>
          <w:sz w:val="22"/>
          <w:szCs w:val="22"/>
        </w:rPr>
      </w:pPr>
      <w:proofErr w:type="gramStart"/>
      <w:r>
        <w:rPr>
          <w:rFonts w:ascii="Myriad Pro" w:hAnsi="Myriad Pro"/>
          <w:sz w:val="22"/>
          <w:szCs w:val="22"/>
        </w:rPr>
        <w:t>Text S2</w:t>
      </w:r>
      <w:r w:rsidR="0025419F">
        <w:rPr>
          <w:rFonts w:ascii="Myriad Pro" w:hAnsi="Myriad Pro"/>
          <w:sz w:val="22"/>
          <w:szCs w:val="22"/>
        </w:rPr>
        <w:t>.</w:t>
      </w:r>
      <w:proofErr w:type="gramEnd"/>
      <w:r w:rsidR="0025419F">
        <w:rPr>
          <w:rFonts w:ascii="Myriad Pro" w:hAnsi="Myriad Pro"/>
          <w:sz w:val="22"/>
          <w:szCs w:val="22"/>
        </w:rPr>
        <w:t xml:space="preserve"> </w:t>
      </w:r>
      <w:r w:rsidR="0025419F" w:rsidRPr="0025419F">
        <w:rPr>
          <w:rFonts w:ascii="Myriad Pro" w:hAnsi="Myriad Pro"/>
          <w:b w:val="0"/>
          <w:sz w:val="22"/>
          <w:szCs w:val="22"/>
        </w:rPr>
        <w:t xml:space="preserve">List of 24 descriptive files presenting the reconstructions of the areas affected by the paroxysms considered in our analysis. In particular, for every paroxysm on the left of the simplified map based on circular sectors, we show a visual summary of the available information on ballistics. Above the figures we report the references of the considered sources, the date and time of the event; below the figures we report the English translation of the original excerpts. </w:t>
      </w:r>
    </w:p>
    <w:p w14:paraId="00AD4AE8" w14:textId="77777777" w:rsidR="0025419F" w:rsidRDefault="0025419F" w:rsidP="0025419F">
      <w:pPr>
        <w:pStyle w:val="SMHeading"/>
        <w:jc w:val="both"/>
        <w:rPr>
          <w:rFonts w:ascii="Myriad Pro" w:hAnsi="Myriad Pro"/>
          <w:sz w:val="22"/>
          <w:szCs w:val="22"/>
        </w:rPr>
      </w:pPr>
    </w:p>
    <w:p w14:paraId="00F7EEA1" w14:textId="6EF0E7C1" w:rsidR="00AE1C41" w:rsidRPr="00433B86" w:rsidRDefault="00AE1C41" w:rsidP="0025419F">
      <w:pPr>
        <w:pStyle w:val="SMHeading"/>
        <w:jc w:val="both"/>
        <w:rPr>
          <w:rFonts w:ascii="Myriad Pro" w:hAnsi="Myriad Pro"/>
          <w:b w:val="0"/>
          <w:sz w:val="22"/>
          <w:szCs w:val="22"/>
        </w:rPr>
      </w:pPr>
      <w:r w:rsidRPr="005314B5">
        <w:rPr>
          <w:rFonts w:ascii="Myriad Pro" w:hAnsi="Myriad Pro"/>
          <w:sz w:val="22"/>
          <w:szCs w:val="22"/>
        </w:rPr>
        <w:t>Table S</w:t>
      </w:r>
      <w:r w:rsidR="00DF0DB6">
        <w:rPr>
          <w:rFonts w:ascii="Myriad Pro" w:hAnsi="Myriad Pro"/>
          <w:sz w:val="22"/>
          <w:szCs w:val="22"/>
        </w:rPr>
        <w:t>1</w:t>
      </w:r>
      <w:r w:rsidRPr="005314B5">
        <w:rPr>
          <w:rFonts w:ascii="Myriad Pro" w:hAnsi="Myriad Pro"/>
          <w:sz w:val="22"/>
          <w:szCs w:val="22"/>
        </w:rPr>
        <w:t xml:space="preserve">. </w:t>
      </w:r>
      <w:proofErr w:type="gramStart"/>
      <w:r w:rsidR="00433B86" w:rsidRPr="00433B86">
        <w:rPr>
          <w:rFonts w:ascii="Myriad Pro" w:hAnsi="Myriad Pro"/>
          <w:b w:val="0"/>
          <w:sz w:val="22"/>
          <w:szCs w:val="22"/>
        </w:rPr>
        <w:t xml:space="preserve">Summary </w:t>
      </w:r>
      <w:r w:rsidR="00433B86">
        <w:rPr>
          <w:rFonts w:ascii="Myriad Pro" w:hAnsi="Myriad Pro"/>
          <w:b w:val="0"/>
          <w:sz w:val="22"/>
          <w:szCs w:val="22"/>
        </w:rPr>
        <w:t xml:space="preserve">of spatial parameters that characterize the simplified maps of </w:t>
      </w:r>
      <w:r w:rsidR="00433B86" w:rsidRPr="00433B86">
        <w:rPr>
          <w:rFonts w:ascii="Myriad Pro" w:hAnsi="Myriad Pro"/>
          <w:b w:val="0"/>
          <w:sz w:val="22"/>
          <w:szCs w:val="22"/>
        </w:rPr>
        <w:t>major ex</w:t>
      </w:r>
      <w:r w:rsidR="00433B86">
        <w:rPr>
          <w:rFonts w:ascii="Myriad Pro" w:hAnsi="Myriad Pro"/>
          <w:b w:val="0"/>
          <w:sz w:val="22"/>
          <w:szCs w:val="22"/>
        </w:rPr>
        <w:t xml:space="preserve">plosions in Figure </w:t>
      </w:r>
      <w:r w:rsidR="005A57A3">
        <w:rPr>
          <w:rFonts w:ascii="Myriad Pro" w:hAnsi="Myriad Pro"/>
          <w:b w:val="0"/>
          <w:sz w:val="22"/>
          <w:szCs w:val="22"/>
        </w:rPr>
        <w:t>4 and 5</w:t>
      </w:r>
      <w:r w:rsidR="008A3313">
        <w:rPr>
          <w:rFonts w:ascii="Myriad Pro" w:hAnsi="Myriad Pro"/>
          <w:b w:val="0"/>
          <w:sz w:val="22"/>
          <w:szCs w:val="22"/>
        </w:rPr>
        <w:t xml:space="preserve"> of the main text</w:t>
      </w:r>
      <w:r w:rsidR="00433B86" w:rsidRPr="00433B86">
        <w:rPr>
          <w:rFonts w:ascii="Myriad Pro" w:hAnsi="Myriad Pro"/>
          <w:b w:val="0"/>
          <w:sz w:val="22"/>
          <w:szCs w:val="22"/>
        </w:rPr>
        <w:t>.</w:t>
      </w:r>
      <w:proofErr w:type="gramEnd"/>
      <w:r w:rsidR="00433B86" w:rsidRPr="00433B86">
        <w:rPr>
          <w:rFonts w:ascii="Myriad Pro" w:hAnsi="Myriad Pro"/>
          <w:b w:val="0"/>
          <w:sz w:val="22"/>
          <w:szCs w:val="22"/>
        </w:rPr>
        <w:t xml:space="preserve"> For each event it is reported the </w:t>
      </w:r>
      <w:r w:rsidR="00433B86">
        <w:rPr>
          <w:rFonts w:ascii="Myriad Pro" w:hAnsi="Myriad Pro"/>
          <w:b w:val="0"/>
          <w:sz w:val="22"/>
          <w:szCs w:val="22"/>
        </w:rPr>
        <w:t xml:space="preserve">radius of the axisymmetric part, i.e. “circle”, and the radius, direction and half-width of all circular sectors. The classes of uncertainty and the distance towards </w:t>
      </w:r>
      <w:proofErr w:type="spellStart"/>
      <w:r w:rsidR="00433B86">
        <w:rPr>
          <w:rFonts w:ascii="Myriad Pro" w:hAnsi="Myriad Pro"/>
          <w:b w:val="0"/>
          <w:sz w:val="22"/>
          <w:szCs w:val="22"/>
        </w:rPr>
        <w:t>Sciara</w:t>
      </w:r>
      <w:proofErr w:type="spellEnd"/>
      <w:r w:rsidR="00433B86">
        <w:rPr>
          <w:rFonts w:ascii="Myriad Pro" w:hAnsi="Myriad Pro"/>
          <w:b w:val="0"/>
          <w:sz w:val="22"/>
          <w:szCs w:val="22"/>
        </w:rPr>
        <w:t xml:space="preserve"> </w:t>
      </w:r>
      <w:proofErr w:type="gramStart"/>
      <w:r w:rsidR="00433B86">
        <w:rPr>
          <w:rFonts w:ascii="Myriad Pro" w:hAnsi="Myriad Pro"/>
          <w:b w:val="0"/>
          <w:sz w:val="22"/>
          <w:szCs w:val="22"/>
        </w:rPr>
        <w:t>del</w:t>
      </w:r>
      <w:proofErr w:type="gramEnd"/>
      <w:r w:rsidR="00433B86">
        <w:rPr>
          <w:rFonts w:ascii="Myriad Pro" w:hAnsi="Myriad Pro"/>
          <w:b w:val="0"/>
          <w:sz w:val="22"/>
          <w:szCs w:val="22"/>
        </w:rPr>
        <w:t xml:space="preserve"> </w:t>
      </w:r>
      <w:proofErr w:type="spellStart"/>
      <w:r w:rsidR="00433B86">
        <w:rPr>
          <w:rFonts w:ascii="Myriad Pro" w:hAnsi="Myriad Pro"/>
          <w:b w:val="0"/>
          <w:sz w:val="22"/>
          <w:szCs w:val="22"/>
        </w:rPr>
        <w:t>Fuoco</w:t>
      </w:r>
      <w:proofErr w:type="spellEnd"/>
      <w:r w:rsidR="00433B86">
        <w:rPr>
          <w:rFonts w:ascii="Myriad Pro" w:hAnsi="Myriad Pro"/>
          <w:b w:val="0"/>
          <w:sz w:val="22"/>
          <w:szCs w:val="22"/>
        </w:rPr>
        <w:t xml:space="preserve">, if the latter available, are also reported. </w:t>
      </w:r>
    </w:p>
    <w:p w14:paraId="0C373160" w14:textId="2AF7C988" w:rsidR="00AE1C41" w:rsidRDefault="00AE1C41" w:rsidP="0025419F">
      <w:pPr>
        <w:pStyle w:val="SMHeading"/>
        <w:jc w:val="both"/>
        <w:rPr>
          <w:rFonts w:ascii="Myriad Pro" w:hAnsi="Myriad Pro"/>
          <w:b w:val="0"/>
          <w:sz w:val="22"/>
          <w:szCs w:val="22"/>
        </w:rPr>
      </w:pPr>
      <w:r w:rsidRPr="005314B5">
        <w:rPr>
          <w:rFonts w:ascii="Myriad Pro" w:hAnsi="Myriad Pro"/>
          <w:sz w:val="22"/>
          <w:szCs w:val="22"/>
        </w:rPr>
        <w:t>Table S</w:t>
      </w:r>
      <w:r w:rsidR="00DF0DB6">
        <w:rPr>
          <w:rFonts w:ascii="Myriad Pro" w:hAnsi="Myriad Pro"/>
          <w:sz w:val="22"/>
          <w:szCs w:val="22"/>
        </w:rPr>
        <w:t>2</w:t>
      </w:r>
      <w:r w:rsidRPr="005314B5">
        <w:rPr>
          <w:rFonts w:ascii="Myriad Pro" w:hAnsi="Myriad Pro"/>
          <w:sz w:val="22"/>
          <w:szCs w:val="22"/>
        </w:rPr>
        <w:t xml:space="preserve">. </w:t>
      </w:r>
      <w:proofErr w:type="gramStart"/>
      <w:r w:rsidR="00433B86" w:rsidRPr="00433B86">
        <w:rPr>
          <w:rFonts w:ascii="Myriad Pro" w:hAnsi="Myriad Pro"/>
          <w:b w:val="0"/>
          <w:sz w:val="22"/>
          <w:szCs w:val="22"/>
        </w:rPr>
        <w:t xml:space="preserve">Summary </w:t>
      </w:r>
      <w:r w:rsidR="00433B86">
        <w:rPr>
          <w:rFonts w:ascii="Myriad Pro" w:hAnsi="Myriad Pro"/>
          <w:b w:val="0"/>
          <w:sz w:val="22"/>
          <w:szCs w:val="22"/>
        </w:rPr>
        <w:t xml:space="preserve">of spatial parameters that characterize the simplified maps of paroxysms in Figure </w:t>
      </w:r>
      <w:r w:rsidR="005A57A3">
        <w:rPr>
          <w:rFonts w:ascii="Myriad Pro" w:hAnsi="Myriad Pro"/>
          <w:b w:val="0"/>
          <w:sz w:val="22"/>
          <w:szCs w:val="22"/>
        </w:rPr>
        <w:t>6</w:t>
      </w:r>
      <w:r w:rsidR="008A3313">
        <w:rPr>
          <w:rFonts w:ascii="Myriad Pro" w:hAnsi="Myriad Pro"/>
          <w:b w:val="0"/>
          <w:sz w:val="22"/>
          <w:szCs w:val="22"/>
        </w:rPr>
        <w:t xml:space="preserve"> of the main text</w:t>
      </w:r>
      <w:r w:rsidR="00433B86" w:rsidRPr="00433B86">
        <w:rPr>
          <w:rFonts w:ascii="Myriad Pro" w:hAnsi="Myriad Pro"/>
          <w:b w:val="0"/>
          <w:sz w:val="22"/>
          <w:szCs w:val="22"/>
        </w:rPr>
        <w:t>.</w:t>
      </w:r>
      <w:proofErr w:type="gramEnd"/>
      <w:r w:rsidR="00433B86" w:rsidRPr="00433B86">
        <w:rPr>
          <w:rFonts w:ascii="Myriad Pro" w:hAnsi="Myriad Pro"/>
          <w:b w:val="0"/>
          <w:sz w:val="22"/>
          <w:szCs w:val="22"/>
        </w:rPr>
        <w:t xml:space="preserve"> For each event it is reported the </w:t>
      </w:r>
      <w:r w:rsidR="00433B86">
        <w:rPr>
          <w:rFonts w:ascii="Myriad Pro" w:hAnsi="Myriad Pro"/>
          <w:b w:val="0"/>
          <w:sz w:val="22"/>
          <w:szCs w:val="22"/>
        </w:rPr>
        <w:t xml:space="preserve">radius of the axisymmetric part, i.e. “circle”, and the radius, direction and half-width of all circular sectors. The classes of uncertainty and the distance towards </w:t>
      </w:r>
      <w:proofErr w:type="spellStart"/>
      <w:r w:rsidR="00433B86">
        <w:rPr>
          <w:rFonts w:ascii="Myriad Pro" w:hAnsi="Myriad Pro"/>
          <w:b w:val="0"/>
          <w:sz w:val="22"/>
          <w:szCs w:val="22"/>
        </w:rPr>
        <w:t>Sciara</w:t>
      </w:r>
      <w:proofErr w:type="spellEnd"/>
      <w:r w:rsidR="00433B86">
        <w:rPr>
          <w:rFonts w:ascii="Myriad Pro" w:hAnsi="Myriad Pro"/>
          <w:b w:val="0"/>
          <w:sz w:val="22"/>
          <w:szCs w:val="22"/>
        </w:rPr>
        <w:t xml:space="preserve"> </w:t>
      </w:r>
      <w:proofErr w:type="gramStart"/>
      <w:r w:rsidR="00433B86">
        <w:rPr>
          <w:rFonts w:ascii="Myriad Pro" w:hAnsi="Myriad Pro"/>
          <w:b w:val="0"/>
          <w:sz w:val="22"/>
          <w:szCs w:val="22"/>
        </w:rPr>
        <w:t>del</w:t>
      </w:r>
      <w:proofErr w:type="gramEnd"/>
      <w:r w:rsidR="00433B86">
        <w:rPr>
          <w:rFonts w:ascii="Myriad Pro" w:hAnsi="Myriad Pro"/>
          <w:b w:val="0"/>
          <w:sz w:val="22"/>
          <w:szCs w:val="22"/>
        </w:rPr>
        <w:t xml:space="preserve"> </w:t>
      </w:r>
      <w:proofErr w:type="spellStart"/>
      <w:r w:rsidR="00433B86">
        <w:rPr>
          <w:rFonts w:ascii="Myriad Pro" w:hAnsi="Myriad Pro"/>
          <w:b w:val="0"/>
          <w:sz w:val="22"/>
          <w:szCs w:val="22"/>
        </w:rPr>
        <w:t>Fuoco</w:t>
      </w:r>
      <w:proofErr w:type="spellEnd"/>
      <w:r w:rsidR="00433B86">
        <w:rPr>
          <w:rFonts w:ascii="Myriad Pro" w:hAnsi="Myriad Pro"/>
          <w:b w:val="0"/>
          <w:sz w:val="22"/>
          <w:szCs w:val="22"/>
        </w:rPr>
        <w:t>, if the latter available, are also reported.</w:t>
      </w:r>
    </w:p>
    <w:p w14:paraId="78AFD762" w14:textId="206B7CEA" w:rsidR="008B78A2" w:rsidRDefault="008B78A2" w:rsidP="0025419F">
      <w:pPr>
        <w:pStyle w:val="SMHeading"/>
        <w:jc w:val="both"/>
        <w:rPr>
          <w:rFonts w:ascii="Myriad Pro" w:hAnsi="Myriad Pro"/>
          <w:b w:val="0"/>
          <w:sz w:val="22"/>
          <w:szCs w:val="22"/>
        </w:rPr>
      </w:pPr>
      <w:r w:rsidRPr="005314B5">
        <w:rPr>
          <w:rFonts w:ascii="Myriad Pro" w:hAnsi="Myriad Pro"/>
          <w:sz w:val="22"/>
          <w:szCs w:val="22"/>
        </w:rPr>
        <w:t>Table S</w:t>
      </w:r>
      <w:r w:rsidR="00A34D0F">
        <w:rPr>
          <w:rFonts w:ascii="Myriad Pro" w:hAnsi="Myriad Pro"/>
          <w:sz w:val="22"/>
          <w:szCs w:val="22"/>
        </w:rPr>
        <w:t>3</w:t>
      </w:r>
      <w:r w:rsidRPr="005314B5">
        <w:rPr>
          <w:rFonts w:ascii="Myriad Pro" w:hAnsi="Myriad Pro"/>
          <w:sz w:val="22"/>
          <w:szCs w:val="22"/>
        </w:rPr>
        <w:t xml:space="preserve">. </w:t>
      </w:r>
      <w:proofErr w:type="gramStart"/>
      <w:r>
        <w:rPr>
          <w:rFonts w:ascii="Myriad Pro" w:hAnsi="Myriad Pro"/>
          <w:b w:val="0"/>
          <w:sz w:val="22"/>
          <w:szCs w:val="22"/>
        </w:rPr>
        <w:t>List of major explosions and paroxysms from 1879 to 2023, consistent with Figure 4</w:t>
      </w:r>
      <w:r w:rsidR="008A3313">
        <w:rPr>
          <w:rFonts w:ascii="Myriad Pro" w:hAnsi="Myriad Pro"/>
          <w:b w:val="0"/>
          <w:sz w:val="22"/>
          <w:szCs w:val="22"/>
        </w:rPr>
        <w:t xml:space="preserve"> of the main text</w:t>
      </w:r>
      <w:r>
        <w:rPr>
          <w:rFonts w:ascii="Myriad Pro" w:hAnsi="Myriad Pro"/>
          <w:b w:val="0"/>
          <w:sz w:val="22"/>
          <w:szCs w:val="22"/>
        </w:rPr>
        <w:t>.</w:t>
      </w:r>
      <w:proofErr w:type="gramEnd"/>
      <w:r>
        <w:rPr>
          <w:rFonts w:ascii="Myriad Pro" w:hAnsi="Myriad Pro"/>
          <w:b w:val="0"/>
          <w:sz w:val="22"/>
          <w:szCs w:val="22"/>
        </w:rPr>
        <w:t xml:space="preserve"> For each event it is reported the date and type, also including the uncertain major explosions (</w:t>
      </w:r>
      <w:proofErr w:type="spellStart"/>
      <w:r>
        <w:rPr>
          <w:rFonts w:ascii="Myriad Pro" w:hAnsi="Myriad Pro"/>
          <w:b w:val="0"/>
          <w:sz w:val="22"/>
          <w:szCs w:val="22"/>
        </w:rPr>
        <w:t>Bevilacqua</w:t>
      </w:r>
      <w:proofErr w:type="spellEnd"/>
      <w:r>
        <w:rPr>
          <w:rFonts w:ascii="Myriad Pro" w:hAnsi="Myriad Pro"/>
          <w:b w:val="0"/>
          <w:sz w:val="22"/>
          <w:szCs w:val="22"/>
        </w:rPr>
        <w:t xml:space="preserve"> et al., 2020</w:t>
      </w:r>
      <w:r w:rsidR="00A126BF">
        <w:rPr>
          <w:rFonts w:ascii="Myriad Pro" w:hAnsi="Myriad Pro"/>
          <w:b w:val="0"/>
          <w:sz w:val="22"/>
          <w:szCs w:val="22"/>
        </w:rPr>
        <w:t>a</w:t>
      </w:r>
      <w:r>
        <w:rPr>
          <w:rFonts w:ascii="Myriad Pro" w:hAnsi="Myriad Pro"/>
          <w:b w:val="0"/>
          <w:sz w:val="22"/>
          <w:szCs w:val="22"/>
        </w:rPr>
        <w:t xml:space="preserve">; 2023). </w:t>
      </w:r>
      <w:r w:rsidR="008A3313">
        <w:rPr>
          <w:rFonts w:ascii="Myriad Pro" w:hAnsi="Myriad Pro"/>
          <w:b w:val="0"/>
          <w:sz w:val="22"/>
          <w:szCs w:val="22"/>
        </w:rPr>
        <w:t>X: major explosion; XX: paroxysm; X</w:t>
      </w:r>
      <w:proofErr w:type="gramStart"/>
      <w:r w:rsidR="008A3313">
        <w:rPr>
          <w:rFonts w:ascii="Myriad Pro" w:hAnsi="Myriad Pro"/>
          <w:b w:val="0"/>
          <w:sz w:val="22"/>
          <w:szCs w:val="22"/>
        </w:rPr>
        <w:t>?:</w:t>
      </w:r>
      <w:proofErr w:type="gramEnd"/>
      <w:r w:rsidR="008A3313">
        <w:rPr>
          <w:rFonts w:ascii="Myriad Pro" w:hAnsi="Myriad Pro"/>
          <w:b w:val="0"/>
          <w:sz w:val="22"/>
          <w:szCs w:val="22"/>
        </w:rPr>
        <w:t xml:space="preserve"> uncertain major explosion.</w:t>
      </w:r>
    </w:p>
    <w:p w14:paraId="43556566" w14:textId="77777777" w:rsidR="00DF0DB6" w:rsidRDefault="00DF0DB6" w:rsidP="00AE1C41">
      <w:pPr>
        <w:pStyle w:val="SMHeading"/>
        <w:rPr>
          <w:rFonts w:ascii="Myriad Pro" w:hAnsi="Myriad Pro"/>
          <w:b w:val="0"/>
          <w:sz w:val="22"/>
          <w:szCs w:val="22"/>
        </w:rPr>
      </w:pPr>
    </w:p>
    <w:p w14:paraId="0068138D" w14:textId="77777777" w:rsidR="00460BA9" w:rsidRDefault="00460BA9">
      <w:pPr>
        <w:rPr>
          <w:rFonts w:ascii="Calibri" w:hAnsi="Calibri" w:cs="Calibri"/>
          <w:b/>
          <w:bCs/>
          <w:kern w:val="28"/>
          <w:szCs w:val="24"/>
        </w:rPr>
      </w:pPr>
      <w:r>
        <w:rPr>
          <w:rFonts w:ascii="Calibri" w:hAnsi="Calibri" w:cs="Calibri"/>
          <w:b/>
          <w:bCs/>
          <w:kern w:val="28"/>
          <w:szCs w:val="24"/>
        </w:rPr>
        <w:br w:type="page"/>
      </w:r>
    </w:p>
    <w:p w14:paraId="48BB7D1C" w14:textId="26567538" w:rsidR="00AC0425" w:rsidRDefault="00460BA9" w:rsidP="00EE621F">
      <w:pPr>
        <w:keepNext/>
        <w:spacing w:before="240"/>
        <w:jc w:val="both"/>
        <w:outlineLvl w:val="0"/>
        <w:rPr>
          <w:sz w:val="20"/>
        </w:rPr>
      </w:pPr>
      <w:r w:rsidRPr="00460BA9">
        <w:rPr>
          <w:rFonts w:ascii="Calibri" w:hAnsi="Calibri" w:cs="Calibri"/>
          <w:b/>
          <w:bCs/>
          <w:kern w:val="28"/>
          <w:szCs w:val="24"/>
        </w:rPr>
        <w:lastRenderedPageBreak/>
        <w:t xml:space="preserve">Table </w:t>
      </w:r>
      <w:r>
        <w:rPr>
          <w:rFonts w:ascii="Calibri" w:hAnsi="Calibri" w:cs="Calibri"/>
          <w:b/>
          <w:bCs/>
          <w:kern w:val="28"/>
          <w:szCs w:val="24"/>
        </w:rPr>
        <w:t>S</w:t>
      </w:r>
      <w:r w:rsidR="00A34D0F">
        <w:rPr>
          <w:rFonts w:ascii="Calibri" w:hAnsi="Calibri" w:cs="Calibri"/>
          <w:b/>
          <w:bCs/>
          <w:kern w:val="28"/>
          <w:szCs w:val="24"/>
        </w:rPr>
        <w:t>4</w:t>
      </w:r>
      <w:r w:rsidRPr="00460BA9">
        <w:rPr>
          <w:rFonts w:ascii="Calibri" w:hAnsi="Calibri" w:cs="Calibri"/>
          <w:b/>
          <w:bCs/>
          <w:kern w:val="28"/>
          <w:szCs w:val="24"/>
        </w:rPr>
        <w:t xml:space="preserve">. </w:t>
      </w:r>
      <w:proofErr w:type="gramStart"/>
      <w:r w:rsidRPr="00460BA9">
        <w:rPr>
          <w:rFonts w:ascii="Calibri" w:hAnsi="Calibri" w:cs="Calibri"/>
          <w:bCs/>
          <w:kern w:val="28"/>
          <w:szCs w:val="24"/>
        </w:rPr>
        <w:t>Summary of main statist</w:t>
      </w:r>
      <w:r w:rsidR="009718E6">
        <w:rPr>
          <w:rFonts w:ascii="Calibri" w:hAnsi="Calibri" w:cs="Calibri"/>
          <w:bCs/>
          <w:kern w:val="28"/>
          <w:szCs w:val="24"/>
        </w:rPr>
        <w:t>ical results from ballistics analysis</w:t>
      </w:r>
      <w:r w:rsidRPr="00460BA9">
        <w:rPr>
          <w:rFonts w:ascii="Calibri" w:hAnsi="Calibri" w:cs="Calibri"/>
          <w:bCs/>
          <w:kern w:val="28"/>
          <w:szCs w:val="24"/>
        </w:rPr>
        <w:t>.</w:t>
      </w:r>
      <w:proofErr w:type="gramEnd"/>
      <w:r w:rsidRPr="00460BA9">
        <w:rPr>
          <w:rFonts w:ascii="Calibri" w:hAnsi="Calibri" w:cs="Calibri"/>
          <w:bCs/>
          <w:kern w:val="28"/>
          <w:szCs w:val="24"/>
        </w:rPr>
        <w:t xml:space="preserve"> The </w:t>
      </w:r>
      <w:proofErr w:type="gramStart"/>
      <w:r w:rsidRPr="00460BA9">
        <w:rPr>
          <w:rFonts w:ascii="Calibri" w:hAnsi="Calibri" w:cs="Calibri"/>
          <w:bCs/>
          <w:kern w:val="28"/>
          <w:szCs w:val="24"/>
        </w:rPr>
        <w:t>range of values in some cells are</w:t>
      </w:r>
      <w:proofErr w:type="gramEnd"/>
      <w:r w:rsidRPr="00460BA9">
        <w:rPr>
          <w:rFonts w:ascii="Calibri" w:hAnsi="Calibri" w:cs="Calibri"/>
          <w:bCs/>
          <w:kern w:val="28"/>
          <w:szCs w:val="24"/>
        </w:rPr>
        <w:t xml:space="preserve"> depending on the considered uncertainty.</w:t>
      </w:r>
      <w:r w:rsidR="009718E6" w:rsidRPr="005314B5">
        <w:rPr>
          <w:rFonts w:ascii="Myriad Pro" w:hAnsi="Myriad Pro"/>
          <w:sz w:val="22"/>
          <w:szCs w:val="22"/>
        </w:rPr>
        <w:t xml:space="preserve"> </w:t>
      </w:r>
      <w:r w:rsidR="009718E6">
        <w:rPr>
          <w:rFonts w:ascii="Myriad Pro" w:hAnsi="Myriad Pro"/>
          <w:sz w:val="22"/>
          <w:szCs w:val="22"/>
        </w:rPr>
        <w:t xml:space="preserve">We indicate the reference </w:t>
      </w:r>
      <w:r w:rsidR="0004500A">
        <w:rPr>
          <w:rFonts w:ascii="Myriad Pro" w:hAnsi="Myriad Pro"/>
          <w:sz w:val="22"/>
          <w:szCs w:val="22"/>
        </w:rPr>
        <w:t>f</w:t>
      </w:r>
      <w:r w:rsidR="009718E6">
        <w:rPr>
          <w:rFonts w:ascii="Myriad Pro" w:hAnsi="Myriad Pro"/>
          <w:sz w:val="22"/>
          <w:szCs w:val="22"/>
        </w:rPr>
        <w:t>igure</w:t>
      </w:r>
      <w:r w:rsidR="00366848">
        <w:rPr>
          <w:rFonts w:ascii="Myriad Pro" w:hAnsi="Myriad Pro"/>
          <w:sz w:val="22"/>
          <w:szCs w:val="22"/>
        </w:rPr>
        <w:t>s</w:t>
      </w:r>
      <w:r w:rsidR="009718E6">
        <w:rPr>
          <w:rFonts w:ascii="Myriad Pro" w:hAnsi="Myriad Pro"/>
          <w:sz w:val="22"/>
          <w:szCs w:val="22"/>
        </w:rPr>
        <w:t xml:space="preserve"> of each result.</w:t>
      </w:r>
      <w:r w:rsidR="00AC0425" w:rsidRPr="005314B5">
        <w:rPr>
          <w:rFonts w:ascii="Myriad Pro" w:hAnsi="Myriad Pro"/>
          <w:sz w:val="22"/>
          <w:szCs w:val="22"/>
        </w:rPr>
        <w:t xml:space="preserve"> </w:t>
      </w:r>
      <w:r w:rsidR="00AC0425">
        <w:rPr>
          <w:rFonts w:ascii="Myriad Pro" w:hAnsi="Myriad Pro"/>
          <w:sz w:val="22"/>
          <w:szCs w:val="22"/>
        </w:rPr>
        <w:fldChar w:fldCharType="begin"/>
      </w:r>
      <w:r w:rsidR="00AC0425">
        <w:rPr>
          <w:rFonts w:ascii="Myriad Pro" w:hAnsi="Myriad Pro"/>
          <w:sz w:val="22"/>
          <w:szCs w:val="22"/>
        </w:rPr>
        <w:instrText xml:space="preserve"> LINK </w:instrText>
      </w:r>
      <w:r w:rsidR="00E35D6F">
        <w:rPr>
          <w:rFonts w:ascii="Myriad Pro" w:hAnsi="Myriad Pro"/>
          <w:sz w:val="22"/>
          <w:szCs w:val="22"/>
        </w:rPr>
        <w:instrText xml:space="preserve">Excel.Sheet.12 "C:\\Users\\Precision 3460\\Desktop\\R_volcanics\\2024_10\\sistemaUnico\\PAPER1\\S4_SummaryTable_Statistics.xlsx" Sheet1!R7C2:R52C5 </w:instrText>
      </w:r>
      <w:r w:rsidR="00AC0425">
        <w:rPr>
          <w:rFonts w:ascii="Myriad Pro" w:hAnsi="Myriad Pro"/>
          <w:sz w:val="22"/>
          <w:szCs w:val="22"/>
        </w:rPr>
        <w:instrText xml:space="preserve">\a \f 4 \h </w:instrText>
      </w:r>
      <w:r w:rsidR="00EE621F">
        <w:rPr>
          <w:rFonts w:ascii="Myriad Pro" w:hAnsi="Myriad Pro"/>
          <w:sz w:val="22"/>
          <w:szCs w:val="22"/>
        </w:rPr>
        <w:instrText xml:space="preserve"> \* MERGEFORMAT </w:instrText>
      </w:r>
      <w:r w:rsidR="00AC0425">
        <w:rPr>
          <w:rFonts w:ascii="Myriad Pro" w:hAnsi="Myriad Pro"/>
          <w:sz w:val="22"/>
          <w:szCs w:val="22"/>
        </w:rPr>
        <w:fldChar w:fldCharType="separate"/>
      </w:r>
    </w:p>
    <w:tbl>
      <w:tblPr>
        <w:tblW w:w="8789" w:type="dxa"/>
        <w:tblInd w:w="108" w:type="dxa"/>
        <w:tblLook w:val="04A0" w:firstRow="1" w:lastRow="0" w:firstColumn="1" w:lastColumn="0" w:noHBand="0" w:noVBand="1"/>
      </w:tblPr>
      <w:tblGrid>
        <w:gridCol w:w="4820"/>
        <w:gridCol w:w="1701"/>
        <w:gridCol w:w="1417"/>
        <w:gridCol w:w="851"/>
      </w:tblGrid>
      <w:tr w:rsidR="00AC0425" w:rsidRPr="00AC0425" w14:paraId="339572F0" w14:textId="77777777" w:rsidTr="00EE621F">
        <w:trPr>
          <w:trHeight w:val="499"/>
        </w:trPr>
        <w:tc>
          <w:tcPr>
            <w:tcW w:w="4820" w:type="dxa"/>
            <w:tcBorders>
              <w:top w:val="nil"/>
              <w:left w:val="nil"/>
              <w:bottom w:val="nil"/>
              <w:right w:val="nil"/>
            </w:tcBorders>
            <w:shd w:val="clear" w:color="auto" w:fill="auto"/>
            <w:noWrap/>
            <w:vAlign w:val="center"/>
            <w:hideMark/>
          </w:tcPr>
          <w:p w14:paraId="71325996" w14:textId="77777777" w:rsidR="00AC0425" w:rsidRPr="00AC0425" w:rsidRDefault="00AC0425">
            <w:pPr>
              <w:rPr>
                <w:rFonts w:ascii="Calibri" w:hAnsi="Calibri" w:cs="Calibri"/>
                <w:color w:val="000000"/>
                <w:sz w:val="18"/>
                <w:szCs w:val="18"/>
              </w:rPr>
            </w:pPr>
          </w:p>
        </w:tc>
        <w:tc>
          <w:tcPr>
            <w:tcW w:w="1701" w:type="dxa"/>
            <w:tcBorders>
              <w:top w:val="nil"/>
              <w:left w:val="nil"/>
              <w:bottom w:val="nil"/>
              <w:right w:val="nil"/>
            </w:tcBorders>
            <w:shd w:val="clear" w:color="auto" w:fill="auto"/>
            <w:vAlign w:val="center"/>
            <w:hideMark/>
          </w:tcPr>
          <w:p w14:paraId="33A3C967"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Major explosions</w:t>
            </w:r>
            <w:r w:rsidRPr="00AC0425">
              <w:rPr>
                <w:rFonts w:ascii="Calibri" w:hAnsi="Calibri" w:cs="Calibri"/>
                <w:color w:val="000000"/>
                <w:sz w:val="18"/>
                <w:szCs w:val="18"/>
              </w:rPr>
              <w:br/>
              <w:t>from 1970 to 2023</w:t>
            </w:r>
          </w:p>
        </w:tc>
        <w:tc>
          <w:tcPr>
            <w:tcW w:w="1417" w:type="dxa"/>
            <w:tcBorders>
              <w:top w:val="nil"/>
              <w:left w:val="nil"/>
              <w:bottom w:val="nil"/>
              <w:right w:val="nil"/>
            </w:tcBorders>
            <w:shd w:val="clear" w:color="auto" w:fill="auto"/>
            <w:vAlign w:val="center"/>
            <w:hideMark/>
          </w:tcPr>
          <w:p w14:paraId="2D723C47"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Paroxysms from</w:t>
            </w:r>
            <w:r w:rsidRPr="00AC0425">
              <w:rPr>
                <w:rFonts w:ascii="Calibri" w:hAnsi="Calibri" w:cs="Calibri"/>
                <w:color w:val="000000"/>
                <w:sz w:val="18"/>
                <w:szCs w:val="18"/>
              </w:rPr>
              <w:br/>
              <w:t>1879 to 2023</w:t>
            </w:r>
          </w:p>
        </w:tc>
        <w:tc>
          <w:tcPr>
            <w:tcW w:w="851" w:type="dxa"/>
            <w:tcBorders>
              <w:top w:val="nil"/>
              <w:left w:val="nil"/>
              <w:bottom w:val="nil"/>
              <w:right w:val="nil"/>
            </w:tcBorders>
            <w:shd w:val="clear" w:color="auto" w:fill="auto"/>
            <w:noWrap/>
            <w:vAlign w:val="center"/>
            <w:hideMark/>
          </w:tcPr>
          <w:p w14:paraId="127F2AB1"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Figure</w:t>
            </w:r>
          </w:p>
        </w:tc>
      </w:tr>
      <w:tr w:rsidR="00AC0425" w:rsidRPr="00AC0425" w14:paraId="2EC4D95A" w14:textId="77777777" w:rsidTr="00EE621F">
        <w:trPr>
          <w:trHeight w:val="240"/>
        </w:trPr>
        <w:tc>
          <w:tcPr>
            <w:tcW w:w="4820" w:type="dxa"/>
            <w:tcBorders>
              <w:top w:val="single" w:sz="4" w:space="0" w:color="auto"/>
              <w:left w:val="single" w:sz="4" w:space="0" w:color="auto"/>
              <w:bottom w:val="nil"/>
              <w:right w:val="nil"/>
            </w:tcBorders>
            <w:shd w:val="clear" w:color="auto" w:fill="auto"/>
            <w:noWrap/>
            <w:vAlign w:val="center"/>
            <w:hideMark/>
          </w:tcPr>
          <w:p w14:paraId="0767223B"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Number of mapped events</w:t>
            </w:r>
          </w:p>
        </w:tc>
        <w:tc>
          <w:tcPr>
            <w:tcW w:w="1701" w:type="dxa"/>
            <w:tcBorders>
              <w:top w:val="single" w:sz="4" w:space="0" w:color="auto"/>
              <w:left w:val="single" w:sz="4" w:space="0" w:color="auto"/>
              <w:bottom w:val="nil"/>
              <w:right w:val="single" w:sz="4" w:space="0" w:color="auto"/>
            </w:tcBorders>
            <w:shd w:val="clear" w:color="auto" w:fill="auto"/>
            <w:noWrap/>
            <w:vAlign w:val="center"/>
            <w:hideMark/>
          </w:tcPr>
          <w:p w14:paraId="1A98D806"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43</w:t>
            </w:r>
          </w:p>
        </w:tc>
        <w:tc>
          <w:tcPr>
            <w:tcW w:w="1417" w:type="dxa"/>
            <w:tcBorders>
              <w:top w:val="single" w:sz="4" w:space="0" w:color="auto"/>
              <w:left w:val="nil"/>
              <w:bottom w:val="nil"/>
              <w:right w:val="single" w:sz="4" w:space="0" w:color="auto"/>
            </w:tcBorders>
            <w:shd w:val="clear" w:color="auto" w:fill="auto"/>
            <w:noWrap/>
            <w:vAlign w:val="center"/>
            <w:hideMark/>
          </w:tcPr>
          <w:p w14:paraId="74A4268F"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24</w:t>
            </w:r>
          </w:p>
        </w:tc>
        <w:tc>
          <w:tcPr>
            <w:tcW w:w="851" w:type="dxa"/>
            <w:tcBorders>
              <w:top w:val="single" w:sz="4" w:space="0" w:color="auto"/>
              <w:left w:val="nil"/>
              <w:bottom w:val="nil"/>
              <w:right w:val="single" w:sz="4" w:space="0" w:color="auto"/>
            </w:tcBorders>
            <w:shd w:val="clear" w:color="auto" w:fill="auto"/>
            <w:noWrap/>
            <w:vAlign w:val="center"/>
            <w:hideMark/>
          </w:tcPr>
          <w:p w14:paraId="5868279F"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5-7</w:t>
            </w:r>
          </w:p>
        </w:tc>
      </w:tr>
      <w:tr w:rsidR="00AC0425" w:rsidRPr="00AC0425" w14:paraId="5F5430A3"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50D31C53"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Total number of events</w:t>
            </w:r>
          </w:p>
        </w:tc>
        <w:tc>
          <w:tcPr>
            <w:tcW w:w="1701" w:type="dxa"/>
            <w:tcBorders>
              <w:top w:val="nil"/>
              <w:left w:val="single" w:sz="4" w:space="0" w:color="auto"/>
              <w:bottom w:val="nil"/>
              <w:right w:val="single" w:sz="4" w:space="0" w:color="auto"/>
            </w:tcBorders>
            <w:shd w:val="clear" w:color="auto" w:fill="auto"/>
            <w:noWrap/>
            <w:vAlign w:val="center"/>
            <w:hideMark/>
          </w:tcPr>
          <w:p w14:paraId="4DF272B2"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51</w:t>
            </w:r>
          </w:p>
        </w:tc>
        <w:tc>
          <w:tcPr>
            <w:tcW w:w="1417" w:type="dxa"/>
            <w:tcBorders>
              <w:top w:val="nil"/>
              <w:left w:val="nil"/>
              <w:bottom w:val="nil"/>
              <w:right w:val="single" w:sz="4" w:space="0" w:color="auto"/>
            </w:tcBorders>
            <w:shd w:val="clear" w:color="auto" w:fill="auto"/>
            <w:noWrap/>
            <w:vAlign w:val="center"/>
            <w:hideMark/>
          </w:tcPr>
          <w:p w14:paraId="6926E8A2"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40</w:t>
            </w:r>
          </w:p>
        </w:tc>
        <w:tc>
          <w:tcPr>
            <w:tcW w:w="851" w:type="dxa"/>
            <w:tcBorders>
              <w:top w:val="nil"/>
              <w:left w:val="nil"/>
              <w:bottom w:val="nil"/>
              <w:right w:val="single" w:sz="4" w:space="0" w:color="auto"/>
            </w:tcBorders>
            <w:shd w:val="clear" w:color="auto" w:fill="auto"/>
            <w:noWrap/>
            <w:vAlign w:val="center"/>
            <w:hideMark/>
          </w:tcPr>
          <w:p w14:paraId="14B7841E"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5-7</w:t>
            </w:r>
          </w:p>
        </w:tc>
      </w:tr>
      <w:tr w:rsidR="00AC0425" w:rsidRPr="00AC0425" w14:paraId="1E6BCA10" w14:textId="77777777" w:rsidTr="00EE621F">
        <w:trPr>
          <w:trHeight w:val="240"/>
        </w:trPr>
        <w:tc>
          <w:tcPr>
            <w:tcW w:w="4820" w:type="dxa"/>
            <w:tcBorders>
              <w:top w:val="nil"/>
              <w:left w:val="single" w:sz="4" w:space="0" w:color="auto"/>
              <w:bottom w:val="single" w:sz="4" w:space="0" w:color="auto"/>
              <w:right w:val="nil"/>
            </w:tcBorders>
            <w:shd w:val="clear" w:color="auto" w:fill="auto"/>
            <w:noWrap/>
            <w:vAlign w:val="center"/>
            <w:hideMark/>
          </w:tcPr>
          <w:p w14:paraId="3BDAD0D4"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Percentage of events mapped</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548A3945"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85%</w:t>
            </w:r>
          </w:p>
        </w:tc>
        <w:tc>
          <w:tcPr>
            <w:tcW w:w="1417" w:type="dxa"/>
            <w:tcBorders>
              <w:top w:val="nil"/>
              <w:left w:val="nil"/>
              <w:bottom w:val="single" w:sz="4" w:space="0" w:color="auto"/>
              <w:right w:val="single" w:sz="4" w:space="0" w:color="auto"/>
            </w:tcBorders>
            <w:shd w:val="clear" w:color="auto" w:fill="auto"/>
            <w:noWrap/>
            <w:vAlign w:val="center"/>
            <w:hideMark/>
          </w:tcPr>
          <w:p w14:paraId="55C3E741"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60%</w:t>
            </w:r>
          </w:p>
        </w:tc>
        <w:tc>
          <w:tcPr>
            <w:tcW w:w="851" w:type="dxa"/>
            <w:tcBorders>
              <w:top w:val="nil"/>
              <w:left w:val="nil"/>
              <w:bottom w:val="single" w:sz="4" w:space="0" w:color="auto"/>
              <w:right w:val="single" w:sz="4" w:space="0" w:color="auto"/>
            </w:tcBorders>
            <w:shd w:val="clear" w:color="auto" w:fill="auto"/>
            <w:noWrap/>
            <w:vAlign w:val="center"/>
            <w:hideMark/>
          </w:tcPr>
          <w:p w14:paraId="578B84A0"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5-7</w:t>
            </w:r>
          </w:p>
        </w:tc>
      </w:tr>
      <w:tr w:rsidR="00AC0425" w:rsidRPr="00AC0425" w14:paraId="3A0ECA0E"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28339CC8"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Low uncertainty events</w:t>
            </w:r>
          </w:p>
        </w:tc>
        <w:tc>
          <w:tcPr>
            <w:tcW w:w="1701" w:type="dxa"/>
            <w:tcBorders>
              <w:top w:val="nil"/>
              <w:left w:val="single" w:sz="4" w:space="0" w:color="auto"/>
              <w:bottom w:val="nil"/>
              <w:right w:val="single" w:sz="4" w:space="0" w:color="auto"/>
            </w:tcBorders>
            <w:shd w:val="clear" w:color="auto" w:fill="auto"/>
            <w:noWrap/>
            <w:vAlign w:val="center"/>
            <w:hideMark/>
          </w:tcPr>
          <w:p w14:paraId="5F127DBF"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37%</w:t>
            </w:r>
          </w:p>
        </w:tc>
        <w:tc>
          <w:tcPr>
            <w:tcW w:w="1417" w:type="dxa"/>
            <w:tcBorders>
              <w:top w:val="nil"/>
              <w:left w:val="nil"/>
              <w:bottom w:val="nil"/>
              <w:right w:val="single" w:sz="4" w:space="0" w:color="auto"/>
            </w:tcBorders>
            <w:shd w:val="clear" w:color="auto" w:fill="auto"/>
            <w:noWrap/>
            <w:vAlign w:val="center"/>
            <w:hideMark/>
          </w:tcPr>
          <w:p w14:paraId="636EE11A"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w:t>
            </w:r>
          </w:p>
        </w:tc>
        <w:tc>
          <w:tcPr>
            <w:tcW w:w="851" w:type="dxa"/>
            <w:tcBorders>
              <w:top w:val="nil"/>
              <w:left w:val="nil"/>
              <w:bottom w:val="nil"/>
              <w:right w:val="single" w:sz="4" w:space="0" w:color="auto"/>
            </w:tcBorders>
            <w:shd w:val="clear" w:color="auto" w:fill="auto"/>
            <w:noWrap/>
            <w:vAlign w:val="center"/>
            <w:hideMark/>
          </w:tcPr>
          <w:p w14:paraId="2FBE7EAF"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5-7</w:t>
            </w:r>
          </w:p>
        </w:tc>
      </w:tr>
      <w:tr w:rsidR="00AC0425" w:rsidRPr="00AC0425" w14:paraId="3AED8051"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646A43B1"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Intermediate uncertainty events</w:t>
            </w:r>
          </w:p>
        </w:tc>
        <w:tc>
          <w:tcPr>
            <w:tcW w:w="1701" w:type="dxa"/>
            <w:tcBorders>
              <w:top w:val="nil"/>
              <w:left w:val="single" w:sz="4" w:space="0" w:color="auto"/>
              <w:bottom w:val="nil"/>
              <w:right w:val="single" w:sz="4" w:space="0" w:color="auto"/>
            </w:tcBorders>
            <w:shd w:val="clear" w:color="auto" w:fill="auto"/>
            <w:noWrap/>
            <w:vAlign w:val="center"/>
            <w:hideMark/>
          </w:tcPr>
          <w:p w14:paraId="5BB3B783"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63%</w:t>
            </w:r>
          </w:p>
        </w:tc>
        <w:tc>
          <w:tcPr>
            <w:tcW w:w="1417" w:type="dxa"/>
            <w:tcBorders>
              <w:top w:val="nil"/>
              <w:left w:val="nil"/>
              <w:bottom w:val="nil"/>
              <w:right w:val="single" w:sz="4" w:space="0" w:color="auto"/>
            </w:tcBorders>
            <w:shd w:val="clear" w:color="auto" w:fill="auto"/>
            <w:noWrap/>
            <w:vAlign w:val="center"/>
            <w:hideMark/>
          </w:tcPr>
          <w:p w14:paraId="1894111B"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33%</w:t>
            </w:r>
          </w:p>
        </w:tc>
        <w:tc>
          <w:tcPr>
            <w:tcW w:w="851" w:type="dxa"/>
            <w:tcBorders>
              <w:top w:val="nil"/>
              <w:left w:val="nil"/>
              <w:bottom w:val="nil"/>
              <w:right w:val="single" w:sz="4" w:space="0" w:color="auto"/>
            </w:tcBorders>
            <w:shd w:val="clear" w:color="auto" w:fill="auto"/>
            <w:noWrap/>
            <w:vAlign w:val="center"/>
            <w:hideMark/>
          </w:tcPr>
          <w:p w14:paraId="0360FD99"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5-7</w:t>
            </w:r>
          </w:p>
        </w:tc>
      </w:tr>
      <w:tr w:rsidR="00AC0425" w:rsidRPr="00AC0425" w14:paraId="3DEBCF0E" w14:textId="77777777" w:rsidTr="00EE621F">
        <w:trPr>
          <w:trHeight w:val="240"/>
        </w:trPr>
        <w:tc>
          <w:tcPr>
            <w:tcW w:w="4820" w:type="dxa"/>
            <w:tcBorders>
              <w:top w:val="nil"/>
              <w:left w:val="single" w:sz="4" w:space="0" w:color="auto"/>
              <w:bottom w:val="single" w:sz="4" w:space="0" w:color="auto"/>
              <w:right w:val="nil"/>
            </w:tcBorders>
            <w:shd w:val="clear" w:color="auto" w:fill="auto"/>
            <w:noWrap/>
            <w:vAlign w:val="center"/>
            <w:hideMark/>
          </w:tcPr>
          <w:p w14:paraId="446083EF"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High uncertainty events</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45B23FDD"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w:t>
            </w:r>
          </w:p>
        </w:tc>
        <w:tc>
          <w:tcPr>
            <w:tcW w:w="1417" w:type="dxa"/>
            <w:tcBorders>
              <w:top w:val="nil"/>
              <w:left w:val="nil"/>
              <w:bottom w:val="single" w:sz="4" w:space="0" w:color="auto"/>
              <w:right w:val="single" w:sz="4" w:space="0" w:color="auto"/>
            </w:tcBorders>
            <w:shd w:val="clear" w:color="auto" w:fill="auto"/>
            <w:noWrap/>
            <w:vAlign w:val="center"/>
            <w:hideMark/>
          </w:tcPr>
          <w:p w14:paraId="6248EB88"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67%</w:t>
            </w:r>
          </w:p>
        </w:tc>
        <w:tc>
          <w:tcPr>
            <w:tcW w:w="851" w:type="dxa"/>
            <w:tcBorders>
              <w:top w:val="nil"/>
              <w:left w:val="nil"/>
              <w:bottom w:val="single" w:sz="4" w:space="0" w:color="auto"/>
              <w:right w:val="single" w:sz="4" w:space="0" w:color="auto"/>
            </w:tcBorders>
            <w:shd w:val="clear" w:color="auto" w:fill="auto"/>
            <w:noWrap/>
            <w:vAlign w:val="center"/>
            <w:hideMark/>
          </w:tcPr>
          <w:p w14:paraId="2280AFFA"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5-7</w:t>
            </w:r>
          </w:p>
        </w:tc>
      </w:tr>
      <w:tr w:rsidR="00AC0425" w:rsidRPr="00AC0425" w14:paraId="4BF1F531"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1A731FA2"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Events with three circular sectors</w:t>
            </w:r>
          </w:p>
        </w:tc>
        <w:tc>
          <w:tcPr>
            <w:tcW w:w="1701" w:type="dxa"/>
            <w:tcBorders>
              <w:top w:val="nil"/>
              <w:left w:val="single" w:sz="4" w:space="0" w:color="auto"/>
              <w:bottom w:val="nil"/>
              <w:right w:val="single" w:sz="4" w:space="0" w:color="auto"/>
            </w:tcBorders>
            <w:shd w:val="clear" w:color="auto" w:fill="auto"/>
            <w:noWrap/>
            <w:vAlign w:val="center"/>
            <w:hideMark/>
          </w:tcPr>
          <w:p w14:paraId="4D9151A2"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5%</w:t>
            </w:r>
          </w:p>
        </w:tc>
        <w:tc>
          <w:tcPr>
            <w:tcW w:w="1417" w:type="dxa"/>
            <w:tcBorders>
              <w:top w:val="nil"/>
              <w:left w:val="nil"/>
              <w:bottom w:val="nil"/>
              <w:right w:val="single" w:sz="4" w:space="0" w:color="auto"/>
            </w:tcBorders>
            <w:shd w:val="clear" w:color="auto" w:fill="auto"/>
            <w:noWrap/>
            <w:vAlign w:val="center"/>
            <w:hideMark/>
          </w:tcPr>
          <w:p w14:paraId="5AF58E24"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21%</w:t>
            </w:r>
          </w:p>
        </w:tc>
        <w:tc>
          <w:tcPr>
            <w:tcW w:w="851" w:type="dxa"/>
            <w:tcBorders>
              <w:top w:val="nil"/>
              <w:left w:val="nil"/>
              <w:bottom w:val="nil"/>
              <w:right w:val="single" w:sz="4" w:space="0" w:color="auto"/>
            </w:tcBorders>
            <w:shd w:val="clear" w:color="auto" w:fill="auto"/>
            <w:noWrap/>
            <w:vAlign w:val="center"/>
            <w:hideMark/>
          </w:tcPr>
          <w:p w14:paraId="195AD033"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5-7</w:t>
            </w:r>
          </w:p>
        </w:tc>
      </w:tr>
      <w:tr w:rsidR="00AC0425" w:rsidRPr="00AC0425" w14:paraId="0AAC7978"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1C582947"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Events with two circular sectors</w:t>
            </w:r>
          </w:p>
        </w:tc>
        <w:tc>
          <w:tcPr>
            <w:tcW w:w="1701" w:type="dxa"/>
            <w:tcBorders>
              <w:top w:val="nil"/>
              <w:left w:val="single" w:sz="4" w:space="0" w:color="auto"/>
              <w:bottom w:val="nil"/>
              <w:right w:val="single" w:sz="4" w:space="0" w:color="auto"/>
            </w:tcBorders>
            <w:shd w:val="clear" w:color="auto" w:fill="auto"/>
            <w:noWrap/>
            <w:vAlign w:val="center"/>
            <w:hideMark/>
          </w:tcPr>
          <w:p w14:paraId="7D343F6A"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33%</w:t>
            </w:r>
          </w:p>
        </w:tc>
        <w:tc>
          <w:tcPr>
            <w:tcW w:w="1417" w:type="dxa"/>
            <w:tcBorders>
              <w:top w:val="nil"/>
              <w:left w:val="nil"/>
              <w:bottom w:val="nil"/>
              <w:right w:val="single" w:sz="4" w:space="0" w:color="auto"/>
            </w:tcBorders>
            <w:shd w:val="clear" w:color="auto" w:fill="auto"/>
            <w:noWrap/>
            <w:vAlign w:val="center"/>
            <w:hideMark/>
          </w:tcPr>
          <w:p w14:paraId="5871AF4E"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54%</w:t>
            </w:r>
          </w:p>
        </w:tc>
        <w:tc>
          <w:tcPr>
            <w:tcW w:w="851" w:type="dxa"/>
            <w:tcBorders>
              <w:top w:val="nil"/>
              <w:left w:val="nil"/>
              <w:bottom w:val="nil"/>
              <w:right w:val="single" w:sz="4" w:space="0" w:color="auto"/>
            </w:tcBorders>
            <w:shd w:val="clear" w:color="auto" w:fill="auto"/>
            <w:noWrap/>
            <w:vAlign w:val="center"/>
            <w:hideMark/>
          </w:tcPr>
          <w:p w14:paraId="1C5F2F76"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5-7</w:t>
            </w:r>
          </w:p>
        </w:tc>
      </w:tr>
      <w:tr w:rsidR="00AC0425" w:rsidRPr="00AC0425" w14:paraId="0CFC7734" w14:textId="77777777" w:rsidTr="00EE621F">
        <w:trPr>
          <w:trHeight w:val="240"/>
        </w:trPr>
        <w:tc>
          <w:tcPr>
            <w:tcW w:w="4820" w:type="dxa"/>
            <w:tcBorders>
              <w:top w:val="nil"/>
              <w:left w:val="single" w:sz="4" w:space="0" w:color="auto"/>
              <w:bottom w:val="single" w:sz="4" w:space="0" w:color="auto"/>
              <w:right w:val="nil"/>
            </w:tcBorders>
            <w:shd w:val="clear" w:color="auto" w:fill="auto"/>
            <w:noWrap/>
            <w:vAlign w:val="center"/>
            <w:hideMark/>
          </w:tcPr>
          <w:p w14:paraId="15BC9B88"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Events with one circular sector</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7FA766F3"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62%</w:t>
            </w:r>
          </w:p>
        </w:tc>
        <w:tc>
          <w:tcPr>
            <w:tcW w:w="1417" w:type="dxa"/>
            <w:tcBorders>
              <w:top w:val="nil"/>
              <w:left w:val="nil"/>
              <w:bottom w:val="single" w:sz="4" w:space="0" w:color="auto"/>
              <w:right w:val="single" w:sz="4" w:space="0" w:color="auto"/>
            </w:tcBorders>
            <w:shd w:val="clear" w:color="auto" w:fill="auto"/>
            <w:noWrap/>
            <w:vAlign w:val="center"/>
            <w:hideMark/>
          </w:tcPr>
          <w:p w14:paraId="54258178"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25%</w:t>
            </w:r>
          </w:p>
        </w:tc>
        <w:tc>
          <w:tcPr>
            <w:tcW w:w="851" w:type="dxa"/>
            <w:tcBorders>
              <w:top w:val="nil"/>
              <w:left w:val="nil"/>
              <w:bottom w:val="nil"/>
              <w:right w:val="single" w:sz="4" w:space="0" w:color="auto"/>
            </w:tcBorders>
            <w:shd w:val="clear" w:color="auto" w:fill="auto"/>
            <w:noWrap/>
            <w:vAlign w:val="center"/>
            <w:hideMark/>
          </w:tcPr>
          <w:p w14:paraId="3DE4C8E9"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5-7</w:t>
            </w:r>
          </w:p>
        </w:tc>
      </w:tr>
      <w:tr w:rsidR="00AC0425" w:rsidRPr="00AC0425" w14:paraId="6C1ED36C"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4C75B03A"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 xml:space="preserve">Events with one sector towards </w:t>
            </w:r>
            <w:proofErr w:type="spellStart"/>
            <w:r w:rsidRPr="00AC0425">
              <w:rPr>
                <w:rFonts w:ascii="Calibri" w:hAnsi="Calibri" w:cs="Calibri"/>
                <w:color w:val="000000"/>
                <w:sz w:val="18"/>
                <w:szCs w:val="18"/>
              </w:rPr>
              <w:t>Sciara</w:t>
            </w:r>
            <w:proofErr w:type="spellEnd"/>
            <w:r w:rsidRPr="00AC0425">
              <w:rPr>
                <w:rFonts w:ascii="Calibri" w:hAnsi="Calibri" w:cs="Calibri"/>
                <w:color w:val="000000"/>
                <w:sz w:val="18"/>
                <w:szCs w:val="18"/>
              </w:rPr>
              <w:t xml:space="preserve"> del </w:t>
            </w:r>
            <w:proofErr w:type="spellStart"/>
            <w:r w:rsidRPr="00AC0425">
              <w:rPr>
                <w:rFonts w:ascii="Calibri" w:hAnsi="Calibri" w:cs="Calibri"/>
                <w:color w:val="000000"/>
                <w:sz w:val="18"/>
                <w:szCs w:val="18"/>
              </w:rPr>
              <w:t>Fuoco</w:t>
            </w:r>
            <w:proofErr w:type="spellEnd"/>
          </w:p>
        </w:tc>
        <w:tc>
          <w:tcPr>
            <w:tcW w:w="1701" w:type="dxa"/>
            <w:tcBorders>
              <w:top w:val="nil"/>
              <w:left w:val="single" w:sz="4" w:space="0" w:color="auto"/>
              <w:bottom w:val="nil"/>
              <w:right w:val="single" w:sz="4" w:space="0" w:color="auto"/>
            </w:tcBorders>
            <w:shd w:val="clear" w:color="auto" w:fill="auto"/>
            <w:noWrap/>
            <w:vAlign w:val="center"/>
            <w:hideMark/>
          </w:tcPr>
          <w:p w14:paraId="59F66C99"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21%</w:t>
            </w:r>
          </w:p>
        </w:tc>
        <w:tc>
          <w:tcPr>
            <w:tcW w:w="1417" w:type="dxa"/>
            <w:tcBorders>
              <w:top w:val="nil"/>
              <w:left w:val="nil"/>
              <w:bottom w:val="nil"/>
              <w:right w:val="single" w:sz="4" w:space="0" w:color="auto"/>
            </w:tcBorders>
            <w:shd w:val="clear" w:color="auto" w:fill="auto"/>
            <w:noWrap/>
            <w:vAlign w:val="center"/>
            <w:hideMark/>
          </w:tcPr>
          <w:p w14:paraId="5DB10704"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54%</w:t>
            </w:r>
          </w:p>
        </w:tc>
        <w:tc>
          <w:tcPr>
            <w:tcW w:w="851" w:type="dxa"/>
            <w:tcBorders>
              <w:top w:val="single" w:sz="4" w:space="0" w:color="auto"/>
              <w:left w:val="nil"/>
              <w:bottom w:val="nil"/>
              <w:right w:val="single" w:sz="4" w:space="0" w:color="auto"/>
            </w:tcBorders>
            <w:shd w:val="clear" w:color="auto" w:fill="auto"/>
            <w:noWrap/>
            <w:vAlign w:val="center"/>
            <w:hideMark/>
          </w:tcPr>
          <w:p w14:paraId="6B6711B2"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5-7</w:t>
            </w:r>
          </w:p>
        </w:tc>
      </w:tr>
      <w:tr w:rsidR="00AC0425" w:rsidRPr="00AC0425" w14:paraId="36A7C70A"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75A1B684"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 xml:space="preserve">Events with ballistic distance in </w:t>
            </w:r>
            <w:proofErr w:type="spellStart"/>
            <w:r w:rsidRPr="00AC0425">
              <w:rPr>
                <w:rFonts w:ascii="Calibri" w:hAnsi="Calibri" w:cs="Calibri"/>
                <w:color w:val="000000"/>
                <w:sz w:val="18"/>
                <w:szCs w:val="18"/>
              </w:rPr>
              <w:t>Sciara</w:t>
            </w:r>
            <w:proofErr w:type="spellEnd"/>
            <w:r w:rsidRPr="00AC0425">
              <w:rPr>
                <w:rFonts w:ascii="Calibri" w:hAnsi="Calibri" w:cs="Calibri"/>
                <w:color w:val="000000"/>
                <w:sz w:val="18"/>
                <w:szCs w:val="18"/>
              </w:rPr>
              <w:t xml:space="preserve"> del </w:t>
            </w:r>
            <w:proofErr w:type="spellStart"/>
            <w:r w:rsidRPr="00AC0425">
              <w:rPr>
                <w:rFonts w:ascii="Calibri" w:hAnsi="Calibri" w:cs="Calibri"/>
                <w:color w:val="000000"/>
                <w:sz w:val="18"/>
                <w:szCs w:val="18"/>
              </w:rPr>
              <w:t>Fuoco</w:t>
            </w:r>
            <w:proofErr w:type="spellEnd"/>
            <w:r w:rsidRPr="00AC0425">
              <w:rPr>
                <w:rFonts w:ascii="Calibri" w:hAnsi="Calibri" w:cs="Calibri"/>
                <w:color w:val="000000"/>
                <w:sz w:val="18"/>
                <w:szCs w:val="18"/>
              </w:rPr>
              <w:t xml:space="preserve"> not quantified </w:t>
            </w:r>
          </w:p>
        </w:tc>
        <w:tc>
          <w:tcPr>
            <w:tcW w:w="1701" w:type="dxa"/>
            <w:tcBorders>
              <w:top w:val="nil"/>
              <w:left w:val="single" w:sz="4" w:space="0" w:color="auto"/>
              <w:bottom w:val="nil"/>
              <w:right w:val="single" w:sz="4" w:space="0" w:color="auto"/>
            </w:tcBorders>
            <w:shd w:val="clear" w:color="auto" w:fill="auto"/>
            <w:noWrap/>
            <w:vAlign w:val="center"/>
            <w:hideMark/>
          </w:tcPr>
          <w:p w14:paraId="57E3CF87"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56%</w:t>
            </w:r>
          </w:p>
        </w:tc>
        <w:tc>
          <w:tcPr>
            <w:tcW w:w="1417" w:type="dxa"/>
            <w:tcBorders>
              <w:top w:val="nil"/>
              <w:left w:val="nil"/>
              <w:bottom w:val="nil"/>
              <w:right w:val="single" w:sz="4" w:space="0" w:color="auto"/>
            </w:tcBorders>
            <w:shd w:val="clear" w:color="auto" w:fill="auto"/>
            <w:noWrap/>
            <w:vAlign w:val="center"/>
            <w:hideMark/>
          </w:tcPr>
          <w:p w14:paraId="599D4555"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25%</w:t>
            </w:r>
          </w:p>
        </w:tc>
        <w:tc>
          <w:tcPr>
            <w:tcW w:w="851" w:type="dxa"/>
            <w:tcBorders>
              <w:top w:val="nil"/>
              <w:left w:val="nil"/>
              <w:bottom w:val="nil"/>
              <w:right w:val="single" w:sz="4" w:space="0" w:color="auto"/>
            </w:tcBorders>
            <w:shd w:val="clear" w:color="auto" w:fill="auto"/>
            <w:noWrap/>
            <w:vAlign w:val="center"/>
            <w:hideMark/>
          </w:tcPr>
          <w:p w14:paraId="0179BF2D"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5-7</w:t>
            </w:r>
          </w:p>
        </w:tc>
      </w:tr>
      <w:tr w:rsidR="00AC0425" w:rsidRPr="00AC0425" w14:paraId="608CC895"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5D8B8C1F"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 xml:space="preserve">Events with no mapped sector towards </w:t>
            </w:r>
            <w:proofErr w:type="spellStart"/>
            <w:r w:rsidRPr="00AC0425">
              <w:rPr>
                <w:rFonts w:ascii="Calibri" w:hAnsi="Calibri" w:cs="Calibri"/>
                <w:color w:val="000000"/>
                <w:sz w:val="18"/>
                <w:szCs w:val="18"/>
              </w:rPr>
              <w:t>Sciara</w:t>
            </w:r>
            <w:proofErr w:type="spellEnd"/>
            <w:r w:rsidRPr="00AC0425">
              <w:rPr>
                <w:rFonts w:ascii="Calibri" w:hAnsi="Calibri" w:cs="Calibri"/>
                <w:color w:val="000000"/>
                <w:sz w:val="18"/>
                <w:szCs w:val="18"/>
              </w:rPr>
              <w:t xml:space="preserve"> del </w:t>
            </w:r>
            <w:proofErr w:type="spellStart"/>
            <w:r w:rsidRPr="00AC0425">
              <w:rPr>
                <w:rFonts w:ascii="Calibri" w:hAnsi="Calibri" w:cs="Calibri"/>
                <w:color w:val="000000"/>
                <w:sz w:val="18"/>
                <w:szCs w:val="18"/>
              </w:rPr>
              <w:t>Fuoco</w:t>
            </w:r>
            <w:proofErr w:type="spellEnd"/>
          </w:p>
        </w:tc>
        <w:tc>
          <w:tcPr>
            <w:tcW w:w="1701" w:type="dxa"/>
            <w:tcBorders>
              <w:top w:val="nil"/>
              <w:left w:val="single" w:sz="4" w:space="0" w:color="auto"/>
              <w:bottom w:val="nil"/>
              <w:right w:val="single" w:sz="4" w:space="0" w:color="auto"/>
            </w:tcBorders>
            <w:shd w:val="clear" w:color="auto" w:fill="auto"/>
            <w:noWrap/>
            <w:vAlign w:val="center"/>
            <w:hideMark/>
          </w:tcPr>
          <w:p w14:paraId="4D8B5D20"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23%</w:t>
            </w:r>
          </w:p>
        </w:tc>
        <w:tc>
          <w:tcPr>
            <w:tcW w:w="1417" w:type="dxa"/>
            <w:tcBorders>
              <w:top w:val="nil"/>
              <w:left w:val="nil"/>
              <w:bottom w:val="nil"/>
              <w:right w:val="single" w:sz="4" w:space="0" w:color="auto"/>
            </w:tcBorders>
            <w:shd w:val="clear" w:color="auto" w:fill="auto"/>
            <w:noWrap/>
            <w:vAlign w:val="center"/>
            <w:hideMark/>
          </w:tcPr>
          <w:p w14:paraId="7680629F"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21%</w:t>
            </w:r>
          </w:p>
        </w:tc>
        <w:tc>
          <w:tcPr>
            <w:tcW w:w="851" w:type="dxa"/>
            <w:tcBorders>
              <w:top w:val="nil"/>
              <w:left w:val="nil"/>
              <w:bottom w:val="nil"/>
              <w:right w:val="single" w:sz="4" w:space="0" w:color="auto"/>
            </w:tcBorders>
            <w:shd w:val="clear" w:color="auto" w:fill="auto"/>
            <w:noWrap/>
            <w:vAlign w:val="center"/>
            <w:hideMark/>
          </w:tcPr>
          <w:p w14:paraId="36547156"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5-7</w:t>
            </w:r>
          </w:p>
        </w:tc>
      </w:tr>
      <w:tr w:rsidR="00AC0425" w:rsidRPr="00AC0425" w14:paraId="2B633C52" w14:textId="77777777" w:rsidTr="00EE621F">
        <w:trPr>
          <w:trHeight w:val="240"/>
        </w:trPr>
        <w:tc>
          <w:tcPr>
            <w:tcW w:w="4820" w:type="dxa"/>
            <w:tcBorders>
              <w:top w:val="single" w:sz="4" w:space="0" w:color="auto"/>
              <w:left w:val="single" w:sz="4" w:space="0" w:color="auto"/>
              <w:bottom w:val="nil"/>
              <w:right w:val="single" w:sz="4" w:space="0" w:color="auto"/>
            </w:tcBorders>
            <w:shd w:val="clear" w:color="auto" w:fill="auto"/>
            <w:noWrap/>
            <w:vAlign w:val="center"/>
            <w:hideMark/>
          </w:tcPr>
          <w:p w14:paraId="13F7DBE4"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Events with max. ballistic distance &lt; 500 m</w:t>
            </w:r>
          </w:p>
        </w:tc>
        <w:tc>
          <w:tcPr>
            <w:tcW w:w="1701" w:type="dxa"/>
            <w:tcBorders>
              <w:top w:val="single" w:sz="4" w:space="0" w:color="auto"/>
              <w:left w:val="nil"/>
              <w:bottom w:val="nil"/>
              <w:right w:val="single" w:sz="4" w:space="0" w:color="auto"/>
            </w:tcBorders>
            <w:shd w:val="clear" w:color="auto" w:fill="auto"/>
            <w:noWrap/>
            <w:vAlign w:val="center"/>
            <w:hideMark/>
          </w:tcPr>
          <w:p w14:paraId="26BB728D"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23% to 37%</w:t>
            </w:r>
          </w:p>
        </w:tc>
        <w:tc>
          <w:tcPr>
            <w:tcW w:w="1417" w:type="dxa"/>
            <w:tcBorders>
              <w:top w:val="single" w:sz="4" w:space="0" w:color="auto"/>
              <w:left w:val="nil"/>
              <w:bottom w:val="nil"/>
              <w:right w:val="single" w:sz="4" w:space="0" w:color="auto"/>
            </w:tcBorders>
            <w:shd w:val="clear" w:color="auto" w:fill="auto"/>
            <w:noWrap/>
            <w:vAlign w:val="center"/>
            <w:hideMark/>
          </w:tcPr>
          <w:p w14:paraId="002651F6"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w:t>
            </w:r>
          </w:p>
        </w:tc>
        <w:tc>
          <w:tcPr>
            <w:tcW w:w="851" w:type="dxa"/>
            <w:tcBorders>
              <w:top w:val="single" w:sz="4" w:space="0" w:color="auto"/>
              <w:left w:val="nil"/>
              <w:bottom w:val="nil"/>
              <w:right w:val="single" w:sz="4" w:space="0" w:color="auto"/>
            </w:tcBorders>
            <w:shd w:val="clear" w:color="auto" w:fill="auto"/>
            <w:noWrap/>
            <w:vAlign w:val="center"/>
            <w:hideMark/>
          </w:tcPr>
          <w:p w14:paraId="5922E976"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8</w:t>
            </w:r>
          </w:p>
        </w:tc>
      </w:tr>
      <w:tr w:rsidR="00AC0425" w:rsidRPr="00AC0425" w14:paraId="024AAF2E" w14:textId="77777777" w:rsidTr="00EE621F">
        <w:trPr>
          <w:trHeight w:val="240"/>
        </w:trPr>
        <w:tc>
          <w:tcPr>
            <w:tcW w:w="4820" w:type="dxa"/>
            <w:tcBorders>
              <w:top w:val="nil"/>
              <w:left w:val="single" w:sz="4" w:space="0" w:color="auto"/>
              <w:bottom w:val="nil"/>
              <w:right w:val="single" w:sz="4" w:space="0" w:color="auto"/>
            </w:tcBorders>
            <w:shd w:val="clear" w:color="auto" w:fill="auto"/>
            <w:noWrap/>
            <w:vAlign w:val="center"/>
            <w:hideMark/>
          </w:tcPr>
          <w:p w14:paraId="190DDF99"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Events with max. ballistic distance from 500 m to 1000 m</w:t>
            </w:r>
          </w:p>
        </w:tc>
        <w:tc>
          <w:tcPr>
            <w:tcW w:w="1701" w:type="dxa"/>
            <w:tcBorders>
              <w:top w:val="nil"/>
              <w:left w:val="nil"/>
              <w:bottom w:val="nil"/>
              <w:right w:val="single" w:sz="4" w:space="0" w:color="auto"/>
            </w:tcBorders>
            <w:shd w:val="clear" w:color="auto" w:fill="auto"/>
            <w:noWrap/>
            <w:vAlign w:val="center"/>
            <w:hideMark/>
          </w:tcPr>
          <w:p w14:paraId="4447A0D6"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51% to 65%</w:t>
            </w:r>
          </w:p>
        </w:tc>
        <w:tc>
          <w:tcPr>
            <w:tcW w:w="1417" w:type="dxa"/>
            <w:tcBorders>
              <w:top w:val="nil"/>
              <w:left w:val="nil"/>
              <w:bottom w:val="nil"/>
              <w:right w:val="single" w:sz="4" w:space="0" w:color="auto"/>
            </w:tcBorders>
            <w:shd w:val="clear" w:color="auto" w:fill="auto"/>
            <w:noWrap/>
            <w:vAlign w:val="center"/>
            <w:hideMark/>
          </w:tcPr>
          <w:p w14:paraId="0AF20AB0"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w:t>
            </w:r>
          </w:p>
        </w:tc>
        <w:tc>
          <w:tcPr>
            <w:tcW w:w="851" w:type="dxa"/>
            <w:tcBorders>
              <w:top w:val="nil"/>
              <w:left w:val="nil"/>
              <w:bottom w:val="nil"/>
              <w:right w:val="single" w:sz="4" w:space="0" w:color="auto"/>
            </w:tcBorders>
            <w:shd w:val="clear" w:color="auto" w:fill="auto"/>
            <w:noWrap/>
            <w:vAlign w:val="center"/>
            <w:hideMark/>
          </w:tcPr>
          <w:p w14:paraId="0290A65B"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8</w:t>
            </w:r>
          </w:p>
        </w:tc>
      </w:tr>
      <w:tr w:rsidR="00AC0425" w:rsidRPr="00AC0425" w14:paraId="207027D9" w14:textId="77777777" w:rsidTr="00EE621F">
        <w:trPr>
          <w:trHeight w:val="240"/>
        </w:trPr>
        <w:tc>
          <w:tcPr>
            <w:tcW w:w="4820" w:type="dxa"/>
            <w:tcBorders>
              <w:top w:val="nil"/>
              <w:left w:val="single" w:sz="4" w:space="0" w:color="auto"/>
              <w:bottom w:val="nil"/>
              <w:right w:val="single" w:sz="4" w:space="0" w:color="auto"/>
            </w:tcBorders>
            <w:shd w:val="clear" w:color="auto" w:fill="auto"/>
            <w:noWrap/>
            <w:vAlign w:val="center"/>
            <w:hideMark/>
          </w:tcPr>
          <w:p w14:paraId="062F1B15"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Events with max. ballistic distance from 1000 m to 1500 m</w:t>
            </w:r>
          </w:p>
        </w:tc>
        <w:tc>
          <w:tcPr>
            <w:tcW w:w="1701" w:type="dxa"/>
            <w:tcBorders>
              <w:top w:val="nil"/>
              <w:left w:val="nil"/>
              <w:bottom w:val="nil"/>
              <w:right w:val="single" w:sz="4" w:space="0" w:color="auto"/>
            </w:tcBorders>
            <w:shd w:val="clear" w:color="auto" w:fill="auto"/>
            <w:noWrap/>
            <w:vAlign w:val="center"/>
            <w:hideMark/>
          </w:tcPr>
          <w:p w14:paraId="582EB4E9"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12% to 14%</w:t>
            </w:r>
          </w:p>
        </w:tc>
        <w:tc>
          <w:tcPr>
            <w:tcW w:w="1417" w:type="dxa"/>
            <w:tcBorders>
              <w:top w:val="nil"/>
              <w:left w:val="nil"/>
              <w:bottom w:val="nil"/>
              <w:right w:val="single" w:sz="4" w:space="0" w:color="auto"/>
            </w:tcBorders>
            <w:shd w:val="clear" w:color="auto" w:fill="auto"/>
            <w:noWrap/>
            <w:vAlign w:val="center"/>
            <w:hideMark/>
          </w:tcPr>
          <w:p w14:paraId="12DF4160"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17% to 42%</w:t>
            </w:r>
          </w:p>
        </w:tc>
        <w:tc>
          <w:tcPr>
            <w:tcW w:w="851" w:type="dxa"/>
            <w:tcBorders>
              <w:top w:val="nil"/>
              <w:left w:val="nil"/>
              <w:bottom w:val="nil"/>
              <w:right w:val="single" w:sz="4" w:space="0" w:color="auto"/>
            </w:tcBorders>
            <w:shd w:val="clear" w:color="auto" w:fill="auto"/>
            <w:noWrap/>
            <w:vAlign w:val="center"/>
            <w:hideMark/>
          </w:tcPr>
          <w:p w14:paraId="19DBCDBA"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8</w:t>
            </w:r>
          </w:p>
        </w:tc>
      </w:tr>
      <w:tr w:rsidR="00AC0425" w:rsidRPr="00AC0425" w14:paraId="564AE267" w14:textId="77777777" w:rsidTr="00EE621F">
        <w:trPr>
          <w:trHeight w:val="240"/>
        </w:trPr>
        <w:tc>
          <w:tcPr>
            <w:tcW w:w="4820" w:type="dxa"/>
            <w:tcBorders>
              <w:top w:val="nil"/>
              <w:left w:val="single" w:sz="4" w:space="0" w:color="auto"/>
              <w:bottom w:val="nil"/>
              <w:right w:val="single" w:sz="4" w:space="0" w:color="auto"/>
            </w:tcBorders>
            <w:shd w:val="clear" w:color="auto" w:fill="auto"/>
            <w:noWrap/>
            <w:vAlign w:val="center"/>
            <w:hideMark/>
          </w:tcPr>
          <w:p w14:paraId="09B56A0E"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Events with max. ballistic distance from 1500 m to 2000 m</w:t>
            </w:r>
          </w:p>
        </w:tc>
        <w:tc>
          <w:tcPr>
            <w:tcW w:w="1701" w:type="dxa"/>
            <w:tcBorders>
              <w:top w:val="nil"/>
              <w:left w:val="nil"/>
              <w:bottom w:val="nil"/>
              <w:right w:val="single" w:sz="4" w:space="0" w:color="auto"/>
            </w:tcBorders>
            <w:shd w:val="clear" w:color="auto" w:fill="auto"/>
            <w:noWrap/>
            <w:vAlign w:val="center"/>
            <w:hideMark/>
          </w:tcPr>
          <w:p w14:paraId="0FB253BC"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w:t>
            </w:r>
          </w:p>
        </w:tc>
        <w:tc>
          <w:tcPr>
            <w:tcW w:w="1417" w:type="dxa"/>
            <w:tcBorders>
              <w:top w:val="nil"/>
              <w:left w:val="nil"/>
              <w:bottom w:val="nil"/>
              <w:right w:val="single" w:sz="4" w:space="0" w:color="auto"/>
            </w:tcBorders>
            <w:shd w:val="clear" w:color="auto" w:fill="auto"/>
            <w:noWrap/>
            <w:vAlign w:val="center"/>
            <w:hideMark/>
          </w:tcPr>
          <w:p w14:paraId="47431310"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29% to 54%</w:t>
            </w:r>
          </w:p>
        </w:tc>
        <w:tc>
          <w:tcPr>
            <w:tcW w:w="851" w:type="dxa"/>
            <w:tcBorders>
              <w:top w:val="nil"/>
              <w:left w:val="nil"/>
              <w:bottom w:val="nil"/>
              <w:right w:val="single" w:sz="4" w:space="0" w:color="auto"/>
            </w:tcBorders>
            <w:shd w:val="clear" w:color="auto" w:fill="auto"/>
            <w:noWrap/>
            <w:vAlign w:val="center"/>
            <w:hideMark/>
          </w:tcPr>
          <w:p w14:paraId="733F1664"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8</w:t>
            </w:r>
          </w:p>
        </w:tc>
      </w:tr>
      <w:tr w:rsidR="00AC0425" w:rsidRPr="00AC0425" w14:paraId="17327469" w14:textId="77777777" w:rsidTr="00EE621F">
        <w:trPr>
          <w:trHeight w:val="240"/>
        </w:trPr>
        <w:tc>
          <w:tcPr>
            <w:tcW w:w="4820" w:type="dxa"/>
            <w:tcBorders>
              <w:top w:val="nil"/>
              <w:left w:val="single" w:sz="4" w:space="0" w:color="auto"/>
              <w:bottom w:val="nil"/>
              <w:right w:val="single" w:sz="4" w:space="0" w:color="auto"/>
            </w:tcBorders>
            <w:shd w:val="clear" w:color="auto" w:fill="auto"/>
            <w:noWrap/>
            <w:vAlign w:val="center"/>
            <w:hideMark/>
          </w:tcPr>
          <w:p w14:paraId="11DC6ECD"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Events with max. ballistic distance from 2000 m to 2500 m</w:t>
            </w:r>
          </w:p>
        </w:tc>
        <w:tc>
          <w:tcPr>
            <w:tcW w:w="1701" w:type="dxa"/>
            <w:tcBorders>
              <w:top w:val="nil"/>
              <w:left w:val="nil"/>
              <w:bottom w:val="nil"/>
              <w:right w:val="single" w:sz="4" w:space="0" w:color="auto"/>
            </w:tcBorders>
            <w:shd w:val="clear" w:color="auto" w:fill="auto"/>
            <w:noWrap/>
            <w:vAlign w:val="center"/>
            <w:hideMark/>
          </w:tcPr>
          <w:p w14:paraId="509358BB"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w:t>
            </w:r>
          </w:p>
        </w:tc>
        <w:tc>
          <w:tcPr>
            <w:tcW w:w="1417" w:type="dxa"/>
            <w:tcBorders>
              <w:top w:val="nil"/>
              <w:left w:val="nil"/>
              <w:bottom w:val="nil"/>
              <w:right w:val="single" w:sz="4" w:space="0" w:color="auto"/>
            </w:tcBorders>
            <w:shd w:val="clear" w:color="auto" w:fill="auto"/>
            <w:noWrap/>
            <w:vAlign w:val="center"/>
            <w:hideMark/>
          </w:tcPr>
          <w:p w14:paraId="3FBFE8DB"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25%</w:t>
            </w:r>
          </w:p>
        </w:tc>
        <w:tc>
          <w:tcPr>
            <w:tcW w:w="851" w:type="dxa"/>
            <w:tcBorders>
              <w:top w:val="nil"/>
              <w:left w:val="nil"/>
              <w:bottom w:val="nil"/>
              <w:right w:val="single" w:sz="4" w:space="0" w:color="auto"/>
            </w:tcBorders>
            <w:shd w:val="clear" w:color="auto" w:fill="auto"/>
            <w:noWrap/>
            <w:vAlign w:val="center"/>
            <w:hideMark/>
          </w:tcPr>
          <w:p w14:paraId="4054FB1E"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8</w:t>
            </w:r>
          </w:p>
        </w:tc>
      </w:tr>
      <w:tr w:rsidR="00AC0425" w:rsidRPr="00AC0425" w14:paraId="3B38FD1E" w14:textId="77777777" w:rsidTr="00EE621F">
        <w:trPr>
          <w:trHeight w:val="240"/>
        </w:trPr>
        <w:tc>
          <w:tcPr>
            <w:tcW w:w="4820" w:type="dxa"/>
            <w:tcBorders>
              <w:top w:val="nil"/>
              <w:left w:val="single" w:sz="4" w:space="0" w:color="auto"/>
              <w:bottom w:val="single" w:sz="4" w:space="0" w:color="auto"/>
              <w:right w:val="single" w:sz="4" w:space="0" w:color="auto"/>
            </w:tcBorders>
            <w:shd w:val="clear" w:color="auto" w:fill="auto"/>
            <w:noWrap/>
            <w:vAlign w:val="center"/>
            <w:hideMark/>
          </w:tcPr>
          <w:p w14:paraId="05A890B4"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Events with max. ballistic distance ≥ 2500 m</w:t>
            </w:r>
          </w:p>
        </w:tc>
        <w:tc>
          <w:tcPr>
            <w:tcW w:w="1701" w:type="dxa"/>
            <w:tcBorders>
              <w:top w:val="nil"/>
              <w:left w:val="nil"/>
              <w:bottom w:val="single" w:sz="4" w:space="0" w:color="auto"/>
              <w:right w:val="single" w:sz="4" w:space="0" w:color="auto"/>
            </w:tcBorders>
            <w:shd w:val="clear" w:color="auto" w:fill="auto"/>
            <w:noWrap/>
            <w:vAlign w:val="center"/>
            <w:hideMark/>
          </w:tcPr>
          <w:p w14:paraId="2EC3F17B"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w:t>
            </w:r>
          </w:p>
        </w:tc>
        <w:tc>
          <w:tcPr>
            <w:tcW w:w="1417" w:type="dxa"/>
            <w:tcBorders>
              <w:top w:val="nil"/>
              <w:left w:val="nil"/>
              <w:bottom w:val="single" w:sz="4" w:space="0" w:color="auto"/>
              <w:right w:val="single" w:sz="4" w:space="0" w:color="auto"/>
            </w:tcBorders>
            <w:shd w:val="clear" w:color="auto" w:fill="auto"/>
            <w:noWrap/>
            <w:vAlign w:val="center"/>
            <w:hideMark/>
          </w:tcPr>
          <w:p w14:paraId="2E13B5FB"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4%</w:t>
            </w:r>
          </w:p>
        </w:tc>
        <w:tc>
          <w:tcPr>
            <w:tcW w:w="851" w:type="dxa"/>
            <w:tcBorders>
              <w:top w:val="nil"/>
              <w:left w:val="nil"/>
              <w:bottom w:val="nil"/>
              <w:right w:val="single" w:sz="4" w:space="0" w:color="auto"/>
            </w:tcBorders>
            <w:shd w:val="clear" w:color="auto" w:fill="auto"/>
            <w:noWrap/>
            <w:vAlign w:val="center"/>
            <w:hideMark/>
          </w:tcPr>
          <w:p w14:paraId="45391DCC"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8</w:t>
            </w:r>
          </w:p>
        </w:tc>
      </w:tr>
      <w:tr w:rsidR="00AC0425" w:rsidRPr="00AC0425" w14:paraId="08ADAAC6"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145331DB" w14:textId="77777777" w:rsidR="00AC0425" w:rsidRPr="00AC0425" w:rsidRDefault="00AC0425" w:rsidP="00AC0425">
            <w:pPr>
              <w:rPr>
                <w:rFonts w:ascii="Calibri" w:hAnsi="Calibri" w:cs="Calibri"/>
                <w:color w:val="000000"/>
                <w:sz w:val="18"/>
                <w:szCs w:val="18"/>
              </w:rPr>
            </w:pPr>
            <w:proofErr w:type="spellStart"/>
            <w:r w:rsidRPr="00AC0425">
              <w:rPr>
                <w:rFonts w:ascii="Calibri" w:hAnsi="Calibri" w:cs="Calibri"/>
                <w:color w:val="000000"/>
                <w:sz w:val="18"/>
                <w:szCs w:val="18"/>
              </w:rPr>
              <w:t>Exceedance</w:t>
            </w:r>
            <w:proofErr w:type="spellEnd"/>
            <w:r w:rsidRPr="00AC0425">
              <w:rPr>
                <w:rFonts w:ascii="Calibri" w:hAnsi="Calibri" w:cs="Calibri"/>
                <w:color w:val="000000"/>
                <w:sz w:val="18"/>
                <w:szCs w:val="18"/>
              </w:rPr>
              <w:t xml:space="preserve"> prob. in all directions, excl. </w:t>
            </w:r>
            <w:proofErr w:type="spellStart"/>
            <w:r w:rsidRPr="00AC0425">
              <w:rPr>
                <w:rFonts w:ascii="Calibri" w:hAnsi="Calibri" w:cs="Calibri"/>
                <w:color w:val="000000"/>
                <w:sz w:val="18"/>
                <w:szCs w:val="18"/>
              </w:rPr>
              <w:t>axisymm</w:t>
            </w:r>
            <w:proofErr w:type="spellEnd"/>
            <w:r w:rsidRPr="00AC0425">
              <w:rPr>
                <w:rFonts w:ascii="Calibri" w:hAnsi="Calibri" w:cs="Calibri"/>
                <w:color w:val="000000"/>
                <w:sz w:val="18"/>
                <w:szCs w:val="18"/>
              </w:rPr>
              <w:t>. part, 500 m</w:t>
            </w:r>
          </w:p>
        </w:tc>
        <w:tc>
          <w:tcPr>
            <w:tcW w:w="1701" w:type="dxa"/>
            <w:tcBorders>
              <w:top w:val="nil"/>
              <w:left w:val="single" w:sz="4" w:space="0" w:color="auto"/>
              <w:bottom w:val="nil"/>
              <w:right w:val="single" w:sz="4" w:space="0" w:color="auto"/>
            </w:tcBorders>
            <w:shd w:val="clear" w:color="auto" w:fill="auto"/>
            <w:noWrap/>
            <w:vAlign w:val="center"/>
            <w:hideMark/>
          </w:tcPr>
          <w:p w14:paraId="56AC5CBF"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 xml:space="preserve">64% ±6.5% </w:t>
            </w:r>
          </w:p>
        </w:tc>
        <w:tc>
          <w:tcPr>
            <w:tcW w:w="1417" w:type="dxa"/>
            <w:tcBorders>
              <w:top w:val="nil"/>
              <w:left w:val="nil"/>
              <w:bottom w:val="nil"/>
              <w:right w:val="single" w:sz="4" w:space="0" w:color="auto"/>
            </w:tcBorders>
            <w:shd w:val="clear" w:color="auto" w:fill="auto"/>
            <w:noWrap/>
            <w:vAlign w:val="center"/>
            <w:hideMark/>
          </w:tcPr>
          <w:p w14:paraId="2D6F0273"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w:t>
            </w:r>
          </w:p>
        </w:tc>
        <w:tc>
          <w:tcPr>
            <w:tcW w:w="851" w:type="dxa"/>
            <w:tcBorders>
              <w:top w:val="single" w:sz="4" w:space="0" w:color="auto"/>
              <w:left w:val="nil"/>
              <w:bottom w:val="nil"/>
              <w:right w:val="single" w:sz="4" w:space="0" w:color="auto"/>
            </w:tcBorders>
            <w:shd w:val="clear" w:color="auto" w:fill="auto"/>
            <w:noWrap/>
            <w:vAlign w:val="center"/>
            <w:hideMark/>
          </w:tcPr>
          <w:p w14:paraId="16BDC14F"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9</w:t>
            </w:r>
          </w:p>
        </w:tc>
      </w:tr>
      <w:tr w:rsidR="00AC0425" w:rsidRPr="00AC0425" w14:paraId="0DA7512D"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097D34D1" w14:textId="77777777" w:rsidR="00AC0425" w:rsidRPr="00AC0425" w:rsidRDefault="00AC0425" w:rsidP="00AC0425">
            <w:pPr>
              <w:rPr>
                <w:rFonts w:ascii="Calibri" w:hAnsi="Calibri" w:cs="Calibri"/>
                <w:color w:val="000000"/>
                <w:sz w:val="18"/>
                <w:szCs w:val="18"/>
              </w:rPr>
            </w:pPr>
            <w:proofErr w:type="spellStart"/>
            <w:r w:rsidRPr="00AC0425">
              <w:rPr>
                <w:rFonts w:ascii="Calibri" w:hAnsi="Calibri" w:cs="Calibri"/>
                <w:color w:val="000000"/>
                <w:sz w:val="18"/>
                <w:szCs w:val="18"/>
              </w:rPr>
              <w:t>Exceedance</w:t>
            </w:r>
            <w:proofErr w:type="spellEnd"/>
            <w:r w:rsidRPr="00AC0425">
              <w:rPr>
                <w:rFonts w:ascii="Calibri" w:hAnsi="Calibri" w:cs="Calibri"/>
                <w:color w:val="000000"/>
                <w:sz w:val="18"/>
                <w:szCs w:val="18"/>
              </w:rPr>
              <w:t xml:space="preserve"> prob. in all directions, excl. </w:t>
            </w:r>
            <w:proofErr w:type="spellStart"/>
            <w:r w:rsidRPr="00AC0425">
              <w:rPr>
                <w:rFonts w:ascii="Calibri" w:hAnsi="Calibri" w:cs="Calibri"/>
                <w:color w:val="000000"/>
                <w:sz w:val="18"/>
                <w:szCs w:val="18"/>
              </w:rPr>
              <w:t>axisymm</w:t>
            </w:r>
            <w:proofErr w:type="spellEnd"/>
            <w:r w:rsidRPr="00AC0425">
              <w:rPr>
                <w:rFonts w:ascii="Calibri" w:hAnsi="Calibri" w:cs="Calibri"/>
                <w:color w:val="000000"/>
                <w:sz w:val="18"/>
                <w:szCs w:val="18"/>
              </w:rPr>
              <w:t>. part, 750 m</w:t>
            </w:r>
          </w:p>
        </w:tc>
        <w:tc>
          <w:tcPr>
            <w:tcW w:w="1701" w:type="dxa"/>
            <w:tcBorders>
              <w:top w:val="nil"/>
              <w:left w:val="single" w:sz="4" w:space="0" w:color="auto"/>
              <w:bottom w:val="nil"/>
              <w:right w:val="single" w:sz="4" w:space="0" w:color="auto"/>
            </w:tcBorders>
            <w:shd w:val="clear" w:color="auto" w:fill="auto"/>
            <w:noWrap/>
            <w:vAlign w:val="center"/>
            <w:hideMark/>
          </w:tcPr>
          <w:p w14:paraId="235FE2F6"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 xml:space="preserve">18%  ±4.5% </w:t>
            </w:r>
          </w:p>
        </w:tc>
        <w:tc>
          <w:tcPr>
            <w:tcW w:w="1417" w:type="dxa"/>
            <w:tcBorders>
              <w:top w:val="nil"/>
              <w:left w:val="nil"/>
              <w:bottom w:val="nil"/>
              <w:right w:val="single" w:sz="4" w:space="0" w:color="auto"/>
            </w:tcBorders>
            <w:shd w:val="clear" w:color="auto" w:fill="auto"/>
            <w:noWrap/>
            <w:vAlign w:val="center"/>
            <w:hideMark/>
          </w:tcPr>
          <w:p w14:paraId="3092B137"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w:t>
            </w:r>
          </w:p>
        </w:tc>
        <w:tc>
          <w:tcPr>
            <w:tcW w:w="851" w:type="dxa"/>
            <w:tcBorders>
              <w:top w:val="nil"/>
              <w:left w:val="nil"/>
              <w:bottom w:val="nil"/>
              <w:right w:val="single" w:sz="4" w:space="0" w:color="auto"/>
            </w:tcBorders>
            <w:shd w:val="clear" w:color="auto" w:fill="auto"/>
            <w:noWrap/>
            <w:vAlign w:val="center"/>
            <w:hideMark/>
          </w:tcPr>
          <w:p w14:paraId="06A54727"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9</w:t>
            </w:r>
          </w:p>
        </w:tc>
      </w:tr>
      <w:tr w:rsidR="00AC0425" w:rsidRPr="00AC0425" w14:paraId="08E54398"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66E1F30D" w14:textId="77777777" w:rsidR="00AC0425" w:rsidRPr="00AC0425" w:rsidRDefault="00AC0425" w:rsidP="00AC0425">
            <w:pPr>
              <w:rPr>
                <w:rFonts w:ascii="Calibri" w:hAnsi="Calibri" w:cs="Calibri"/>
                <w:color w:val="000000"/>
                <w:sz w:val="18"/>
                <w:szCs w:val="18"/>
              </w:rPr>
            </w:pPr>
            <w:proofErr w:type="spellStart"/>
            <w:r w:rsidRPr="00AC0425">
              <w:rPr>
                <w:rFonts w:ascii="Calibri" w:hAnsi="Calibri" w:cs="Calibri"/>
                <w:color w:val="000000"/>
                <w:sz w:val="18"/>
                <w:szCs w:val="18"/>
              </w:rPr>
              <w:t>Exceedance</w:t>
            </w:r>
            <w:proofErr w:type="spellEnd"/>
            <w:r w:rsidRPr="00AC0425">
              <w:rPr>
                <w:rFonts w:ascii="Calibri" w:hAnsi="Calibri" w:cs="Calibri"/>
                <w:color w:val="000000"/>
                <w:sz w:val="18"/>
                <w:szCs w:val="18"/>
              </w:rPr>
              <w:t xml:space="preserve"> prob. in all directions, excl. </w:t>
            </w:r>
            <w:proofErr w:type="spellStart"/>
            <w:r w:rsidRPr="00AC0425">
              <w:rPr>
                <w:rFonts w:ascii="Calibri" w:hAnsi="Calibri" w:cs="Calibri"/>
                <w:color w:val="000000"/>
                <w:sz w:val="18"/>
                <w:szCs w:val="18"/>
              </w:rPr>
              <w:t>axisymm</w:t>
            </w:r>
            <w:proofErr w:type="spellEnd"/>
            <w:r w:rsidRPr="00AC0425">
              <w:rPr>
                <w:rFonts w:ascii="Calibri" w:hAnsi="Calibri" w:cs="Calibri"/>
                <w:color w:val="000000"/>
                <w:sz w:val="18"/>
                <w:szCs w:val="18"/>
              </w:rPr>
              <w:t>. part, 1000 m</w:t>
            </w:r>
          </w:p>
        </w:tc>
        <w:tc>
          <w:tcPr>
            <w:tcW w:w="1701" w:type="dxa"/>
            <w:tcBorders>
              <w:top w:val="nil"/>
              <w:left w:val="single" w:sz="4" w:space="0" w:color="auto"/>
              <w:bottom w:val="nil"/>
              <w:right w:val="single" w:sz="4" w:space="0" w:color="auto"/>
            </w:tcBorders>
            <w:shd w:val="clear" w:color="auto" w:fill="auto"/>
            <w:noWrap/>
            <w:vAlign w:val="center"/>
            <w:hideMark/>
          </w:tcPr>
          <w:p w14:paraId="05363369"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8% ±1.5%</w:t>
            </w:r>
          </w:p>
        </w:tc>
        <w:tc>
          <w:tcPr>
            <w:tcW w:w="1417" w:type="dxa"/>
            <w:tcBorders>
              <w:top w:val="nil"/>
              <w:left w:val="nil"/>
              <w:bottom w:val="nil"/>
              <w:right w:val="single" w:sz="4" w:space="0" w:color="auto"/>
            </w:tcBorders>
            <w:shd w:val="clear" w:color="auto" w:fill="auto"/>
            <w:noWrap/>
            <w:vAlign w:val="center"/>
            <w:hideMark/>
          </w:tcPr>
          <w:p w14:paraId="0B5EF606"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 xml:space="preserve">79% ±2.0% </w:t>
            </w:r>
          </w:p>
        </w:tc>
        <w:tc>
          <w:tcPr>
            <w:tcW w:w="851" w:type="dxa"/>
            <w:tcBorders>
              <w:top w:val="nil"/>
              <w:left w:val="nil"/>
              <w:bottom w:val="nil"/>
              <w:right w:val="single" w:sz="4" w:space="0" w:color="auto"/>
            </w:tcBorders>
            <w:shd w:val="clear" w:color="auto" w:fill="auto"/>
            <w:noWrap/>
            <w:vAlign w:val="center"/>
            <w:hideMark/>
          </w:tcPr>
          <w:p w14:paraId="55110478"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9</w:t>
            </w:r>
          </w:p>
        </w:tc>
      </w:tr>
      <w:tr w:rsidR="00AC0425" w:rsidRPr="00AC0425" w14:paraId="04DDD1CF"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5E5EC315" w14:textId="77777777" w:rsidR="00AC0425" w:rsidRPr="00AC0425" w:rsidRDefault="00AC0425" w:rsidP="00AC0425">
            <w:pPr>
              <w:rPr>
                <w:rFonts w:ascii="Calibri" w:hAnsi="Calibri" w:cs="Calibri"/>
                <w:color w:val="000000"/>
                <w:sz w:val="18"/>
                <w:szCs w:val="18"/>
              </w:rPr>
            </w:pPr>
            <w:proofErr w:type="spellStart"/>
            <w:r w:rsidRPr="00AC0425">
              <w:rPr>
                <w:rFonts w:ascii="Calibri" w:hAnsi="Calibri" w:cs="Calibri"/>
                <w:color w:val="000000"/>
                <w:sz w:val="18"/>
                <w:szCs w:val="18"/>
              </w:rPr>
              <w:t>Exceedance</w:t>
            </w:r>
            <w:proofErr w:type="spellEnd"/>
            <w:r w:rsidRPr="00AC0425">
              <w:rPr>
                <w:rFonts w:ascii="Calibri" w:hAnsi="Calibri" w:cs="Calibri"/>
                <w:color w:val="000000"/>
                <w:sz w:val="18"/>
                <w:szCs w:val="18"/>
              </w:rPr>
              <w:t xml:space="preserve"> prob. in all directions, excl. </w:t>
            </w:r>
            <w:proofErr w:type="spellStart"/>
            <w:r w:rsidRPr="00AC0425">
              <w:rPr>
                <w:rFonts w:ascii="Calibri" w:hAnsi="Calibri" w:cs="Calibri"/>
                <w:color w:val="000000"/>
                <w:sz w:val="18"/>
                <w:szCs w:val="18"/>
              </w:rPr>
              <w:t>axisymm</w:t>
            </w:r>
            <w:proofErr w:type="spellEnd"/>
            <w:r w:rsidRPr="00AC0425">
              <w:rPr>
                <w:rFonts w:ascii="Calibri" w:hAnsi="Calibri" w:cs="Calibri"/>
                <w:color w:val="000000"/>
                <w:sz w:val="18"/>
                <w:szCs w:val="18"/>
              </w:rPr>
              <w:t>. part, 1500 m</w:t>
            </w:r>
          </w:p>
        </w:tc>
        <w:tc>
          <w:tcPr>
            <w:tcW w:w="1701" w:type="dxa"/>
            <w:tcBorders>
              <w:top w:val="nil"/>
              <w:left w:val="single" w:sz="4" w:space="0" w:color="auto"/>
              <w:bottom w:val="nil"/>
              <w:right w:val="single" w:sz="4" w:space="0" w:color="auto"/>
            </w:tcBorders>
            <w:shd w:val="clear" w:color="auto" w:fill="auto"/>
            <w:noWrap/>
            <w:vAlign w:val="center"/>
            <w:hideMark/>
          </w:tcPr>
          <w:p w14:paraId="746EE48D"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w:t>
            </w:r>
          </w:p>
        </w:tc>
        <w:tc>
          <w:tcPr>
            <w:tcW w:w="1417" w:type="dxa"/>
            <w:tcBorders>
              <w:top w:val="nil"/>
              <w:left w:val="nil"/>
              <w:bottom w:val="nil"/>
              <w:right w:val="single" w:sz="4" w:space="0" w:color="auto"/>
            </w:tcBorders>
            <w:shd w:val="clear" w:color="auto" w:fill="auto"/>
            <w:noWrap/>
            <w:vAlign w:val="center"/>
            <w:hideMark/>
          </w:tcPr>
          <w:p w14:paraId="5D42F2F3"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 xml:space="preserve">48%  ±11% </w:t>
            </w:r>
          </w:p>
        </w:tc>
        <w:tc>
          <w:tcPr>
            <w:tcW w:w="851" w:type="dxa"/>
            <w:tcBorders>
              <w:top w:val="nil"/>
              <w:left w:val="nil"/>
              <w:bottom w:val="nil"/>
              <w:right w:val="single" w:sz="4" w:space="0" w:color="auto"/>
            </w:tcBorders>
            <w:shd w:val="clear" w:color="auto" w:fill="auto"/>
            <w:noWrap/>
            <w:vAlign w:val="center"/>
            <w:hideMark/>
          </w:tcPr>
          <w:p w14:paraId="6C6F4CAF"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9</w:t>
            </w:r>
          </w:p>
        </w:tc>
      </w:tr>
      <w:tr w:rsidR="00AC0425" w:rsidRPr="00AC0425" w14:paraId="2C13B6E1"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4CC6ABF8" w14:textId="77777777" w:rsidR="00AC0425" w:rsidRPr="00AC0425" w:rsidRDefault="00AC0425" w:rsidP="00AC0425">
            <w:pPr>
              <w:rPr>
                <w:rFonts w:ascii="Calibri" w:hAnsi="Calibri" w:cs="Calibri"/>
                <w:color w:val="000000"/>
                <w:sz w:val="18"/>
                <w:szCs w:val="18"/>
              </w:rPr>
            </w:pPr>
            <w:proofErr w:type="spellStart"/>
            <w:r w:rsidRPr="00AC0425">
              <w:rPr>
                <w:rFonts w:ascii="Calibri" w:hAnsi="Calibri" w:cs="Calibri"/>
                <w:color w:val="000000"/>
                <w:sz w:val="18"/>
                <w:szCs w:val="18"/>
              </w:rPr>
              <w:t>Exceedance</w:t>
            </w:r>
            <w:proofErr w:type="spellEnd"/>
            <w:r w:rsidRPr="00AC0425">
              <w:rPr>
                <w:rFonts w:ascii="Calibri" w:hAnsi="Calibri" w:cs="Calibri"/>
                <w:color w:val="000000"/>
                <w:sz w:val="18"/>
                <w:szCs w:val="18"/>
              </w:rPr>
              <w:t xml:space="preserve"> prob. in all directions, excl. </w:t>
            </w:r>
            <w:proofErr w:type="spellStart"/>
            <w:r w:rsidRPr="00AC0425">
              <w:rPr>
                <w:rFonts w:ascii="Calibri" w:hAnsi="Calibri" w:cs="Calibri"/>
                <w:color w:val="000000"/>
                <w:sz w:val="18"/>
                <w:szCs w:val="18"/>
              </w:rPr>
              <w:t>axisymm</w:t>
            </w:r>
            <w:proofErr w:type="spellEnd"/>
            <w:r w:rsidRPr="00AC0425">
              <w:rPr>
                <w:rFonts w:ascii="Calibri" w:hAnsi="Calibri" w:cs="Calibri"/>
                <w:color w:val="000000"/>
                <w:sz w:val="18"/>
                <w:szCs w:val="18"/>
              </w:rPr>
              <w:t>. part, 2000 m</w:t>
            </w:r>
          </w:p>
        </w:tc>
        <w:tc>
          <w:tcPr>
            <w:tcW w:w="1701" w:type="dxa"/>
            <w:tcBorders>
              <w:top w:val="nil"/>
              <w:left w:val="single" w:sz="4" w:space="0" w:color="auto"/>
              <w:bottom w:val="nil"/>
              <w:right w:val="single" w:sz="4" w:space="0" w:color="auto"/>
            </w:tcBorders>
            <w:shd w:val="clear" w:color="auto" w:fill="auto"/>
            <w:noWrap/>
            <w:vAlign w:val="center"/>
            <w:hideMark/>
          </w:tcPr>
          <w:p w14:paraId="7CC024A7"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w:t>
            </w:r>
          </w:p>
        </w:tc>
        <w:tc>
          <w:tcPr>
            <w:tcW w:w="1417" w:type="dxa"/>
            <w:tcBorders>
              <w:top w:val="nil"/>
              <w:left w:val="nil"/>
              <w:bottom w:val="nil"/>
              <w:right w:val="single" w:sz="4" w:space="0" w:color="auto"/>
            </w:tcBorders>
            <w:shd w:val="clear" w:color="auto" w:fill="auto"/>
            <w:noWrap/>
            <w:vAlign w:val="center"/>
            <w:hideMark/>
          </w:tcPr>
          <w:p w14:paraId="724B1985"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 xml:space="preserve">13% ±2.0%  </w:t>
            </w:r>
          </w:p>
        </w:tc>
        <w:tc>
          <w:tcPr>
            <w:tcW w:w="851" w:type="dxa"/>
            <w:tcBorders>
              <w:top w:val="nil"/>
              <w:left w:val="nil"/>
              <w:bottom w:val="nil"/>
              <w:right w:val="single" w:sz="4" w:space="0" w:color="auto"/>
            </w:tcBorders>
            <w:shd w:val="clear" w:color="auto" w:fill="auto"/>
            <w:noWrap/>
            <w:vAlign w:val="center"/>
            <w:hideMark/>
          </w:tcPr>
          <w:p w14:paraId="461EF116"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9</w:t>
            </w:r>
          </w:p>
        </w:tc>
      </w:tr>
      <w:tr w:rsidR="00AC0425" w:rsidRPr="00AC0425" w14:paraId="0A450D26" w14:textId="77777777" w:rsidTr="00EE621F">
        <w:trPr>
          <w:trHeight w:val="240"/>
        </w:trPr>
        <w:tc>
          <w:tcPr>
            <w:tcW w:w="4820" w:type="dxa"/>
            <w:tcBorders>
              <w:top w:val="nil"/>
              <w:left w:val="single" w:sz="4" w:space="0" w:color="auto"/>
              <w:bottom w:val="single" w:sz="4" w:space="0" w:color="auto"/>
              <w:right w:val="nil"/>
            </w:tcBorders>
            <w:shd w:val="clear" w:color="auto" w:fill="auto"/>
            <w:noWrap/>
            <w:vAlign w:val="center"/>
            <w:hideMark/>
          </w:tcPr>
          <w:p w14:paraId="0B5BA012" w14:textId="77777777" w:rsidR="00AC0425" w:rsidRPr="00AC0425" w:rsidRDefault="00AC0425" w:rsidP="00AC0425">
            <w:pPr>
              <w:rPr>
                <w:rFonts w:ascii="Calibri" w:hAnsi="Calibri" w:cs="Calibri"/>
                <w:color w:val="000000"/>
                <w:sz w:val="18"/>
                <w:szCs w:val="18"/>
              </w:rPr>
            </w:pPr>
            <w:proofErr w:type="spellStart"/>
            <w:r w:rsidRPr="00AC0425">
              <w:rPr>
                <w:rFonts w:ascii="Calibri" w:hAnsi="Calibri" w:cs="Calibri"/>
                <w:color w:val="000000"/>
                <w:sz w:val="18"/>
                <w:szCs w:val="18"/>
              </w:rPr>
              <w:t>Exceedance</w:t>
            </w:r>
            <w:proofErr w:type="spellEnd"/>
            <w:r w:rsidRPr="00AC0425">
              <w:rPr>
                <w:rFonts w:ascii="Calibri" w:hAnsi="Calibri" w:cs="Calibri"/>
                <w:color w:val="000000"/>
                <w:sz w:val="18"/>
                <w:szCs w:val="18"/>
              </w:rPr>
              <w:t xml:space="preserve"> prob. in all directions, excl. </w:t>
            </w:r>
            <w:proofErr w:type="spellStart"/>
            <w:r w:rsidRPr="00AC0425">
              <w:rPr>
                <w:rFonts w:ascii="Calibri" w:hAnsi="Calibri" w:cs="Calibri"/>
                <w:color w:val="000000"/>
                <w:sz w:val="18"/>
                <w:szCs w:val="18"/>
              </w:rPr>
              <w:t>axisymm</w:t>
            </w:r>
            <w:proofErr w:type="spellEnd"/>
            <w:r w:rsidRPr="00AC0425">
              <w:rPr>
                <w:rFonts w:ascii="Calibri" w:hAnsi="Calibri" w:cs="Calibri"/>
                <w:color w:val="000000"/>
                <w:sz w:val="18"/>
                <w:szCs w:val="18"/>
              </w:rPr>
              <w:t>. part, 2500 m</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55188D35"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w:t>
            </w:r>
          </w:p>
        </w:tc>
        <w:tc>
          <w:tcPr>
            <w:tcW w:w="1417" w:type="dxa"/>
            <w:tcBorders>
              <w:top w:val="nil"/>
              <w:left w:val="nil"/>
              <w:bottom w:val="single" w:sz="4" w:space="0" w:color="auto"/>
              <w:right w:val="single" w:sz="4" w:space="0" w:color="auto"/>
            </w:tcBorders>
            <w:shd w:val="clear" w:color="auto" w:fill="auto"/>
            <w:noWrap/>
            <w:vAlign w:val="center"/>
            <w:hideMark/>
          </w:tcPr>
          <w:p w14:paraId="29EE0CB6"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 xml:space="preserve">1.5% ±0.5%  </w:t>
            </w:r>
          </w:p>
        </w:tc>
        <w:tc>
          <w:tcPr>
            <w:tcW w:w="851" w:type="dxa"/>
            <w:tcBorders>
              <w:top w:val="nil"/>
              <w:left w:val="nil"/>
              <w:bottom w:val="single" w:sz="4" w:space="0" w:color="auto"/>
              <w:right w:val="single" w:sz="4" w:space="0" w:color="auto"/>
            </w:tcBorders>
            <w:shd w:val="clear" w:color="auto" w:fill="auto"/>
            <w:noWrap/>
            <w:vAlign w:val="center"/>
            <w:hideMark/>
          </w:tcPr>
          <w:p w14:paraId="2C6A6F85"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9</w:t>
            </w:r>
          </w:p>
        </w:tc>
      </w:tr>
      <w:tr w:rsidR="00AC0425" w:rsidRPr="00AC0425" w14:paraId="59C49988"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16161764" w14:textId="77777777" w:rsidR="00AC0425" w:rsidRPr="00AC0425" w:rsidRDefault="00AC0425" w:rsidP="00AC0425">
            <w:pPr>
              <w:rPr>
                <w:rFonts w:ascii="Calibri" w:hAnsi="Calibri" w:cs="Calibri"/>
                <w:color w:val="000000"/>
                <w:sz w:val="18"/>
                <w:szCs w:val="18"/>
              </w:rPr>
            </w:pPr>
            <w:proofErr w:type="spellStart"/>
            <w:r w:rsidRPr="00AC0425">
              <w:rPr>
                <w:rFonts w:ascii="Calibri" w:hAnsi="Calibri" w:cs="Calibri"/>
                <w:color w:val="000000"/>
                <w:sz w:val="18"/>
                <w:szCs w:val="18"/>
              </w:rPr>
              <w:t>Exceedance</w:t>
            </w:r>
            <w:proofErr w:type="spellEnd"/>
            <w:r w:rsidRPr="00AC0425">
              <w:rPr>
                <w:rFonts w:ascii="Calibri" w:hAnsi="Calibri" w:cs="Calibri"/>
                <w:color w:val="000000"/>
                <w:sz w:val="18"/>
                <w:szCs w:val="18"/>
              </w:rPr>
              <w:t xml:space="preserve"> probability in all directions, 500 m</w:t>
            </w:r>
          </w:p>
        </w:tc>
        <w:tc>
          <w:tcPr>
            <w:tcW w:w="1701" w:type="dxa"/>
            <w:tcBorders>
              <w:top w:val="nil"/>
              <w:left w:val="single" w:sz="4" w:space="0" w:color="auto"/>
              <w:bottom w:val="nil"/>
              <w:right w:val="single" w:sz="4" w:space="0" w:color="auto"/>
            </w:tcBorders>
            <w:shd w:val="clear" w:color="auto" w:fill="auto"/>
            <w:noWrap/>
            <w:vAlign w:val="center"/>
            <w:hideMark/>
          </w:tcPr>
          <w:p w14:paraId="688C0DB9"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 xml:space="preserve">25% ±2.0% </w:t>
            </w:r>
          </w:p>
        </w:tc>
        <w:tc>
          <w:tcPr>
            <w:tcW w:w="1417" w:type="dxa"/>
            <w:tcBorders>
              <w:top w:val="nil"/>
              <w:left w:val="nil"/>
              <w:bottom w:val="nil"/>
              <w:right w:val="single" w:sz="4" w:space="0" w:color="auto"/>
            </w:tcBorders>
            <w:shd w:val="clear" w:color="auto" w:fill="auto"/>
            <w:noWrap/>
            <w:vAlign w:val="center"/>
            <w:hideMark/>
          </w:tcPr>
          <w:p w14:paraId="5FF76D76"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w:t>
            </w:r>
          </w:p>
        </w:tc>
        <w:tc>
          <w:tcPr>
            <w:tcW w:w="851" w:type="dxa"/>
            <w:tcBorders>
              <w:top w:val="nil"/>
              <w:left w:val="nil"/>
              <w:bottom w:val="nil"/>
              <w:right w:val="single" w:sz="4" w:space="0" w:color="auto"/>
            </w:tcBorders>
            <w:shd w:val="clear" w:color="auto" w:fill="auto"/>
            <w:noWrap/>
            <w:vAlign w:val="center"/>
            <w:hideMark/>
          </w:tcPr>
          <w:p w14:paraId="322F405A"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9</w:t>
            </w:r>
          </w:p>
        </w:tc>
      </w:tr>
      <w:tr w:rsidR="00AC0425" w:rsidRPr="00AC0425" w14:paraId="41006218"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6642D244" w14:textId="77777777" w:rsidR="00AC0425" w:rsidRPr="00AC0425" w:rsidRDefault="00AC0425" w:rsidP="00AC0425">
            <w:pPr>
              <w:rPr>
                <w:rFonts w:ascii="Calibri" w:hAnsi="Calibri" w:cs="Calibri"/>
                <w:color w:val="000000"/>
                <w:sz w:val="18"/>
                <w:szCs w:val="18"/>
              </w:rPr>
            </w:pPr>
            <w:proofErr w:type="spellStart"/>
            <w:r w:rsidRPr="00AC0425">
              <w:rPr>
                <w:rFonts w:ascii="Calibri" w:hAnsi="Calibri" w:cs="Calibri"/>
                <w:color w:val="000000"/>
                <w:sz w:val="18"/>
                <w:szCs w:val="18"/>
              </w:rPr>
              <w:t>Exceedance</w:t>
            </w:r>
            <w:proofErr w:type="spellEnd"/>
            <w:r w:rsidRPr="00AC0425">
              <w:rPr>
                <w:rFonts w:ascii="Calibri" w:hAnsi="Calibri" w:cs="Calibri"/>
                <w:color w:val="000000"/>
                <w:sz w:val="18"/>
                <w:szCs w:val="18"/>
              </w:rPr>
              <w:t xml:space="preserve"> probability in all directions, 750 m</w:t>
            </w:r>
          </w:p>
        </w:tc>
        <w:tc>
          <w:tcPr>
            <w:tcW w:w="1701" w:type="dxa"/>
            <w:tcBorders>
              <w:top w:val="nil"/>
              <w:left w:val="single" w:sz="4" w:space="0" w:color="auto"/>
              <w:bottom w:val="nil"/>
              <w:right w:val="single" w:sz="4" w:space="0" w:color="auto"/>
            </w:tcBorders>
            <w:shd w:val="clear" w:color="auto" w:fill="auto"/>
            <w:noWrap/>
            <w:vAlign w:val="center"/>
            <w:hideMark/>
          </w:tcPr>
          <w:p w14:paraId="2C896F11"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 xml:space="preserve">6.0%  ±1.0% </w:t>
            </w:r>
          </w:p>
        </w:tc>
        <w:tc>
          <w:tcPr>
            <w:tcW w:w="1417" w:type="dxa"/>
            <w:tcBorders>
              <w:top w:val="nil"/>
              <w:left w:val="nil"/>
              <w:bottom w:val="nil"/>
              <w:right w:val="single" w:sz="4" w:space="0" w:color="auto"/>
            </w:tcBorders>
            <w:shd w:val="clear" w:color="auto" w:fill="auto"/>
            <w:noWrap/>
            <w:vAlign w:val="center"/>
            <w:hideMark/>
          </w:tcPr>
          <w:p w14:paraId="2F76BC63"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w:t>
            </w:r>
          </w:p>
        </w:tc>
        <w:tc>
          <w:tcPr>
            <w:tcW w:w="851" w:type="dxa"/>
            <w:tcBorders>
              <w:top w:val="nil"/>
              <w:left w:val="nil"/>
              <w:bottom w:val="nil"/>
              <w:right w:val="single" w:sz="4" w:space="0" w:color="auto"/>
            </w:tcBorders>
            <w:shd w:val="clear" w:color="auto" w:fill="auto"/>
            <w:noWrap/>
            <w:vAlign w:val="center"/>
            <w:hideMark/>
          </w:tcPr>
          <w:p w14:paraId="7925FA4D"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9</w:t>
            </w:r>
          </w:p>
        </w:tc>
      </w:tr>
      <w:tr w:rsidR="00AC0425" w:rsidRPr="00AC0425" w14:paraId="46C8AB03"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46C011F4" w14:textId="77777777" w:rsidR="00AC0425" w:rsidRPr="00AC0425" w:rsidRDefault="00AC0425" w:rsidP="00AC0425">
            <w:pPr>
              <w:rPr>
                <w:rFonts w:ascii="Calibri" w:hAnsi="Calibri" w:cs="Calibri"/>
                <w:color w:val="000000"/>
                <w:sz w:val="18"/>
                <w:szCs w:val="18"/>
              </w:rPr>
            </w:pPr>
            <w:proofErr w:type="spellStart"/>
            <w:r w:rsidRPr="00AC0425">
              <w:rPr>
                <w:rFonts w:ascii="Calibri" w:hAnsi="Calibri" w:cs="Calibri"/>
                <w:color w:val="000000"/>
                <w:sz w:val="18"/>
                <w:szCs w:val="18"/>
              </w:rPr>
              <w:t>Exceedance</w:t>
            </w:r>
            <w:proofErr w:type="spellEnd"/>
            <w:r w:rsidRPr="00AC0425">
              <w:rPr>
                <w:rFonts w:ascii="Calibri" w:hAnsi="Calibri" w:cs="Calibri"/>
                <w:color w:val="000000"/>
                <w:sz w:val="18"/>
                <w:szCs w:val="18"/>
              </w:rPr>
              <w:t xml:space="preserve"> probability in all directions, 1000 m</w:t>
            </w:r>
          </w:p>
        </w:tc>
        <w:tc>
          <w:tcPr>
            <w:tcW w:w="1701" w:type="dxa"/>
            <w:tcBorders>
              <w:top w:val="nil"/>
              <w:left w:val="single" w:sz="4" w:space="0" w:color="auto"/>
              <w:bottom w:val="nil"/>
              <w:right w:val="single" w:sz="4" w:space="0" w:color="auto"/>
            </w:tcBorders>
            <w:shd w:val="clear" w:color="auto" w:fill="auto"/>
            <w:noWrap/>
            <w:vAlign w:val="center"/>
            <w:hideMark/>
          </w:tcPr>
          <w:p w14:paraId="517D924F"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 xml:space="preserve">2.5% ±0.5%  </w:t>
            </w:r>
          </w:p>
        </w:tc>
        <w:tc>
          <w:tcPr>
            <w:tcW w:w="1417" w:type="dxa"/>
            <w:tcBorders>
              <w:top w:val="nil"/>
              <w:left w:val="nil"/>
              <w:bottom w:val="nil"/>
              <w:right w:val="single" w:sz="4" w:space="0" w:color="auto"/>
            </w:tcBorders>
            <w:shd w:val="clear" w:color="auto" w:fill="auto"/>
            <w:noWrap/>
            <w:vAlign w:val="center"/>
            <w:hideMark/>
          </w:tcPr>
          <w:p w14:paraId="5962C447"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 xml:space="preserve">31% ±2.5% </w:t>
            </w:r>
          </w:p>
        </w:tc>
        <w:tc>
          <w:tcPr>
            <w:tcW w:w="851" w:type="dxa"/>
            <w:tcBorders>
              <w:top w:val="nil"/>
              <w:left w:val="nil"/>
              <w:bottom w:val="nil"/>
              <w:right w:val="single" w:sz="4" w:space="0" w:color="auto"/>
            </w:tcBorders>
            <w:shd w:val="clear" w:color="auto" w:fill="auto"/>
            <w:noWrap/>
            <w:vAlign w:val="center"/>
            <w:hideMark/>
          </w:tcPr>
          <w:p w14:paraId="3D10C0FE"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9</w:t>
            </w:r>
          </w:p>
        </w:tc>
      </w:tr>
      <w:tr w:rsidR="00AC0425" w:rsidRPr="00AC0425" w14:paraId="238FE0BB"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1B556AA8" w14:textId="77777777" w:rsidR="00AC0425" w:rsidRPr="00AC0425" w:rsidRDefault="00AC0425" w:rsidP="00AC0425">
            <w:pPr>
              <w:rPr>
                <w:rFonts w:ascii="Calibri" w:hAnsi="Calibri" w:cs="Calibri"/>
                <w:color w:val="000000"/>
                <w:sz w:val="18"/>
                <w:szCs w:val="18"/>
              </w:rPr>
            </w:pPr>
            <w:proofErr w:type="spellStart"/>
            <w:r w:rsidRPr="00AC0425">
              <w:rPr>
                <w:rFonts w:ascii="Calibri" w:hAnsi="Calibri" w:cs="Calibri"/>
                <w:color w:val="000000"/>
                <w:sz w:val="18"/>
                <w:szCs w:val="18"/>
              </w:rPr>
              <w:t>Exceedance</w:t>
            </w:r>
            <w:proofErr w:type="spellEnd"/>
            <w:r w:rsidRPr="00AC0425">
              <w:rPr>
                <w:rFonts w:ascii="Calibri" w:hAnsi="Calibri" w:cs="Calibri"/>
                <w:color w:val="000000"/>
                <w:sz w:val="18"/>
                <w:szCs w:val="18"/>
              </w:rPr>
              <w:t xml:space="preserve"> probability in all directions, 1500 m</w:t>
            </w:r>
          </w:p>
        </w:tc>
        <w:tc>
          <w:tcPr>
            <w:tcW w:w="1701" w:type="dxa"/>
            <w:tcBorders>
              <w:top w:val="nil"/>
              <w:left w:val="single" w:sz="4" w:space="0" w:color="auto"/>
              <w:bottom w:val="nil"/>
              <w:right w:val="single" w:sz="4" w:space="0" w:color="auto"/>
            </w:tcBorders>
            <w:shd w:val="clear" w:color="auto" w:fill="auto"/>
            <w:noWrap/>
            <w:vAlign w:val="center"/>
            <w:hideMark/>
          </w:tcPr>
          <w:p w14:paraId="36E97D55"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w:t>
            </w:r>
          </w:p>
        </w:tc>
        <w:tc>
          <w:tcPr>
            <w:tcW w:w="1417" w:type="dxa"/>
            <w:tcBorders>
              <w:top w:val="nil"/>
              <w:left w:val="nil"/>
              <w:bottom w:val="nil"/>
              <w:right w:val="single" w:sz="4" w:space="0" w:color="auto"/>
            </w:tcBorders>
            <w:shd w:val="clear" w:color="auto" w:fill="auto"/>
            <w:noWrap/>
            <w:vAlign w:val="center"/>
            <w:hideMark/>
          </w:tcPr>
          <w:p w14:paraId="3679F89A"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 xml:space="preserve">16.5%  ±4.0% </w:t>
            </w:r>
          </w:p>
        </w:tc>
        <w:tc>
          <w:tcPr>
            <w:tcW w:w="851" w:type="dxa"/>
            <w:tcBorders>
              <w:top w:val="nil"/>
              <w:left w:val="nil"/>
              <w:bottom w:val="nil"/>
              <w:right w:val="single" w:sz="4" w:space="0" w:color="auto"/>
            </w:tcBorders>
            <w:shd w:val="clear" w:color="auto" w:fill="auto"/>
            <w:noWrap/>
            <w:vAlign w:val="center"/>
            <w:hideMark/>
          </w:tcPr>
          <w:p w14:paraId="0042F3CE"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9</w:t>
            </w:r>
          </w:p>
        </w:tc>
      </w:tr>
      <w:tr w:rsidR="00AC0425" w:rsidRPr="00AC0425" w14:paraId="6A46EABC"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61AD36EE" w14:textId="77777777" w:rsidR="00AC0425" w:rsidRPr="00AC0425" w:rsidRDefault="00AC0425" w:rsidP="00AC0425">
            <w:pPr>
              <w:rPr>
                <w:rFonts w:ascii="Calibri" w:hAnsi="Calibri" w:cs="Calibri"/>
                <w:color w:val="000000"/>
                <w:sz w:val="18"/>
                <w:szCs w:val="18"/>
              </w:rPr>
            </w:pPr>
            <w:proofErr w:type="spellStart"/>
            <w:r w:rsidRPr="00AC0425">
              <w:rPr>
                <w:rFonts w:ascii="Calibri" w:hAnsi="Calibri" w:cs="Calibri"/>
                <w:color w:val="000000"/>
                <w:sz w:val="18"/>
                <w:szCs w:val="18"/>
              </w:rPr>
              <w:t>Exceedance</w:t>
            </w:r>
            <w:proofErr w:type="spellEnd"/>
            <w:r w:rsidRPr="00AC0425">
              <w:rPr>
                <w:rFonts w:ascii="Calibri" w:hAnsi="Calibri" w:cs="Calibri"/>
                <w:color w:val="000000"/>
                <w:sz w:val="18"/>
                <w:szCs w:val="18"/>
              </w:rPr>
              <w:t xml:space="preserve"> probability in all directions, 2000 m</w:t>
            </w:r>
          </w:p>
        </w:tc>
        <w:tc>
          <w:tcPr>
            <w:tcW w:w="1701" w:type="dxa"/>
            <w:tcBorders>
              <w:top w:val="nil"/>
              <w:left w:val="single" w:sz="4" w:space="0" w:color="auto"/>
              <w:bottom w:val="nil"/>
              <w:right w:val="single" w:sz="4" w:space="0" w:color="auto"/>
            </w:tcBorders>
            <w:shd w:val="clear" w:color="auto" w:fill="auto"/>
            <w:noWrap/>
            <w:vAlign w:val="center"/>
            <w:hideMark/>
          </w:tcPr>
          <w:p w14:paraId="4D213E3F"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w:t>
            </w:r>
          </w:p>
        </w:tc>
        <w:tc>
          <w:tcPr>
            <w:tcW w:w="1417" w:type="dxa"/>
            <w:tcBorders>
              <w:top w:val="nil"/>
              <w:left w:val="nil"/>
              <w:bottom w:val="nil"/>
              <w:right w:val="single" w:sz="4" w:space="0" w:color="auto"/>
            </w:tcBorders>
            <w:shd w:val="clear" w:color="auto" w:fill="auto"/>
            <w:noWrap/>
            <w:vAlign w:val="center"/>
            <w:hideMark/>
          </w:tcPr>
          <w:p w14:paraId="0F5DE569"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4.5% ±1.0%</w:t>
            </w:r>
          </w:p>
        </w:tc>
        <w:tc>
          <w:tcPr>
            <w:tcW w:w="851" w:type="dxa"/>
            <w:tcBorders>
              <w:top w:val="nil"/>
              <w:left w:val="nil"/>
              <w:bottom w:val="nil"/>
              <w:right w:val="single" w:sz="4" w:space="0" w:color="auto"/>
            </w:tcBorders>
            <w:shd w:val="clear" w:color="auto" w:fill="auto"/>
            <w:noWrap/>
            <w:vAlign w:val="center"/>
            <w:hideMark/>
          </w:tcPr>
          <w:p w14:paraId="20369D8D"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9</w:t>
            </w:r>
          </w:p>
        </w:tc>
      </w:tr>
      <w:tr w:rsidR="00AC0425" w:rsidRPr="00AC0425" w14:paraId="23F7E12F" w14:textId="77777777" w:rsidTr="00EE621F">
        <w:trPr>
          <w:trHeight w:val="240"/>
        </w:trPr>
        <w:tc>
          <w:tcPr>
            <w:tcW w:w="4820" w:type="dxa"/>
            <w:tcBorders>
              <w:top w:val="nil"/>
              <w:left w:val="single" w:sz="4" w:space="0" w:color="auto"/>
              <w:bottom w:val="single" w:sz="4" w:space="0" w:color="auto"/>
              <w:right w:val="nil"/>
            </w:tcBorders>
            <w:shd w:val="clear" w:color="auto" w:fill="auto"/>
            <w:noWrap/>
            <w:vAlign w:val="center"/>
            <w:hideMark/>
          </w:tcPr>
          <w:p w14:paraId="3DA81732" w14:textId="77777777" w:rsidR="00AC0425" w:rsidRPr="00AC0425" w:rsidRDefault="00AC0425" w:rsidP="00AC0425">
            <w:pPr>
              <w:rPr>
                <w:rFonts w:ascii="Calibri" w:hAnsi="Calibri" w:cs="Calibri"/>
                <w:color w:val="000000"/>
                <w:sz w:val="18"/>
                <w:szCs w:val="18"/>
              </w:rPr>
            </w:pPr>
            <w:proofErr w:type="spellStart"/>
            <w:r w:rsidRPr="00AC0425">
              <w:rPr>
                <w:rFonts w:ascii="Calibri" w:hAnsi="Calibri" w:cs="Calibri"/>
                <w:color w:val="000000"/>
                <w:sz w:val="18"/>
                <w:szCs w:val="18"/>
              </w:rPr>
              <w:t>Exceedance</w:t>
            </w:r>
            <w:proofErr w:type="spellEnd"/>
            <w:r w:rsidRPr="00AC0425">
              <w:rPr>
                <w:rFonts w:ascii="Calibri" w:hAnsi="Calibri" w:cs="Calibri"/>
                <w:color w:val="000000"/>
                <w:sz w:val="18"/>
                <w:szCs w:val="18"/>
              </w:rPr>
              <w:t xml:space="preserve"> probability in all directions, 2500 m</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748EBE64"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w:t>
            </w:r>
          </w:p>
        </w:tc>
        <w:tc>
          <w:tcPr>
            <w:tcW w:w="1417" w:type="dxa"/>
            <w:tcBorders>
              <w:top w:val="nil"/>
              <w:left w:val="nil"/>
              <w:bottom w:val="single" w:sz="4" w:space="0" w:color="auto"/>
              <w:right w:val="single" w:sz="4" w:space="0" w:color="auto"/>
            </w:tcBorders>
            <w:shd w:val="clear" w:color="auto" w:fill="auto"/>
            <w:noWrap/>
            <w:vAlign w:val="center"/>
            <w:hideMark/>
          </w:tcPr>
          <w:p w14:paraId="232AEB61"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 xml:space="preserve">0.5% ±0.2%  </w:t>
            </w:r>
          </w:p>
        </w:tc>
        <w:tc>
          <w:tcPr>
            <w:tcW w:w="851" w:type="dxa"/>
            <w:tcBorders>
              <w:top w:val="nil"/>
              <w:left w:val="nil"/>
              <w:bottom w:val="single" w:sz="4" w:space="0" w:color="auto"/>
              <w:right w:val="single" w:sz="4" w:space="0" w:color="auto"/>
            </w:tcBorders>
            <w:shd w:val="clear" w:color="auto" w:fill="auto"/>
            <w:noWrap/>
            <w:vAlign w:val="center"/>
            <w:hideMark/>
          </w:tcPr>
          <w:p w14:paraId="4094B531"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9</w:t>
            </w:r>
          </w:p>
        </w:tc>
      </w:tr>
      <w:tr w:rsidR="00AC0425" w:rsidRPr="00AC0425" w14:paraId="6A800193"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77868D61" w14:textId="79569D1F" w:rsidR="00AC0425" w:rsidRPr="00AC0425" w:rsidRDefault="00E35D6F" w:rsidP="00AC0425">
            <w:pPr>
              <w:rPr>
                <w:rFonts w:ascii="Calibri" w:hAnsi="Calibri" w:cs="Calibri"/>
                <w:color w:val="000000"/>
                <w:sz w:val="18"/>
                <w:szCs w:val="18"/>
              </w:rPr>
            </w:pPr>
            <w:r>
              <w:rPr>
                <w:rFonts w:ascii="Calibri" w:hAnsi="Calibri" w:cs="Calibri"/>
                <w:color w:val="000000"/>
                <w:sz w:val="18"/>
                <w:szCs w:val="18"/>
              </w:rPr>
              <w:t>Bisectors in the SE quadrant</w:t>
            </w:r>
          </w:p>
        </w:tc>
        <w:tc>
          <w:tcPr>
            <w:tcW w:w="1701" w:type="dxa"/>
            <w:tcBorders>
              <w:top w:val="nil"/>
              <w:left w:val="single" w:sz="4" w:space="0" w:color="auto"/>
              <w:bottom w:val="nil"/>
              <w:right w:val="single" w:sz="4" w:space="0" w:color="auto"/>
            </w:tcBorders>
            <w:shd w:val="clear" w:color="auto" w:fill="auto"/>
            <w:noWrap/>
            <w:vAlign w:val="center"/>
            <w:hideMark/>
          </w:tcPr>
          <w:p w14:paraId="7FEAC31D"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57%</w:t>
            </w:r>
          </w:p>
        </w:tc>
        <w:tc>
          <w:tcPr>
            <w:tcW w:w="1417" w:type="dxa"/>
            <w:tcBorders>
              <w:top w:val="nil"/>
              <w:left w:val="nil"/>
              <w:bottom w:val="nil"/>
              <w:right w:val="single" w:sz="4" w:space="0" w:color="auto"/>
            </w:tcBorders>
            <w:shd w:val="clear" w:color="auto" w:fill="auto"/>
            <w:noWrap/>
            <w:vAlign w:val="center"/>
            <w:hideMark/>
          </w:tcPr>
          <w:p w14:paraId="6C4C198E"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15%</w:t>
            </w:r>
          </w:p>
        </w:tc>
        <w:tc>
          <w:tcPr>
            <w:tcW w:w="851" w:type="dxa"/>
            <w:tcBorders>
              <w:top w:val="nil"/>
              <w:left w:val="nil"/>
              <w:bottom w:val="nil"/>
              <w:right w:val="single" w:sz="4" w:space="0" w:color="auto"/>
            </w:tcBorders>
            <w:shd w:val="clear" w:color="auto" w:fill="auto"/>
            <w:noWrap/>
            <w:vAlign w:val="center"/>
            <w:hideMark/>
          </w:tcPr>
          <w:p w14:paraId="3E7D5DB0"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10</w:t>
            </w:r>
          </w:p>
        </w:tc>
      </w:tr>
      <w:tr w:rsidR="00AC0425" w:rsidRPr="00AC0425" w14:paraId="5BC67CBB"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4BC96009" w14:textId="4EEE1F89"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 xml:space="preserve">Bisectors in the NE </w:t>
            </w:r>
            <w:r w:rsidR="00E35D6F">
              <w:rPr>
                <w:rFonts w:ascii="Calibri" w:hAnsi="Calibri" w:cs="Calibri"/>
                <w:color w:val="000000"/>
                <w:sz w:val="18"/>
                <w:szCs w:val="18"/>
              </w:rPr>
              <w:t>quadrant</w:t>
            </w:r>
          </w:p>
        </w:tc>
        <w:tc>
          <w:tcPr>
            <w:tcW w:w="1701" w:type="dxa"/>
            <w:tcBorders>
              <w:top w:val="nil"/>
              <w:left w:val="single" w:sz="4" w:space="0" w:color="auto"/>
              <w:bottom w:val="nil"/>
              <w:right w:val="single" w:sz="4" w:space="0" w:color="auto"/>
            </w:tcBorders>
            <w:shd w:val="clear" w:color="auto" w:fill="auto"/>
            <w:noWrap/>
            <w:vAlign w:val="center"/>
            <w:hideMark/>
          </w:tcPr>
          <w:p w14:paraId="077607E0"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30%</w:t>
            </w:r>
          </w:p>
        </w:tc>
        <w:tc>
          <w:tcPr>
            <w:tcW w:w="1417" w:type="dxa"/>
            <w:tcBorders>
              <w:top w:val="nil"/>
              <w:left w:val="nil"/>
              <w:bottom w:val="nil"/>
              <w:right w:val="single" w:sz="4" w:space="0" w:color="auto"/>
            </w:tcBorders>
            <w:shd w:val="clear" w:color="auto" w:fill="auto"/>
            <w:noWrap/>
            <w:vAlign w:val="center"/>
            <w:hideMark/>
          </w:tcPr>
          <w:p w14:paraId="5618BE3E"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34%</w:t>
            </w:r>
          </w:p>
        </w:tc>
        <w:tc>
          <w:tcPr>
            <w:tcW w:w="851" w:type="dxa"/>
            <w:tcBorders>
              <w:top w:val="nil"/>
              <w:left w:val="nil"/>
              <w:bottom w:val="nil"/>
              <w:right w:val="single" w:sz="4" w:space="0" w:color="auto"/>
            </w:tcBorders>
            <w:shd w:val="clear" w:color="auto" w:fill="auto"/>
            <w:noWrap/>
            <w:vAlign w:val="center"/>
            <w:hideMark/>
          </w:tcPr>
          <w:p w14:paraId="0E472E43"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10</w:t>
            </w:r>
          </w:p>
        </w:tc>
      </w:tr>
      <w:tr w:rsidR="00AC0425" w:rsidRPr="00AC0425" w14:paraId="01B9C383"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68ABFB35" w14:textId="536C705C"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 xml:space="preserve">Bisectors in the NW </w:t>
            </w:r>
            <w:r w:rsidR="00E35D6F">
              <w:rPr>
                <w:rFonts w:ascii="Calibri" w:hAnsi="Calibri" w:cs="Calibri"/>
                <w:color w:val="000000"/>
                <w:sz w:val="18"/>
                <w:szCs w:val="18"/>
              </w:rPr>
              <w:t>quadrant</w:t>
            </w:r>
          </w:p>
        </w:tc>
        <w:tc>
          <w:tcPr>
            <w:tcW w:w="1701" w:type="dxa"/>
            <w:tcBorders>
              <w:top w:val="nil"/>
              <w:left w:val="single" w:sz="4" w:space="0" w:color="auto"/>
              <w:bottom w:val="nil"/>
              <w:right w:val="single" w:sz="4" w:space="0" w:color="auto"/>
            </w:tcBorders>
            <w:shd w:val="clear" w:color="auto" w:fill="auto"/>
            <w:noWrap/>
            <w:vAlign w:val="center"/>
            <w:hideMark/>
          </w:tcPr>
          <w:p w14:paraId="28D101F6"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10%</w:t>
            </w:r>
          </w:p>
        </w:tc>
        <w:tc>
          <w:tcPr>
            <w:tcW w:w="1417" w:type="dxa"/>
            <w:tcBorders>
              <w:top w:val="nil"/>
              <w:left w:val="nil"/>
              <w:bottom w:val="nil"/>
              <w:right w:val="single" w:sz="4" w:space="0" w:color="auto"/>
            </w:tcBorders>
            <w:shd w:val="clear" w:color="auto" w:fill="auto"/>
            <w:noWrap/>
            <w:vAlign w:val="center"/>
            <w:hideMark/>
          </w:tcPr>
          <w:p w14:paraId="75450ECF"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30%</w:t>
            </w:r>
          </w:p>
        </w:tc>
        <w:tc>
          <w:tcPr>
            <w:tcW w:w="851" w:type="dxa"/>
            <w:tcBorders>
              <w:top w:val="nil"/>
              <w:left w:val="nil"/>
              <w:bottom w:val="nil"/>
              <w:right w:val="single" w:sz="4" w:space="0" w:color="auto"/>
            </w:tcBorders>
            <w:shd w:val="clear" w:color="auto" w:fill="auto"/>
            <w:noWrap/>
            <w:vAlign w:val="center"/>
            <w:hideMark/>
          </w:tcPr>
          <w:p w14:paraId="7556103C"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10</w:t>
            </w:r>
          </w:p>
        </w:tc>
      </w:tr>
      <w:tr w:rsidR="00AC0425" w:rsidRPr="00AC0425" w14:paraId="1ACCE7FC" w14:textId="77777777" w:rsidTr="00EE621F">
        <w:trPr>
          <w:trHeight w:val="240"/>
        </w:trPr>
        <w:tc>
          <w:tcPr>
            <w:tcW w:w="4820" w:type="dxa"/>
            <w:tcBorders>
              <w:top w:val="nil"/>
              <w:left w:val="single" w:sz="4" w:space="0" w:color="auto"/>
              <w:bottom w:val="single" w:sz="4" w:space="0" w:color="auto"/>
              <w:right w:val="nil"/>
            </w:tcBorders>
            <w:shd w:val="clear" w:color="auto" w:fill="auto"/>
            <w:noWrap/>
            <w:vAlign w:val="center"/>
            <w:hideMark/>
          </w:tcPr>
          <w:p w14:paraId="4E8E39DA" w14:textId="0537951F"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 xml:space="preserve">Bisectors in the SW </w:t>
            </w:r>
            <w:r w:rsidR="00E35D6F">
              <w:rPr>
                <w:rFonts w:ascii="Calibri" w:hAnsi="Calibri" w:cs="Calibri"/>
                <w:color w:val="000000"/>
                <w:sz w:val="18"/>
                <w:szCs w:val="18"/>
              </w:rPr>
              <w:t>quadrant</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414E420E"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1.5%</w:t>
            </w:r>
          </w:p>
        </w:tc>
        <w:tc>
          <w:tcPr>
            <w:tcW w:w="1417" w:type="dxa"/>
            <w:tcBorders>
              <w:top w:val="nil"/>
              <w:left w:val="nil"/>
              <w:bottom w:val="single" w:sz="4" w:space="0" w:color="auto"/>
              <w:right w:val="single" w:sz="4" w:space="0" w:color="auto"/>
            </w:tcBorders>
            <w:shd w:val="clear" w:color="auto" w:fill="auto"/>
            <w:noWrap/>
            <w:vAlign w:val="center"/>
            <w:hideMark/>
          </w:tcPr>
          <w:p w14:paraId="7248E61B"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21%</w:t>
            </w:r>
          </w:p>
        </w:tc>
        <w:tc>
          <w:tcPr>
            <w:tcW w:w="851" w:type="dxa"/>
            <w:tcBorders>
              <w:top w:val="nil"/>
              <w:left w:val="nil"/>
              <w:bottom w:val="single" w:sz="4" w:space="0" w:color="auto"/>
              <w:right w:val="single" w:sz="4" w:space="0" w:color="auto"/>
            </w:tcBorders>
            <w:shd w:val="clear" w:color="auto" w:fill="auto"/>
            <w:noWrap/>
            <w:vAlign w:val="center"/>
            <w:hideMark/>
          </w:tcPr>
          <w:p w14:paraId="71B07D89"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10</w:t>
            </w:r>
          </w:p>
        </w:tc>
      </w:tr>
      <w:tr w:rsidR="00AC0425" w:rsidRPr="00AC0425" w14:paraId="46FD621F"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41EC61B9"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Maximum probability value of ballistic direction</w:t>
            </w:r>
          </w:p>
        </w:tc>
        <w:tc>
          <w:tcPr>
            <w:tcW w:w="1701" w:type="dxa"/>
            <w:tcBorders>
              <w:top w:val="nil"/>
              <w:left w:val="single" w:sz="4" w:space="0" w:color="auto"/>
              <w:bottom w:val="nil"/>
              <w:right w:val="single" w:sz="4" w:space="0" w:color="auto"/>
            </w:tcBorders>
            <w:shd w:val="clear" w:color="auto" w:fill="auto"/>
            <w:noWrap/>
            <w:vAlign w:val="center"/>
            <w:hideMark/>
          </w:tcPr>
          <w:p w14:paraId="246DD25F"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 xml:space="preserve">77% ±2% </w:t>
            </w:r>
          </w:p>
        </w:tc>
        <w:tc>
          <w:tcPr>
            <w:tcW w:w="1417" w:type="dxa"/>
            <w:tcBorders>
              <w:top w:val="nil"/>
              <w:left w:val="nil"/>
              <w:bottom w:val="nil"/>
              <w:right w:val="single" w:sz="4" w:space="0" w:color="auto"/>
            </w:tcBorders>
            <w:shd w:val="clear" w:color="auto" w:fill="auto"/>
            <w:noWrap/>
            <w:vAlign w:val="center"/>
            <w:hideMark/>
          </w:tcPr>
          <w:p w14:paraId="242C4A06"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 xml:space="preserve">70% ±9% </w:t>
            </w:r>
          </w:p>
        </w:tc>
        <w:tc>
          <w:tcPr>
            <w:tcW w:w="851" w:type="dxa"/>
            <w:tcBorders>
              <w:top w:val="nil"/>
              <w:left w:val="nil"/>
              <w:bottom w:val="nil"/>
              <w:right w:val="single" w:sz="4" w:space="0" w:color="auto"/>
            </w:tcBorders>
            <w:shd w:val="clear" w:color="auto" w:fill="auto"/>
            <w:noWrap/>
            <w:vAlign w:val="center"/>
            <w:hideMark/>
          </w:tcPr>
          <w:p w14:paraId="522094E8"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10</w:t>
            </w:r>
          </w:p>
        </w:tc>
      </w:tr>
      <w:tr w:rsidR="00AC0425" w:rsidRPr="00AC0425" w14:paraId="3BCB3BCA"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01AA10F0"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Direction of the maximum</w:t>
            </w:r>
          </w:p>
        </w:tc>
        <w:tc>
          <w:tcPr>
            <w:tcW w:w="1701" w:type="dxa"/>
            <w:tcBorders>
              <w:top w:val="nil"/>
              <w:left w:val="single" w:sz="4" w:space="0" w:color="auto"/>
              <w:bottom w:val="nil"/>
              <w:right w:val="single" w:sz="4" w:space="0" w:color="auto"/>
            </w:tcBorders>
            <w:shd w:val="clear" w:color="auto" w:fill="auto"/>
            <w:noWrap/>
            <w:vAlign w:val="center"/>
            <w:hideMark/>
          </w:tcPr>
          <w:p w14:paraId="74587A36"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 xml:space="preserve">140°E ±10° </w:t>
            </w:r>
          </w:p>
        </w:tc>
        <w:tc>
          <w:tcPr>
            <w:tcW w:w="1417" w:type="dxa"/>
            <w:tcBorders>
              <w:top w:val="nil"/>
              <w:left w:val="nil"/>
              <w:bottom w:val="nil"/>
              <w:right w:val="single" w:sz="4" w:space="0" w:color="auto"/>
            </w:tcBorders>
            <w:shd w:val="clear" w:color="auto" w:fill="auto"/>
            <w:noWrap/>
            <w:vAlign w:val="center"/>
            <w:hideMark/>
          </w:tcPr>
          <w:p w14:paraId="01555E36"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 xml:space="preserve">355°E ±10° </w:t>
            </w:r>
          </w:p>
        </w:tc>
        <w:tc>
          <w:tcPr>
            <w:tcW w:w="851" w:type="dxa"/>
            <w:tcBorders>
              <w:top w:val="nil"/>
              <w:left w:val="nil"/>
              <w:bottom w:val="nil"/>
              <w:right w:val="single" w:sz="4" w:space="0" w:color="auto"/>
            </w:tcBorders>
            <w:shd w:val="clear" w:color="auto" w:fill="auto"/>
            <w:noWrap/>
            <w:vAlign w:val="center"/>
            <w:hideMark/>
          </w:tcPr>
          <w:p w14:paraId="430BEE8C"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10</w:t>
            </w:r>
          </w:p>
        </w:tc>
      </w:tr>
      <w:tr w:rsidR="00AC0425" w:rsidRPr="00AC0425" w14:paraId="58FEAFAF"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7EC18BE5"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Minimum probability value of ballistic direction</w:t>
            </w:r>
          </w:p>
        </w:tc>
        <w:tc>
          <w:tcPr>
            <w:tcW w:w="1701" w:type="dxa"/>
            <w:tcBorders>
              <w:top w:val="nil"/>
              <w:left w:val="single" w:sz="4" w:space="0" w:color="auto"/>
              <w:bottom w:val="nil"/>
              <w:right w:val="single" w:sz="4" w:space="0" w:color="auto"/>
            </w:tcBorders>
            <w:shd w:val="clear" w:color="auto" w:fill="auto"/>
            <w:noWrap/>
            <w:vAlign w:val="center"/>
            <w:hideMark/>
          </w:tcPr>
          <w:p w14:paraId="6220D663"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0%</w:t>
            </w:r>
          </w:p>
        </w:tc>
        <w:tc>
          <w:tcPr>
            <w:tcW w:w="1417" w:type="dxa"/>
            <w:tcBorders>
              <w:top w:val="nil"/>
              <w:left w:val="nil"/>
              <w:bottom w:val="nil"/>
              <w:right w:val="single" w:sz="4" w:space="0" w:color="auto"/>
            </w:tcBorders>
            <w:shd w:val="clear" w:color="auto" w:fill="auto"/>
            <w:noWrap/>
            <w:vAlign w:val="center"/>
            <w:hideMark/>
          </w:tcPr>
          <w:p w14:paraId="20CD7A18"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 xml:space="preserve">19% ±2% </w:t>
            </w:r>
          </w:p>
        </w:tc>
        <w:tc>
          <w:tcPr>
            <w:tcW w:w="851" w:type="dxa"/>
            <w:tcBorders>
              <w:top w:val="nil"/>
              <w:left w:val="nil"/>
              <w:bottom w:val="nil"/>
              <w:right w:val="single" w:sz="4" w:space="0" w:color="auto"/>
            </w:tcBorders>
            <w:shd w:val="clear" w:color="auto" w:fill="auto"/>
            <w:noWrap/>
            <w:vAlign w:val="center"/>
            <w:hideMark/>
          </w:tcPr>
          <w:p w14:paraId="05D1B44D"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10</w:t>
            </w:r>
          </w:p>
        </w:tc>
      </w:tr>
      <w:tr w:rsidR="00AC0425" w:rsidRPr="00AC0425" w14:paraId="6AB788B1" w14:textId="77777777" w:rsidTr="00EE621F">
        <w:trPr>
          <w:trHeight w:val="240"/>
        </w:trPr>
        <w:tc>
          <w:tcPr>
            <w:tcW w:w="4820" w:type="dxa"/>
            <w:tcBorders>
              <w:top w:val="nil"/>
              <w:left w:val="single" w:sz="4" w:space="0" w:color="auto"/>
              <w:bottom w:val="single" w:sz="4" w:space="0" w:color="auto"/>
              <w:right w:val="nil"/>
            </w:tcBorders>
            <w:shd w:val="clear" w:color="auto" w:fill="auto"/>
            <w:noWrap/>
            <w:vAlign w:val="center"/>
            <w:hideMark/>
          </w:tcPr>
          <w:p w14:paraId="3DA6B1E1"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Direction of the minimum</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3F02CE65"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250°E ±10°</w:t>
            </w:r>
          </w:p>
        </w:tc>
        <w:tc>
          <w:tcPr>
            <w:tcW w:w="1417" w:type="dxa"/>
            <w:tcBorders>
              <w:top w:val="nil"/>
              <w:left w:val="nil"/>
              <w:bottom w:val="single" w:sz="4" w:space="0" w:color="auto"/>
              <w:right w:val="single" w:sz="4" w:space="0" w:color="auto"/>
            </w:tcBorders>
            <w:shd w:val="clear" w:color="auto" w:fill="auto"/>
            <w:noWrap/>
            <w:vAlign w:val="center"/>
            <w:hideMark/>
          </w:tcPr>
          <w:p w14:paraId="69B4C15F"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175°E ±10°</w:t>
            </w:r>
          </w:p>
        </w:tc>
        <w:tc>
          <w:tcPr>
            <w:tcW w:w="851" w:type="dxa"/>
            <w:tcBorders>
              <w:top w:val="nil"/>
              <w:left w:val="nil"/>
              <w:bottom w:val="single" w:sz="4" w:space="0" w:color="auto"/>
              <w:right w:val="single" w:sz="4" w:space="0" w:color="auto"/>
            </w:tcBorders>
            <w:shd w:val="clear" w:color="auto" w:fill="auto"/>
            <w:noWrap/>
            <w:vAlign w:val="center"/>
            <w:hideMark/>
          </w:tcPr>
          <w:p w14:paraId="566B3AB1"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10</w:t>
            </w:r>
          </w:p>
        </w:tc>
      </w:tr>
      <w:tr w:rsidR="00AC0425" w:rsidRPr="00AC0425" w14:paraId="39B7BB2C"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1E03D9D3" w14:textId="14D15EAD"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 xml:space="preserve">5th percentile sector </w:t>
            </w:r>
            <w:r w:rsidR="006E3D3D">
              <w:rPr>
                <w:rFonts w:ascii="Calibri" w:hAnsi="Calibri" w:cs="Calibri"/>
                <w:color w:val="000000"/>
                <w:sz w:val="18"/>
                <w:szCs w:val="18"/>
              </w:rPr>
              <w:t>width</w:t>
            </w:r>
            <w:r w:rsidRPr="00AC0425">
              <w:rPr>
                <w:rFonts w:ascii="Calibri" w:hAnsi="Calibri" w:cs="Calibri"/>
                <w:color w:val="000000"/>
                <w:sz w:val="18"/>
                <w:szCs w:val="18"/>
              </w:rPr>
              <w:t xml:space="preserve"> value</w:t>
            </w:r>
          </w:p>
        </w:tc>
        <w:tc>
          <w:tcPr>
            <w:tcW w:w="1701" w:type="dxa"/>
            <w:tcBorders>
              <w:top w:val="nil"/>
              <w:left w:val="single" w:sz="4" w:space="0" w:color="auto"/>
              <w:bottom w:val="nil"/>
              <w:right w:val="single" w:sz="4" w:space="0" w:color="auto"/>
            </w:tcBorders>
            <w:shd w:val="clear" w:color="auto" w:fill="auto"/>
            <w:noWrap/>
            <w:vAlign w:val="center"/>
            <w:hideMark/>
          </w:tcPr>
          <w:p w14:paraId="14C8403B"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41°</w:t>
            </w:r>
          </w:p>
        </w:tc>
        <w:tc>
          <w:tcPr>
            <w:tcW w:w="1417" w:type="dxa"/>
            <w:tcBorders>
              <w:top w:val="nil"/>
              <w:left w:val="nil"/>
              <w:bottom w:val="nil"/>
              <w:right w:val="single" w:sz="4" w:space="0" w:color="auto"/>
            </w:tcBorders>
            <w:shd w:val="clear" w:color="auto" w:fill="auto"/>
            <w:noWrap/>
            <w:vAlign w:val="center"/>
            <w:hideMark/>
          </w:tcPr>
          <w:p w14:paraId="6154E356"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33°</w:t>
            </w:r>
          </w:p>
        </w:tc>
        <w:tc>
          <w:tcPr>
            <w:tcW w:w="851" w:type="dxa"/>
            <w:tcBorders>
              <w:top w:val="nil"/>
              <w:left w:val="nil"/>
              <w:bottom w:val="nil"/>
              <w:right w:val="single" w:sz="4" w:space="0" w:color="auto"/>
            </w:tcBorders>
            <w:shd w:val="clear" w:color="auto" w:fill="auto"/>
            <w:noWrap/>
            <w:vAlign w:val="center"/>
            <w:hideMark/>
          </w:tcPr>
          <w:p w14:paraId="10A23429"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11</w:t>
            </w:r>
          </w:p>
        </w:tc>
      </w:tr>
      <w:tr w:rsidR="00AC0425" w:rsidRPr="00AC0425" w14:paraId="5BF8EE73"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58945C40" w14:textId="434511D2"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 xml:space="preserve">Mean sector </w:t>
            </w:r>
            <w:r w:rsidR="006E3D3D">
              <w:rPr>
                <w:rFonts w:ascii="Calibri" w:hAnsi="Calibri" w:cs="Calibri"/>
                <w:color w:val="000000"/>
                <w:sz w:val="18"/>
                <w:szCs w:val="18"/>
              </w:rPr>
              <w:t>width</w:t>
            </w:r>
            <w:r w:rsidRPr="00AC0425">
              <w:rPr>
                <w:rFonts w:ascii="Calibri" w:hAnsi="Calibri" w:cs="Calibri"/>
                <w:color w:val="000000"/>
                <w:sz w:val="18"/>
                <w:szCs w:val="18"/>
              </w:rPr>
              <w:t xml:space="preserve"> value </w:t>
            </w:r>
          </w:p>
        </w:tc>
        <w:tc>
          <w:tcPr>
            <w:tcW w:w="1701" w:type="dxa"/>
            <w:tcBorders>
              <w:top w:val="nil"/>
              <w:left w:val="single" w:sz="4" w:space="0" w:color="auto"/>
              <w:bottom w:val="nil"/>
              <w:right w:val="single" w:sz="4" w:space="0" w:color="auto"/>
            </w:tcBorders>
            <w:shd w:val="clear" w:color="auto" w:fill="auto"/>
            <w:noWrap/>
            <w:vAlign w:val="center"/>
            <w:hideMark/>
          </w:tcPr>
          <w:p w14:paraId="4EA3F836"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90°</w:t>
            </w:r>
          </w:p>
        </w:tc>
        <w:tc>
          <w:tcPr>
            <w:tcW w:w="1417" w:type="dxa"/>
            <w:tcBorders>
              <w:top w:val="nil"/>
              <w:left w:val="nil"/>
              <w:bottom w:val="nil"/>
              <w:right w:val="single" w:sz="4" w:space="0" w:color="auto"/>
            </w:tcBorders>
            <w:shd w:val="clear" w:color="auto" w:fill="auto"/>
            <w:noWrap/>
            <w:vAlign w:val="center"/>
            <w:hideMark/>
          </w:tcPr>
          <w:p w14:paraId="03761E37"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90°</w:t>
            </w:r>
          </w:p>
        </w:tc>
        <w:tc>
          <w:tcPr>
            <w:tcW w:w="851" w:type="dxa"/>
            <w:tcBorders>
              <w:top w:val="nil"/>
              <w:left w:val="nil"/>
              <w:bottom w:val="nil"/>
              <w:right w:val="single" w:sz="4" w:space="0" w:color="auto"/>
            </w:tcBorders>
            <w:shd w:val="clear" w:color="auto" w:fill="auto"/>
            <w:noWrap/>
            <w:vAlign w:val="center"/>
            <w:hideMark/>
          </w:tcPr>
          <w:p w14:paraId="6571DB5A"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11</w:t>
            </w:r>
          </w:p>
        </w:tc>
      </w:tr>
      <w:tr w:rsidR="00AC0425" w:rsidRPr="00AC0425" w14:paraId="3F030A93" w14:textId="77777777" w:rsidTr="00EE621F">
        <w:trPr>
          <w:trHeight w:val="240"/>
        </w:trPr>
        <w:tc>
          <w:tcPr>
            <w:tcW w:w="4820" w:type="dxa"/>
            <w:tcBorders>
              <w:top w:val="nil"/>
              <w:left w:val="single" w:sz="4" w:space="0" w:color="auto"/>
              <w:bottom w:val="single" w:sz="4" w:space="0" w:color="auto"/>
              <w:right w:val="nil"/>
            </w:tcBorders>
            <w:shd w:val="clear" w:color="auto" w:fill="auto"/>
            <w:noWrap/>
            <w:vAlign w:val="center"/>
            <w:hideMark/>
          </w:tcPr>
          <w:p w14:paraId="77E09B0C" w14:textId="0C80A244"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 xml:space="preserve">95th percentile sector </w:t>
            </w:r>
            <w:r w:rsidR="006E3D3D">
              <w:rPr>
                <w:rFonts w:ascii="Calibri" w:hAnsi="Calibri" w:cs="Calibri"/>
                <w:color w:val="000000"/>
                <w:sz w:val="18"/>
                <w:szCs w:val="18"/>
              </w:rPr>
              <w:t>width</w:t>
            </w:r>
            <w:r w:rsidRPr="00AC0425">
              <w:rPr>
                <w:rFonts w:ascii="Calibri" w:hAnsi="Calibri" w:cs="Calibri"/>
                <w:color w:val="000000"/>
                <w:sz w:val="18"/>
                <w:szCs w:val="18"/>
              </w:rPr>
              <w:t xml:space="preserve"> value</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7EA9236D"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136°</w:t>
            </w:r>
          </w:p>
        </w:tc>
        <w:tc>
          <w:tcPr>
            <w:tcW w:w="1417" w:type="dxa"/>
            <w:tcBorders>
              <w:top w:val="nil"/>
              <w:left w:val="nil"/>
              <w:bottom w:val="single" w:sz="4" w:space="0" w:color="auto"/>
              <w:right w:val="single" w:sz="4" w:space="0" w:color="auto"/>
            </w:tcBorders>
            <w:shd w:val="clear" w:color="auto" w:fill="auto"/>
            <w:noWrap/>
            <w:vAlign w:val="center"/>
            <w:hideMark/>
          </w:tcPr>
          <w:p w14:paraId="39C10768"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183°</w:t>
            </w:r>
          </w:p>
        </w:tc>
        <w:tc>
          <w:tcPr>
            <w:tcW w:w="851" w:type="dxa"/>
            <w:tcBorders>
              <w:top w:val="nil"/>
              <w:left w:val="nil"/>
              <w:bottom w:val="single" w:sz="4" w:space="0" w:color="auto"/>
              <w:right w:val="single" w:sz="4" w:space="0" w:color="auto"/>
            </w:tcBorders>
            <w:shd w:val="clear" w:color="auto" w:fill="auto"/>
            <w:noWrap/>
            <w:vAlign w:val="center"/>
            <w:hideMark/>
          </w:tcPr>
          <w:p w14:paraId="3D45EF88"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11</w:t>
            </w:r>
          </w:p>
        </w:tc>
      </w:tr>
      <w:tr w:rsidR="00AC0425" w:rsidRPr="00AC0425" w14:paraId="43E59AEA"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72B97EE5"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5th percentile area of ballistic fallout</w:t>
            </w:r>
          </w:p>
        </w:tc>
        <w:tc>
          <w:tcPr>
            <w:tcW w:w="1701" w:type="dxa"/>
            <w:tcBorders>
              <w:top w:val="nil"/>
              <w:left w:val="single" w:sz="4" w:space="0" w:color="auto"/>
              <w:bottom w:val="nil"/>
              <w:right w:val="single" w:sz="4" w:space="0" w:color="auto"/>
            </w:tcBorders>
            <w:shd w:val="clear" w:color="auto" w:fill="auto"/>
            <w:noWrap/>
            <w:vAlign w:val="center"/>
            <w:hideMark/>
          </w:tcPr>
          <w:p w14:paraId="5145FAB2"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 xml:space="preserve">3.3e+04 m2 </w:t>
            </w:r>
          </w:p>
        </w:tc>
        <w:tc>
          <w:tcPr>
            <w:tcW w:w="1417" w:type="dxa"/>
            <w:tcBorders>
              <w:top w:val="nil"/>
              <w:left w:val="nil"/>
              <w:bottom w:val="nil"/>
              <w:right w:val="single" w:sz="4" w:space="0" w:color="auto"/>
            </w:tcBorders>
            <w:shd w:val="clear" w:color="auto" w:fill="auto"/>
            <w:noWrap/>
            <w:vAlign w:val="center"/>
            <w:hideMark/>
          </w:tcPr>
          <w:p w14:paraId="04AF60E6"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 xml:space="preserve">2.0e+05 m2 </w:t>
            </w:r>
          </w:p>
        </w:tc>
        <w:tc>
          <w:tcPr>
            <w:tcW w:w="851" w:type="dxa"/>
            <w:tcBorders>
              <w:top w:val="nil"/>
              <w:left w:val="nil"/>
              <w:bottom w:val="nil"/>
              <w:right w:val="single" w:sz="4" w:space="0" w:color="auto"/>
            </w:tcBorders>
            <w:shd w:val="clear" w:color="auto" w:fill="auto"/>
            <w:noWrap/>
            <w:vAlign w:val="center"/>
            <w:hideMark/>
          </w:tcPr>
          <w:p w14:paraId="5725100D"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11</w:t>
            </w:r>
          </w:p>
        </w:tc>
      </w:tr>
      <w:tr w:rsidR="00AC0425" w:rsidRPr="00AC0425" w14:paraId="18FDE661"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5A74D4D4"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Mean area of ballistic fallout</w:t>
            </w:r>
          </w:p>
        </w:tc>
        <w:tc>
          <w:tcPr>
            <w:tcW w:w="1701" w:type="dxa"/>
            <w:tcBorders>
              <w:top w:val="nil"/>
              <w:left w:val="single" w:sz="4" w:space="0" w:color="auto"/>
              <w:bottom w:val="nil"/>
              <w:right w:val="single" w:sz="4" w:space="0" w:color="auto"/>
            </w:tcBorders>
            <w:shd w:val="clear" w:color="auto" w:fill="auto"/>
            <w:noWrap/>
            <w:vAlign w:val="center"/>
            <w:hideMark/>
          </w:tcPr>
          <w:p w14:paraId="4F15B057"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6.9e+04 m2</w:t>
            </w:r>
          </w:p>
        </w:tc>
        <w:tc>
          <w:tcPr>
            <w:tcW w:w="1417" w:type="dxa"/>
            <w:tcBorders>
              <w:top w:val="nil"/>
              <w:left w:val="nil"/>
              <w:bottom w:val="nil"/>
              <w:right w:val="single" w:sz="4" w:space="0" w:color="auto"/>
            </w:tcBorders>
            <w:shd w:val="clear" w:color="auto" w:fill="auto"/>
            <w:noWrap/>
            <w:vAlign w:val="center"/>
            <w:hideMark/>
          </w:tcPr>
          <w:p w14:paraId="0E1AE5F5"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3.6e+05 m2</w:t>
            </w:r>
          </w:p>
        </w:tc>
        <w:tc>
          <w:tcPr>
            <w:tcW w:w="851" w:type="dxa"/>
            <w:tcBorders>
              <w:top w:val="nil"/>
              <w:left w:val="nil"/>
              <w:bottom w:val="nil"/>
              <w:right w:val="single" w:sz="4" w:space="0" w:color="auto"/>
            </w:tcBorders>
            <w:shd w:val="clear" w:color="auto" w:fill="auto"/>
            <w:noWrap/>
            <w:vAlign w:val="center"/>
            <w:hideMark/>
          </w:tcPr>
          <w:p w14:paraId="38F48E25"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11</w:t>
            </w:r>
          </w:p>
        </w:tc>
      </w:tr>
      <w:tr w:rsidR="00AC0425" w:rsidRPr="00AC0425" w14:paraId="30838BC4" w14:textId="77777777" w:rsidTr="00EE621F">
        <w:trPr>
          <w:trHeight w:val="240"/>
        </w:trPr>
        <w:tc>
          <w:tcPr>
            <w:tcW w:w="4820" w:type="dxa"/>
            <w:tcBorders>
              <w:top w:val="nil"/>
              <w:left w:val="single" w:sz="4" w:space="0" w:color="auto"/>
              <w:bottom w:val="nil"/>
              <w:right w:val="nil"/>
            </w:tcBorders>
            <w:shd w:val="clear" w:color="auto" w:fill="auto"/>
            <w:noWrap/>
            <w:vAlign w:val="center"/>
            <w:hideMark/>
          </w:tcPr>
          <w:p w14:paraId="5F7BCEE9" w14:textId="77777777"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95th percentile area of ballistic fallout</w:t>
            </w:r>
          </w:p>
        </w:tc>
        <w:tc>
          <w:tcPr>
            <w:tcW w:w="1701" w:type="dxa"/>
            <w:tcBorders>
              <w:top w:val="nil"/>
              <w:left w:val="single" w:sz="4" w:space="0" w:color="auto"/>
              <w:bottom w:val="nil"/>
              <w:right w:val="single" w:sz="4" w:space="0" w:color="auto"/>
            </w:tcBorders>
            <w:shd w:val="clear" w:color="auto" w:fill="auto"/>
            <w:noWrap/>
            <w:vAlign w:val="center"/>
            <w:hideMark/>
          </w:tcPr>
          <w:p w14:paraId="2BBD98E9"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14.8e+04 m2</w:t>
            </w:r>
          </w:p>
        </w:tc>
        <w:tc>
          <w:tcPr>
            <w:tcW w:w="1417" w:type="dxa"/>
            <w:tcBorders>
              <w:top w:val="nil"/>
              <w:left w:val="nil"/>
              <w:bottom w:val="nil"/>
              <w:right w:val="single" w:sz="4" w:space="0" w:color="auto"/>
            </w:tcBorders>
            <w:shd w:val="clear" w:color="auto" w:fill="auto"/>
            <w:noWrap/>
            <w:vAlign w:val="center"/>
            <w:hideMark/>
          </w:tcPr>
          <w:p w14:paraId="239FFB70"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6.1e+05 m2</w:t>
            </w:r>
          </w:p>
        </w:tc>
        <w:tc>
          <w:tcPr>
            <w:tcW w:w="851" w:type="dxa"/>
            <w:tcBorders>
              <w:top w:val="nil"/>
              <w:left w:val="nil"/>
              <w:bottom w:val="nil"/>
              <w:right w:val="single" w:sz="4" w:space="0" w:color="auto"/>
            </w:tcBorders>
            <w:shd w:val="clear" w:color="auto" w:fill="auto"/>
            <w:noWrap/>
            <w:vAlign w:val="center"/>
            <w:hideMark/>
          </w:tcPr>
          <w:p w14:paraId="4B7DB487"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11</w:t>
            </w:r>
          </w:p>
        </w:tc>
      </w:tr>
      <w:tr w:rsidR="00AC0425" w:rsidRPr="00AC0425" w14:paraId="241EB2BB" w14:textId="77777777" w:rsidTr="00EE621F">
        <w:trPr>
          <w:trHeight w:val="240"/>
        </w:trPr>
        <w:tc>
          <w:tcPr>
            <w:tcW w:w="4820" w:type="dxa"/>
            <w:tcBorders>
              <w:top w:val="nil"/>
              <w:left w:val="single" w:sz="4" w:space="0" w:color="auto"/>
              <w:bottom w:val="single" w:sz="4" w:space="0" w:color="auto"/>
              <w:right w:val="nil"/>
            </w:tcBorders>
            <w:shd w:val="clear" w:color="auto" w:fill="auto"/>
            <w:noWrap/>
            <w:vAlign w:val="center"/>
            <w:hideMark/>
          </w:tcPr>
          <w:p w14:paraId="4195A72F" w14:textId="6E4AAA33" w:rsidR="00AC0425" w:rsidRPr="00AC0425" w:rsidRDefault="00AC0425" w:rsidP="00AC0425">
            <w:pPr>
              <w:rPr>
                <w:rFonts w:ascii="Calibri" w:hAnsi="Calibri" w:cs="Calibri"/>
                <w:color w:val="000000"/>
                <w:sz w:val="18"/>
                <w:szCs w:val="18"/>
              </w:rPr>
            </w:pPr>
            <w:r w:rsidRPr="00AC0425">
              <w:rPr>
                <w:rFonts w:ascii="Calibri" w:hAnsi="Calibri" w:cs="Calibri"/>
                <w:color w:val="000000"/>
                <w:sz w:val="18"/>
                <w:szCs w:val="18"/>
              </w:rPr>
              <w:t>Maximum area inc</w:t>
            </w:r>
            <w:r>
              <w:rPr>
                <w:rFonts w:ascii="Calibri" w:hAnsi="Calibri" w:cs="Calibri"/>
                <w:color w:val="000000"/>
                <w:sz w:val="18"/>
                <w:szCs w:val="18"/>
              </w:rPr>
              <w:t>rease with respect to 95th percentile</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253B8CC5"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70%</w:t>
            </w:r>
          </w:p>
        </w:tc>
        <w:tc>
          <w:tcPr>
            <w:tcW w:w="1417" w:type="dxa"/>
            <w:tcBorders>
              <w:top w:val="nil"/>
              <w:left w:val="nil"/>
              <w:bottom w:val="single" w:sz="4" w:space="0" w:color="auto"/>
              <w:right w:val="single" w:sz="4" w:space="0" w:color="auto"/>
            </w:tcBorders>
            <w:shd w:val="clear" w:color="auto" w:fill="auto"/>
            <w:noWrap/>
            <w:vAlign w:val="center"/>
            <w:hideMark/>
          </w:tcPr>
          <w:p w14:paraId="78941B1C"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20%</w:t>
            </w:r>
          </w:p>
        </w:tc>
        <w:tc>
          <w:tcPr>
            <w:tcW w:w="851" w:type="dxa"/>
            <w:tcBorders>
              <w:top w:val="nil"/>
              <w:left w:val="nil"/>
              <w:bottom w:val="single" w:sz="4" w:space="0" w:color="auto"/>
              <w:right w:val="single" w:sz="4" w:space="0" w:color="auto"/>
            </w:tcBorders>
            <w:shd w:val="clear" w:color="auto" w:fill="auto"/>
            <w:noWrap/>
            <w:vAlign w:val="center"/>
            <w:hideMark/>
          </w:tcPr>
          <w:p w14:paraId="64E0EE31" w14:textId="77777777" w:rsidR="00AC0425" w:rsidRPr="00AC0425" w:rsidRDefault="00AC0425" w:rsidP="00AC0425">
            <w:pPr>
              <w:jc w:val="right"/>
              <w:rPr>
                <w:rFonts w:ascii="Calibri" w:hAnsi="Calibri" w:cs="Calibri"/>
                <w:color w:val="000000"/>
                <w:sz w:val="18"/>
                <w:szCs w:val="18"/>
              </w:rPr>
            </w:pPr>
            <w:r w:rsidRPr="00AC0425">
              <w:rPr>
                <w:rFonts w:ascii="Calibri" w:hAnsi="Calibri" w:cs="Calibri"/>
                <w:color w:val="000000"/>
                <w:sz w:val="18"/>
                <w:szCs w:val="18"/>
              </w:rPr>
              <w:t>Fig. 11</w:t>
            </w:r>
          </w:p>
        </w:tc>
      </w:tr>
    </w:tbl>
    <w:p w14:paraId="1ABFFF6E" w14:textId="52B6DCDA" w:rsidR="00DF0DB6" w:rsidRPr="005314B5" w:rsidRDefault="00AC0425" w:rsidP="00AC0425">
      <w:pPr>
        <w:keepNext/>
        <w:spacing w:before="240"/>
        <w:outlineLvl w:val="0"/>
        <w:rPr>
          <w:rFonts w:ascii="Myriad Pro" w:hAnsi="Myriad Pro"/>
          <w:sz w:val="22"/>
          <w:szCs w:val="22"/>
        </w:rPr>
      </w:pPr>
      <w:r>
        <w:rPr>
          <w:rFonts w:ascii="Myriad Pro" w:hAnsi="Myriad Pro"/>
          <w:sz w:val="22"/>
          <w:szCs w:val="22"/>
        </w:rPr>
        <w:fldChar w:fldCharType="end"/>
      </w:r>
    </w:p>
    <w:sectPr w:rsidR="00DF0DB6" w:rsidRPr="005314B5" w:rsidSect="00F125EE">
      <w:headerReference w:type="default" r:id="rId14"/>
      <w:footerReference w:type="default" r:id="rId15"/>
      <w:pgSz w:w="12240" w:h="15840"/>
      <w:pgMar w:top="1440" w:right="1800" w:bottom="1440" w:left="180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40B5F69" w14:textId="77777777" w:rsidR="0018100D" w:rsidRDefault="0018100D">
      <w:r>
        <w:separator/>
      </w:r>
    </w:p>
  </w:endnote>
  <w:endnote w:type="continuationSeparator" w:id="0">
    <w:p w14:paraId="1D93CB80" w14:textId="77777777" w:rsidR="0018100D" w:rsidRDefault="001810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0000000000000000000"/>
    <w:charset w:val="00"/>
    <w:family w:val="swiss"/>
    <w:notTrueType/>
    <w:pitch w:val="variable"/>
    <w:sig w:usb0="20000287" w:usb1="00000001" w:usb2="00000000" w:usb3="00000000" w:csb0="0000019F" w:csb1="00000000"/>
  </w:font>
  <w:font w:name="Myriad Pro Light">
    <w:altName w:val="Segoe UI Light"/>
    <w:panose1 w:val="00000000000000000000"/>
    <w:charset w:val="00"/>
    <w:family w:val="swiss"/>
    <w:notTrueType/>
    <w:pitch w:val="variable"/>
    <w:sig w:usb0="20000287" w:usb1="00000001" w:usb2="00000000" w:usb3="00000000" w:csb0="0000019F" w:csb1="00000000"/>
  </w:font>
  <w:font w:name="游ゴシック Light">
    <w:panose1 w:val="00000000000000000000"/>
    <w:charset w:val="80"/>
    <w:family w:val="roman"/>
    <w:notTrueType/>
    <w:pitch w:val="default"/>
  </w:font>
  <w:font w:name="Calibri Light">
    <w:panose1 w:val="020F0302020204030204"/>
    <w:charset w:val="00"/>
    <w:family w:val="swiss"/>
    <w:pitch w:val="variable"/>
    <w:sig w:usb0="E4002EFF" w:usb1="C000247B" w:usb2="00000009" w:usb3="00000000" w:csb0="000001FF" w:csb1="00000000"/>
  </w:font>
  <w:font w:name="游明朝">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78E7ED" w14:textId="34E88171" w:rsidR="00F125EE" w:rsidRDefault="00F125EE">
    <w:pPr>
      <w:pStyle w:val="Footer"/>
      <w:jc w:val="right"/>
    </w:pPr>
  </w:p>
  <w:p w14:paraId="486656F3" w14:textId="77777777" w:rsidR="00F125EE" w:rsidRDefault="00F125E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CBCB25A" w14:textId="77777777" w:rsidR="0018100D" w:rsidRDefault="0018100D">
      <w:r>
        <w:separator/>
      </w:r>
    </w:p>
  </w:footnote>
  <w:footnote w:type="continuationSeparator" w:id="0">
    <w:p w14:paraId="7088AEB5" w14:textId="77777777" w:rsidR="0018100D" w:rsidRDefault="0018100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F23C1C" w14:textId="77777777" w:rsidR="003A2FD8" w:rsidRPr="005001AC" w:rsidRDefault="003A2FD8" w:rsidP="005001AC">
    <w:pPr>
      <w:jc w:val="right"/>
      <w:rPr>
        <w:sz w:val="20"/>
      </w:rPr>
    </w:pPr>
  </w:p>
  <w:p w14:paraId="18F8F636" w14:textId="77777777" w:rsidR="003A2FD8" w:rsidRDefault="003A2FD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E9A0988"/>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498CFF00"/>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1D94376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BC8CF8D2"/>
    <w:lvl w:ilvl="0">
      <w:start w:val="1"/>
      <w:numFmt w:val="decimal"/>
      <w:pStyle w:val="ListNumber2"/>
      <w:lvlText w:val="%1."/>
      <w:lvlJc w:val="left"/>
      <w:pPr>
        <w:tabs>
          <w:tab w:val="num" w:pos="720"/>
        </w:tabs>
        <w:ind w:left="720" w:hanging="360"/>
      </w:pPr>
    </w:lvl>
  </w:abstractNum>
  <w:abstractNum w:abstractNumId="4">
    <w:nsid w:val="FFFFFF80"/>
    <w:multiLevelType w:val="singleLevel"/>
    <w:tmpl w:val="BE508C2A"/>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4BDA3A4C"/>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9F6ED8A8"/>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B406D81E"/>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98E05002"/>
    <w:lvl w:ilvl="0">
      <w:start w:val="1"/>
      <w:numFmt w:val="decimal"/>
      <w:pStyle w:val="ListNumber"/>
      <w:lvlText w:val="%1."/>
      <w:lvlJc w:val="left"/>
      <w:pPr>
        <w:tabs>
          <w:tab w:val="num" w:pos="360"/>
        </w:tabs>
        <w:ind w:left="360" w:hanging="360"/>
      </w:pPr>
    </w:lvl>
  </w:abstractNum>
  <w:abstractNum w:abstractNumId="9">
    <w:nsid w:val="FFFFFF89"/>
    <w:multiLevelType w:val="singleLevel"/>
    <w:tmpl w:val="FE4E81E6"/>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31901DB9"/>
    <w:multiLevelType w:val="hybridMultilevel"/>
    <w:tmpl w:val="00B6862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D9D4332"/>
    <w:multiLevelType w:val="multilevel"/>
    <w:tmpl w:val="4ECEB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2D508A0"/>
    <w:multiLevelType w:val="multilevel"/>
    <w:tmpl w:val="02BAE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FD37AC4"/>
    <w:multiLevelType w:val="hybridMultilevel"/>
    <w:tmpl w:val="F894C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5410DB6"/>
    <w:multiLevelType w:val="hybridMultilevel"/>
    <w:tmpl w:val="77E40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A81017E"/>
    <w:multiLevelType w:val="hybridMultilevel"/>
    <w:tmpl w:val="DAD6D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3"/>
  </w:num>
  <w:num w:numId="13">
    <w:abstractNumId w:val="10"/>
  </w:num>
  <w:num w:numId="14">
    <w:abstractNumId w:val="15"/>
  </w:num>
  <w:num w:numId="15">
    <w:abstractNumId w:val="14"/>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stylePaneSortMethod w:val="0000"/>
  <w:defaultTabStop w:val="720"/>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030F"/>
    <w:rsid w:val="000023A1"/>
    <w:rsid w:val="000068FE"/>
    <w:rsid w:val="00011343"/>
    <w:rsid w:val="000128BC"/>
    <w:rsid w:val="00015F74"/>
    <w:rsid w:val="000219B9"/>
    <w:rsid w:val="00043571"/>
    <w:rsid w:val="0004500A"/>
    <w:rsid w:val="000657FA"/>
    <w:rsid w:val="00065EBD"/>
    <w:rsid w:val="00083B44"/>
    <w:rsid w:val="000850DC"/>
    <w:rsid w:val="0009116B"/>
    <w:rsid w:val="00094365"/>
    <w:rsid w:val="000B2E64"/>
    <w:rsid w:val="000C2771"/>
    <w:rsid w:val="000D68BD"/>
    <w:rsid w:val="000E2493"/>
    <w:rsid w:val="000F0DCE"/>
    <w:rsid w:val="000F45AF"/>
    <w:rsid w:val="000F76AA"/>
    <w:rsid w:val="00111843"/>
    <w:rsid w:val="00112757"/>
    <w:rsid w:val="00112C5B"/>
    <w:rsid w:val="00113908"/>
    <w:rsid w:val="00113F5D"/>
    <w:rsid w:val="00114193"/>
    <w:rsid w:val="001154E6"/>
    <w:rsid w:val="00115A38"/>
    <w:rsid w:val="0011687B"/>
    <w:rsid w:val="00124F82"/>
    <w:rsid w:val="00125C74"/>
    <w:rsid w:val="001265FA"/>
    <w:rsid w:val="001278E3"/>
    <w:rsid w:val="00130743"/>
    <w:rsid w:val="00130B50"/>
    <w:rsid w:val="00133DFA"/>
    <w:rsid w:val="0016337A"/>
    <w:rsid w:val="0016344E"/>
    <w:rsid w:val="00164269"/>
    <w:rsid w:val="00174F1E"/>
    <w:rsid w:val="0018100D"/>
    <w:rsid w:val="00186BE7"/>
    <w:rsid w:val="001966FD"/>
    <w:rsid w:val="00197826"/>
    <w:rsid w:val="001A1BDE"/>
    <w:rsid w:val="001B5437"/>
    <w:rsid w:val="001C7B4E"/>
    <w:rsid w:val="001F0876"/>
    <w:rsid w:val="001F167C"/>
    <w:rsid w:val="001F5E91"/>
    <w:rsid w:val="0020183F"/>
    <w:rsid w:val="002077B9"/>
    <w:rsid w:val="00221C70"/>
    <w:rsid w:val="002251AF"/>
    <w:rsid w:val="00227D86"/>
    <w:rsid w:val="0023003E"/>
    <w:rsid w:val="00243B68"/>
    <w:rsid w:val="00245558"/>
    <w:rsid w:val="0025419F"/>
    <w:rsid w:val="00256EA5"/>
    <w:rsid w:val="00262D72"/>
    <w:rsid w:val="002800B6"/>
    <w:rsid w:val="00293852"/>
    <w:rsid w:val="002A087C"/>
    <w:rsid w:val="002B35D4"/>
    <w:rsid w:val="002C030F"/>
    <w:rsid w:val="002F3966"/>
    <w:rsid w:val="002F4D77"/>
    <w:rsid w:val="00303997"/>
    <w:rsid w:val="00320E2C"/>
    <w:rsid w:val="003258C4"/>
    <w:rsid w:val="00331D75"/>
    <w:rsid w:val="00337EAF"/>
    <w:rsid w:val="0034184F"/>
    <w:rsid w:val="00342873"/>
    <w:rsid w:val="003536DE"/>
    <w:rsid w:val="0035472E"/>
    <w:rsid w:val="00355362"/>
    <w:rsid w:val="00363E44"/>
    <w:rsid w:val="00366164"/>
    <w:rsid w:val="00366848"/>
    <w:rsid w:val="00373C1D"/>
    <w:rsid w:val="003933F2"/>
    <w:rsid w:val="00395E86"/>
    <w:rsid w:val="003A2FD8"/>
    <w:rsid w:val="003A73F1"/>
    <w:rsid w:val="003B40E6"/>
    <w:rsid w:val="003C007A"/>
    <w:rsid w:val="003D54FA"/>
    <w:rsid w:val="003E0D8F"/>
    <w:rsid w:val="003E1980"/>
    <w:rsid w:val="003F6E14"/>
    <w:rsid w:val="004000F5"/>
    <w:rsid w:val="00401907"/>
    <w:rsid w:val="00405336"/>
    <w:rsid w:val="00426E32"/>
    <w:rsid w:val="00433B86"/>
    <w:rsid w:val="00442BBE"/>
    <w:rsid w:val="004568BC"/>
    <w:rsid w:val="004571D5"/>
    <w:rsid w:val="00460BA9"/>
    <w:rsid w:val="00462F1B"/>
    <w:rsid w:val="0046356B"/>
    <w:rsid w:val="00477182"/>
    <w:rsid w:val="004779CB"/>
    <w:rsid w:val="00481118"/>
    <w:rsid w:val="0048370C"/>
    <w:rsid w:val="0049537A"/>
    <w:rsid w:val="00496871"/>
    <w:rsid w:val="004B2481"/>
    <w:rsid w:val="004B56D5"/>
    <w:rsid w:val="004D2A8C"/>
    <w:rsid w:val="004E42D8"/>
    <w:rsid w:val="004E7BA2"/>
    <w:rsid w:val="004F7EDF"/>
    <w:rsid w:val="005001AC"/>
    <w:rsid w:val="00510D8F"/>
    <w:rsid w:val="00517016"/>
    <w:rsid w:val="00527D71"/>
    <w:rsid w:val="00527D84"/>
    <w:rsid w:val="005314B5"/>
    <w:rsid w:val="0054432F"/>
    <w:rsid w:val="00552C23"/>
    <w:rsid w:val="00553D04"/>
    <w:rsid w:val="005607DD"/>
    <w:rsid w:val="00562652"/>
    <w:rsid w:val="00571C02"/>
    <w:rsid w:val="00572DFF"/>
    <w:rsid w:val="005A558C"/>
    <w:rsid w:val="005A57A3"/>
    <w:rsid w:val="005B186E"/>
    <w:rsid w:val="005C6651"/>
    <w:rsid w:val="005D6D71"/>
    <w:rsid w:val="005E28F8"/>
    <w:rsid w:val="005E6513"/>
    <w:rsid w:val="006078E5"/>
    <w:rsid w:val="00611F9E"/>
    <w:rsid w:val="0061353F"/>
    <w:rsid w:val="006237D4"/>
    <w:rsid w:val="00646DE2"/>
    <w:rsid w:val="00651114"/>
    <w:rsid w:val="006622CF"/>
    <w:rsid w:val="006622E0"/>
    <w:rsid w:val="00663E33"/>
    <w:rsid w:val="00664A12"/>
    <w:rsid w:val="0066722B"/>
    <w:rsid w:val="00670299"/>
    <w:rsid w:val="00677FB1"/>
    <w:rsid w:val="0068469F"/>
    <w:rsid w:val="00691985"/>
    <w:rsid w:val="006962C1"/>
    <w:rsid w:val="006A1B64"/>
    <w:rsid w:val="006B03AD"/>
    <w:rsid w:val="006E3D3D"/>
    <w:rsid w:val="006F18EE"/>
    <w:rsid w:val="006F602A"/>
    <w:rsid w:val="00703DC2"/>
    <w:rsid w:val="007108F5"/>
    <w:rsid w:val="00713AF2"/>
    <w:rsid w:val="00713E5B"/>
    <w:rsid w:val="00731908"/>
    <w:rsid w:val="007400CE"/>
    <w:rsid w:val="007402FC"/>
    <w:rsid w:val="007411A1"/>
    <w:rsid w:val="007439A1"/>
    <w:rsid w:val="007563F2"/>
    <w:rsid w:val="00764008"/>
    <w:rsid w:val="00772F7C"/>
    <w:rsid w:val="00791D5D"/>
    <w:rsid w:val="00795D4D"/>
    <w:rsid w:val="00807D35"/>
    <w:rsid w:val="008115D9"/>
    <w:rsid w:val="00825950"/>
    <w:rsid w:val="00861F03"/>
    <w:rsid w:val="0087513E"/>
    <w:rsid w:val="0087641F"/>
    <w:rsid w:val="00885C9B"/>
    <w:rsid w:val="008927D0"/>
    <w:rsid w:val="00894D3D"/>
    <w:rsid w:val="0089515F"/>
    <w:rsid w:val="00896FAB"/>
    <w:rsid w:val="008A3313"/>
    <w:rsid w:val="008B78A2"/>
    <w:rsid w:val="008D5D2A"/>
    <w:rsid w:val="008E2CF1"/>
    <w:rsid w:val="008F08DC"/>
    <w:rsid w:val="008F5A8A"/>
    <w:rsid w:val="009055D1"/>
    <w:rsid w:val="00914B63"/>
    <w:rsid w:val="00922705"/>
    <w:rsid w:val="00924546"/>
    <w:rsid w:val="00932FE5"/>
    <w:rsid w:val="009354F3"/>
    <w:rsid w:val="009447DC"/>
    <w:rsid w:val="00961BA5"/>
    <w:rsid w:val="009718E6"/>
    <w:rsid w:val="009743A9"/>
    <w:rsid w:val="00975720"/>
    <w:rsid w:val="009859A7"/>
    <w:rsid w:val="0098642D"/>
    <w:rsid w:val="009A5287"/>
    <w:rsid w:val="009B2AC5"/>
    <w:rsid w:val="009B7984"/>
    <w:rsid w:val="009E3644"/>
    <w:rsid w:val="009E51FA"/>
    <w:rsid w:val="009F3AFE"/>
    <w:rsid w:val="009F4BED"/>
    <w:rsid w:val="009F7D93"/>
    <w:rsid w:val="00A1004C"/>
    <w:rsid w:val="00A126BF"/>
    <w:rsid w:val="00A26480"/>
    <w:rsid w:val="00A276DF"/>
    <w:rsid w:val="00A27F95"/>
    <w:rsid w:val="00A3084A"/>
    <w:rsid w:val="00A3403B"/>
    <w:rsid w:val="00A34D0F"/>
    <w:rsid w:val="00A42D67"/>
    <w:rsid w:val="00A50033"/>
    <w:rsid w:val="00A51A12"/>
    <w:rsid w:val="00A627D4"/>
    <w:rsid w:val="00A74299"/>
    <w:rsid w:val="00A74DA2"/>
    <w:rsid w:val="00A839C2"/>
    <w:rsid w:val="00A92733"/>
    <w:rsid w:val="00AA76F3"/>
    <w:rsid w:val="00AC0425"/>
    <w:rsid w:val="00AC7DA6"/>
    <w:rsid w:val="00AD499C"/>
    <w:rsid w:val="00AE1C41"/>
    <w:rsid w:val="00AF2636"/>
    <w:rsid w:val="00B01302"/>
    <w:rsid w:val="00B30334"/>
    <w:rsid w:val="00B3147F"/>
    <w:rsid w:val="00B36869"/>
    <w:rsid w:val="00B43212"/>
    <w:rsid w:val="00B43B31"/>
    <w:rsid w:val="00B47CFA"/>
    <w:rsid w:val="00B529C0"/>
    <w:rsid w:val="00B57F00"/>
    <w:rsid w:val="00B626CB"/>
    <w:rsid w:val="00B7560C"/>
    <w:rsid w:val="00B77E40"/>
    <w:rsid w:val="00B82C22"/>
    <w:rsid w:val="00B91332"/>
    <w:rsid w:val="00B93DBA"/>
    <w:rsid w:val="00B9440A"/>
    <w:rsid w:val="00B952C1"/>
    <w:rsid w:val="00B968D7"/>
    <w:rsid w:val="00BA3953"/>
    <w:rsid w:val="00BA598F"/>
    <w:rsid w:val="00BB2D2A"/>
    <w:rsid w:val="00BD58CF"/>
    <w:rsid w:val="00BE21F2"/>
    <w:rsid w:val="00BF1BEB"/>
    <w:rsid w:val="00BF1BF9"/>
    <w:rsid w:val="00C04CC1"/>
    <w:rsid w:val="00C071FC"/>
    <w:rsid w:val="00C22C02"/>
    <w:rsid w:val="00C27F6F"/>
    <w:rsid w:val="00C30E83"/>
    <w:rsid w:val="00C50C6D"/>
    <w:rsid w:val="00C600D9"/>
    <w:rsid w:val="00C634D7"/>
    <w:rsid w:val="00C73E09"/>
    <w:rsid w:val="00C836D0"/>
    <w:rsid w:val="00CB1DA6"/>
    <w:rsid w:val="00CB31A6"/>
    <w:rsid w:val="00CB46E5"/>
    <w:rsid w:val="00CB5072"/>
    <w:rsid w:val="00CC1384"/>
    <w:rsid w:val="00CC57A9"/>
    <w:rsid w:val="00CD3720"/>
    <w:rsid w:val="00CE57EB"/>
    <w:rsid w:val="00CE6EAA"/>
    <w:rsid w:val="00CF1848"/>
    <w:rsid w:val="00CF5C2F"/>
    <w:rsid w:val="00D03451"/>
    <w:rsid w:val="00D04BCF"/>
    <w:rsid w:val="00D10134"/>
    <w:rsid w:val="00D143D9"/>
    <w:rsid w:val="00D36B31"/>
    <w:rsid w:val="00D4372A"/>
    <w:rsid w:val="00D55FC3"/>
    <w:rsid w:val="00D60BB0"/>
    <w:rsid w:val="00D65708"/>
    <w:rsid w:val="00D6579D"/>
    <w:rsid w:val="00D65FA7"/>
    <w:rsid w:val="00D741BC"/>
    <w:rsid w:val="00D8159F"/>
    <w:rsid w:val="00DA5447"/>
    <w:rsid w:val="00DB227E"/>
    <w:rsid w:val="00DC3496"/>
    <w:rsid w:val="00DD1D04"/>
    <w:rsid w:val="00DD79D7"/>
    <w:rsid w:val="00DF0DB6"/>
    <w:rsid w:val="00DF52AC"/>
    <w:rsid w:val="00E20431"/>
    <w:rsid w:val="00E21CE7"/>
    <w:rsid w:val="00E257C8"/>
    <w:rsid w:val="00E35A2D"/>
    <w:rsid w:val="00E35D6F"/>
    <w:rsid w:val="00E40896"/>
    <w:rsid w:val="00E43D2D"/>
    <w:rsid w:val="00E449CB"/>
    <w:rsid w:val="00E52A8F"/>
    <w:rsid w:val="00E54DF1"/>
    <w:rsid w:val="00E63760"/>
    <w:rsid w:val="00E64049"/>
    <w:rsid w:val="00E83A87"/>
    <w:rsid w:val="00E9773B"/>
    <w:rsid w:val="00EB5F73"/>
    <w:rsid w:val="00EC13A3"/>
    <w:rsid w:val="00EC7C85"/>
    <w:rsid w:val="00ED4B3B"/>
    <w:rsid w:val="00ED69CA"/>
    <w:rsid w:val="00EE35AB"/>
    <w:rsid w:val="00EE621F"/>
    <w:rsid w:val="00EF25A3"/>
    <w:rsid w:val="00F06C56"/>
    <w:rsid w:val="00F125EE"/>
    <w:rsid w:val="00F12E98"/>
    <w:rsid w:val="00F13541"/>
    <w:rsid w:val="00F22029"/>
    <w:rsid w:val="00F227DB"/>
    <w:rsid w:val="00F23E46"/>
    <w:rsid w:val="00F252AA"/>
    <w:rsid w:val="00F3515C"/>
    <w:rsid w:val="00F47BA3"/>
    <w:rsid w:val="00F52E70"/>
    <w:rsid w:val="00F56E67"/>
    <w:rsid w:val="00F630EA"/>
    <w:rsid w:val="00F6474F"/>
    <w:rsid w:val="00F7007E"/>
    <w:rsid w:val="00F73193"/>
    <w:rsid w:val="00F74F95"/>
    <w:rsid w:val="00F80705"/>
    <w:rsid w:val="00F85B1D"/>
    <w:rsid w:val="00F95DBA"/>
    <w:rsid w:val="00FA1481"/>
    <w:rsid w:val="00FB1C42"/>
    <w:rsid w:val="00FB32EC"/>
    <w:rsid w:val="00FB5E24"/>
    <w:rsid w:val="00FC1E18"/>
    <w:rsid w:val="00FF04E3"/>
    <w:rsid w:val="00FF3503"/>
    <w:rsid w:val="00FF42D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CD9F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footnote reference" w:semiHidden="1"/>
    <w:lsdException w:name="annotation reference" w:semiHidden="1"/>
    <w:lsdException w:name="line number" w:semiHidden="1"/>
    <w:lsdException w:name="endnote reference" w:semiHidden="1"/>
    <w:lsdException w:name="Title" w:qFormat="1"/>
    <w:lsdException w:name="Subtitle" w:qFormat="1"/>
    <w:lsdException w:name="FollowedHyperlink" w:semiHidden="1"/>
    <w:lsdException w:name="Strong" w:semiHidden="1" w:uiPriority="22" w:qFormat="1"/>
    <w:lsdException w:name="Emphasis" w:semiHidden="1" w:qFormat="1"/>
    <w:lsdException w:name="Normal (Web)" w:uiPriority="99"/>
    <w:lsdException w:name="HTML Acronym" w:semiHidden="1"/>
    <w:lsdException w:name="HTML Cite" w:semiHidden="1"/>
    <w:lsdException w:name="HTML Code" w:semiHidden="1"/>
    <w:lsdException w:name="HTML Definition" w:semiHidden="1"/>
    <w:lsdException w:name="HTML Keyboard" w:semiHidden="1"/>
    <w:lsdException w:name="HTML Sample" w:semiHidden="1"/>
    <w:lsdException w:name="HTML Typewriter" w:semiHidden="1"/>
    <w:lsdException w:name="HTML Variable" w:semiHidden="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630EA"/>
    <w:rPr>
      <w:sz w:val="24"/>
    </w:rPr>
  </w:style>
  <w:style w:type="paragraph" w:styleId="Heading1">
    <w:name w:val="heading 1"/>
    <w:basedOn w:val="Normal"/>
    <w:next w:val="Normal"/>
    <w:link w:val="Heading1Char"/>
    <w:semiHidden/>
    <w:qFormat/>
    <w:rsid w:val="00B43B31"/>
    <w:pPr>
      <w:keepNext/>
      <w:spacing w:before="240" w:after="60"/>
      <w:outlineLvl w:val="0"/>
    </w:pPr>
    <w:rPr>
      <w:b/>
      <w:bCs/>
      <w:kern w:val="32"/>
      <w:szCs w:val="24"/>
    </w:rPr>
  </w:style>
  <w:style w:type="paragraph" w:styleId="Heading2">
    <w:name w:val="heading 2"/>
    <w:basedOn w:val="Normal"/>
    <w:next w:val="Normal"/>
    <w:link w:val="Heading2Char"/>
    <w:semiHidden/>
    <w:qFormat/>
    <w:rsid w:val="007411A1"/>
    <w:pPr>
      <w:keepNext/>
      <w:spacing w:before="240" w:after="60"/>
      <w:outlineLvl w:val="1"/>
    </w:pPr>
    <w:rPr>
      <w:rFonts w:ascii="Cambria" w:hAnsi="Cambria"/>
      <w:b/>
      <w:bCs/>
      <w:i/>
      <w:iCs/>
      <w:sz w:val="28"/>
      <w:szCs w:val="28"/>
    </w:rPr>
  </w:style>
  <w:style w:type="paragraph" w:styleId="Heading3">
    <w:name w:val="heading 3"/>
    <w:basedOn w:val="Normal"/>
    <w:next w:val="Normal"/>
    <w:semiHidden/>
    <w:qFormat/>
    <w:rsid w:val="00C600D9"/>
    <w:pPr>
      <w:keepNext/>
      <w:spacing w:line="480" w:lineRule="auto"/>
      <w:outlineLvl w:val="2"/>
    </w:pPr>
    <w:rPr>
      <w:rFonts w:ascii="Times" w:eastAsia="Times" w:hAnsi="Times"/>
      <w:b/>
    </w:rPr>
  </w:style>
  <w:style w:type="paragraph" w:styleId="Heading4">
    <w:name w:val="heading 4"/>
    <w:basedOn w:val="Normal"/>
    <w:next w:val="Normal"/>
    <w:semiHidden/>
    <w:qFormat/>
    <w:rsid w:val="00C600D9"/>
    <w:pPr>
      <w:keepNext/>
      <w:spacing w:line="480" w:lineRule="auto"/>
      <w:outlineLvl w:val="3"/>
    </w:pPr>
    <w:rPr>
      <w:rFonts w:ascii="Times" w:hAnsi="Times"/>
      <w:b/>
      <w:color w:val="0000FF"/>
      <w:sz w:val="44"/>
    </w:rPr>
  </w:style>
  <w:style w:type="paragraph" w:styleId="Heading5">
    <w:name w:val="heading 5"/>
    <w:basedOn w:val="Normal"/>
    <w:next w:val="Normal"/>
    <w:link w:val="Heading5Char"/>
    <w:semiHidden/>
    <w:qFormat/>
    <w:rsid w:val="007411A1"/>
    <w:p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qFormat/>
    <w:rsid w:val="007411A1"/>
    <w:pPr>
      <w:spacing w:before="240" w:after="60"/>
      <w:outlineLvl w:val="5"/>
    </w:pPr>
    <w:rPr>
      <w:rFonts w:ascii="Calibri" w:hAnsi="Calibri"/>
      <w:b/>
      <w:bCs/>
      <w:sz w:val="22"/>
      <w:szCs w:val="22"/>
    </w:rPr>
  </w:style>
  <w:style w:type="paragraph" w:styleId="Heading7">
    <w:name w:val="heading 7"/>
    <w:basedOn w:val="Normal"/>
    <w:next w:val="Normal"/>
    <w:link w:val="Heading7Char"/>
    <w:semiHidden/>
    <w:qFormat/>
    <w:rsid w:val="007411A1"/>
    <w:pPr>
      <w:spacing w:before="240" w:after="60"/>
      <w:outlineLvl w:val="6"/>
    </w:pPr>
    <w:rPr>
      <w:rFonts w:ascii="Calibri" w:hAnsi="Calibri"/>
      <w:szCs w:val="24"/>
    </w:rPr>
  </w:style>
  <w:style w:type="paragraph" w:styleId="Heading8">
    <w:name w:val="heading 8"/>
    <w:basedOn w:val="Normal"/>
    <w:next w:val="Normal"/>
    <w:link w:val="Heading8Char"/>
    <w:semiHidden/>
    <w:qFormat/>
    <w:rsid w:val="007411A1"/>
    <w:pPr>
      <w:spacing w:before="240" w:after="60"/>
      <w:outlineLvl w:val="7"/>
    </w:pPr>
    <w:rPr>
      <w:rFonts w:ascii="Calibri" w:hAnsi="Calibri"/>
      <w:i/>
      <w:iCs/>
      <w:szCs w:val="24"/>
    </w:rPr>
  </w:style>
  <w:style w:type="paragraph" w:styleId="Heading9">
    <w:name w:val="heading 9"/>
    <w:basedOn w:val="Normal"/>
    <w:next w:val="Normal"/>
    <w:link w:val="Heading9Char"/>
    <w:semiHidden/>
    <w:qFormat/>
    <w:rsid w:val="007411A1"/>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emiHidden/>
    <w:rsid w:val="00477182"/>
  </w:style>
  <w:style w:type="character" w:customStyle="1" w:styleId="Heading1Char">
    <w:name w:val="Heading 1 Char"/>
    <w:link w:val="Heading1"/>
    <w:semiHidden/>
    <w:rsid w:val="00FF04E3"/>
    <w:rPr>
      <w:b/>
      <w:bCs/>
      <w:kern w:val="32"/>
      <w:sz w:val="24"/>
      <w:szCs w:val="24"/>
    </w:rPr>
  </w:style>
  <w:style w:type="character" w:customStyle="1" w:styleId="Heading2Char">
    <w:name w:val="Heading 2 Char"/>
    <w:link w:val="Heading2"/>
    <w:semiHidden/>
    <w:rsid w:val="00FF04E3"/>
    <w:rPr>
      <w:rFonts w:ascii="Cambria" w:hAnsi="Cambria"/>
      <w:b/>
      <w:bCs/>
      <w:i/>
      <w:iCs/>
      <w:sz w:val="28"/>
      <w:szCs w:val="28"/>
    </w:rPr>
  </w:style>
  <w:style w:type="character" w:customStyle="1" w:styleId="Heading5Char">
    <w:name w:val="Heading 5 Char"/>
    <w:link w:val="Heading5"/>
    <w:semiHidden/>
    <w:rsid w:val="00FF04E3"/>
    <w:rPr>
      <w:rFonts w:ascii="Calibri" w:hAnsi="Calibri"/>
      <w:b/>
      <w:bCs/>
      <w:i/>
      <w:iCs/>
      <w:sz w:val="26"/>
      <w:szCs w:val="26"/>
    </w:rPr>
  </w:style>
  <w:style w:type="character" w:customStyle="1" w:styleId="Heading6Char">
    <w:name w:val="Heading 6 Char"/>
    <w:link w:val="Heading6"/>
    <w:semiHidden/>
    <w:rsid w:val="00FF04E3"/>
    <w:rPr>
      <w:rFonts w:ascii="Calibri" w:hAnsi="Calibri"/>
      <w:b/>
      <w:bCs/>
      <w:sz w:val="22"/>
      <w:szCs w:val="22"/>
    </w:rPr>
  </w:style>
  <w:style w:type="character" w:customStyle="1" w:styleId="Heading7Char">
    <w:name w:val="Heading 7 Char"/>
    <w:link w:val="Heading7"/>
    <w:semiHidden/>
    <w:rsid w:val="00FF04E3"/>
    <w:rPr>
      <w:rFonts w:ascii="Calibri" w:hAnsi="Calibri"/>
      <w:sz w:val="24"/>
      <w:szCs w:val="24"/>
    </w:rPr>
  </w:style>
  <w:style w:type="character" w:customStyle="1" w:styleId="Heading8Char">
    <w:name w:val="Heading 8 Char"/>
    <w:link w:val="Heading8"/>
    <w:semiHidden/>
    <w:rsid w:val="00FF04E3"/>
    <w:rPr>
      <w:rFonts w:ascii="Calibri" w:hAnsi="Calibri"/>
      <w:i/>
      <w:iCs/>
      <w:sz w:val="24"/>
      <w:szCs w:val="24"/>
    </w:rPr>
  </w:style>
  <w:style w:type="character" w:customStyle="1" w:styleId="Heading9Char">
    <w:name w:val="Heading 9 Char"/>
    <w:link w:val="Heading9"/>
    <w:semiHidden/>
    <w:rsid w:val="00FF04E3"/>
    <w:rPr>
      <w:rFonts w:ascii="Cambria" w:hAnsi="Cambria"/>
      <w:sz w:val="22"/>
      <w:szCs w:val="22"/>
    </w:rPr>
  </w:style>
  <w:style w:type="paragraph" w:customStyle="1" w:styleId="SMHeading">
    <w:name w:val="SM Heading"/>
    <w:basedOn w:val="Heading1"/>
    <w:qFormat/>
    <w:rsid w:val="00F74F95"/>
  </w:style>
  <w:style w:type="paragraph" w:customStyle="1" w:styleId="SMSubheading">
    <w:name w:val="SM Subheading"/>
    <w:basedOn w:val="Normal"/>
    <w:qFormat/>
    <w:rsid w:val="00B9440A"/>
    <w:rPr>
      <w:u w:val="words"/>
    </w:rPr>
  </w:style>
  <w:style w:type="paragraph" w:customStyle="1" w:styleId="SMText">
    <w:name w:val="SM Text"/>
    <w:basedOn w:val="Normal"/>
    <w:qFormat/>
    <w:rsid w:val="00B9440A"/>
    <w:pPr>
      <w:ind w:firstLine="480"/>
    </w:pPr>
  </w:style>
  <w:style w:type="paragraph" w:customStyle="1" w:styleId="SMcaption">
    <w:name w:val="SM caption"/>
    <w:basedOn w:val="SMText"/>
    <w:qFormat/>
    <w:rsid w:val="00B9440A"/>
    <w:pPr>
      <w:ind w:firstLine="0"/>
    </w:pPr>
  </w:style>
  <w:style w:type="paragraph" w:styleId="BalloonText">
    <w:name w:val="Balloon Text"/>
    <w:basedOn w:val="Normal"/>
    <w:link w:val="BalloonTextChar"/>
    <w:semiHidden/>
    <w:rsid w:val="00405336"/>
    <w:rPr>
      <w:rFonts w:ascii="Tahoma" w:hAnsi="Tahoma" w:cs="Tahoma"/>
      <w:sz w:val="16"/>
      <w:szCs w:val="16"/>
    </w:rPr>
  </w:style>
  <w:style w:type="character" w:customStyle="1" w:styleId="BalloonTextChar">
    <w:name w:val="Balloon Text Char"/>
    <w:link w:val="BalloonText"/>
    <w:semiHidden/>
    <w:rsid w:val="00FF04E3"/>
    <w:rPr>
      <w:rFonts w:ascii="Tahoma" w:hAnsi="Tahoma" w:cs="Tahoma"/>
      <w:sz w:val="16"/>
      <w:szCs w:val="16"/>
    </w:rPr>
  </w:style>
  <w:style w:type="paragraph" w:styleId="Bibliography">
    <w:name w:val="Bibliography"/>
    <w:basedOn w:val="Normal"/>
    <w:next w:val="Normal"/>
    <w:uiPriority w:val="37"/>
    <w:semiHidden/>
    <w:rsid w:val="00405336"/>
  </w:style>
  <w:style w:type="paragraph" w:styleId="BlockText">
    <w:name w:val="Block Text"/>
    <w:basedOn w:val="Normal"/>
    <w:semiHidden/>
    <w:rsid w:val="00405336"/>
    <w:pPr>
      <w:spacing w:after="120"/>
      <w:ind w:left="1440" w:right="1440"/>
    </w:pPr>
  </w:style>
  <w:style w:type="paragraph" w:styleId="BodyText">
    <w:name w:val="Body Text"/>
    <w:basedOn w:val="Normal"/>
    <w:link w:val="BodyTextChar"/>
    <w:semiHidden/>
    <w:rsid w:val="00405336"/>
    <w:pPr>
      <w:spacing w:after="120"/>
    </w:pPr>
  </w:style>
  <w:style w:type="character" w:customStyle="1" w:styleId="BodyTextChar">
    <w:name w:val="Body Text Char"/>
    <w:link w:val="BodyText"/>
    <w:semiHidden/>
    <w:rsid w:val="00FF04E3"/>
    <w:rPr>
      <w:sz w:val="24"/>
    </w:rPr>
  </w:style>
  <w:style w:type="paragraph" w:styleId="BodyText2">
    <w:name w:val="Body Text 2"/>
    <w:basedOn w:val="Normal"/>
    <w:link w:val="BodyText2Char"/>
    <w:semiHidden/>
    <w:rsid w:val="00405336"/>
    <w:pPr>
      <w:spacing w:after="120" w:line="480" w:lineRule="auto"/>
    </w:pPr>
  </w:style>
  <w:style w:type="character" w:customStyle="1" w:styleId="BodyText2Char">
    <w:name w:val="Body Text 2 Char"/>
    <w:link w:val="BodyText2"/>
    <w:semiHidden/>
    <w:rsid w:val="00FF04E3"/>
    <w:rPr>
      <w:sz w:val="24"/>
    </w:rPr>
  </w:style>
  <w:style w:type="paragraph" w:styleId="BodyText3">
    <w:name w:val="Body Text 3"/>
    <w:basedOn w:val="Normal"/>
    <w:link w:val="BodyText3Char"/>
    <w:semiHidden/>
    <w:rsid w:val="00405336"/>
    <w:pPr>
      <w:spacing w:after="120"/>
    </w:pPr>
    <w:rPr>
      <w:sz w:val="16"/>
      <w:szCs w:val="16"/>
    </w:rPr>
  </w:style>
  <w:style w:type="character" w:customStyle="1" w:styleId="BodyText3Char">
    <w:name w:val="Body Text 3 Char"/>
    <w:link w:val="BodyText3"/>
    <w:semiHidden/>
    <w:rsid w:val="00FF04E3"/>
    <w:rPr>
      <w:sz w:val="16"/>
      <w:szCs w:val="16"/>
    </w:rPr>
  </w:style>
  <w:style w:type="paragraph" w:styleId="BodyTextFirstIndent">
    <w:name w:val="Body Text First Indent"/>
    <w:basedOn w:val="BodyText"/>
    <w:link w:val="BodyTextFirstIndentChar"/>
    <w:semiHidden/>
    <w:rsid w:val="00405336"/>
    <w:pPr>
      <w:ind w:firstLine="210"/>
    </w:pPr>
  </w:style>
  <w:style w:type="character" w:customStyle="1" w:styleId="BodyTextFirstIndentChar">
    <w:name w:val="Body Text First Indent Char"/>
    <w:basedOn w:val="BodyTextChar"/>
    <w:link w:val="BodyTextFirstIndent"/>
    <w:semiHidden/>
    <w:rsid w:val="00FF04E3"/>
    <w:rPr>
      <w:sz w:val="24"/>
    </w:rPr>
  </w:style>
  <w:style w:type="paragraph" w:styleId="BodyTextIndent">
    <w:name w:val="Body Text Indent"/>
    <w:basedOn w:val="Normal"/>
    <w:link w:val="BodyTextIndentChar"/>
    <w:semiHidden/>
    <w:rsid w:val="00405336"/>
    <w:pPr>
      <w:spacing w:after="120"/>
      <w:ind w:left="360"/>
    </w:pPr>
  </w:style>
  <w:style w:type="character" w:customStyle="1" w:styleId="BodyTextIndentChar">
    <w:name w:val="Body Text Indent Char"/>
    <w:link w:val="BodyTextIndent"/>
    <w:semiHidden/>
    <w:rsid w:val="00FF04E3"/>
    <w:rPr>
      <w:sz w:val="24"/>
    </w:rPr>
  </w:style>
  <w:style w:type="paragraph" w:styleId="BodyTextFirstIndent2">
    <w:name w:val="Body Text First Indent 2"/>
    <w:basedOn w:val="BodyTextIndent"/>
    <w:link w:val="BodyTextFirstIndent2Char"/>
    <w:semiHidden/>
    <w:rsid w:val="00405336"/>
    <w:pPr>
      <w:ind w:firstLine="210"/>
    </w:pPr>
  </w:style>
  <w:style w:type="character" w:customStyle="1" w:styleId="BodyTextFirstIndent2Char">
    <w:name w:val="Body Text First Indent 2 Char"/>
    <w:basedOn w:val="BodyTextIndentChar"/>
    <w:link w:val="BodyTextFirstIndent2"/>
    <w:semiHidden/>
    <w:rsid w:val="00FF04E3"/>
    <w:rPr>
      <w:sz w:val="24"/>
    </w:rPr>
  </w:style>
  <w:style w:type="paragraph" w:styleId="BodyTextIndent2">
    <w:name w:val="Body Text Indent 2"/>
    <w:basedOn w:val="Normal"/>
    <w:link w:val="BodyTextIndent2Char"/>
    <w:semiHidden/>
    <w:rsid w:val="00405336"/>
    <w:pPr>
      <w:spacing w:after="120" w:line="480" w:lineRule="auto"/>
      <w:ind w:left="360"/>
    </w:pPr>
  </w:style>
  <w:style w:type="character" w:customStyle="1" w:styleId="BodyTextIndent2Char">
    <w:name w:val="Body Text Indent 2 Char"/>
    <w:link w:val="BodyTextIndent2"/>
    <w:semiHidden/>
    <w:rsid w:val="00FF04E3"/>
    <w:rPr>
      <w:sz w:val="24"/>
    </w:rPr>
  </w:style>
  <w:style w:type="paragraph" w:styleId="BodyTextIndent3">
    <w:name w:val="Body Text Indent 3"/>
    <w:basedOn w:val="Normal"/>
    <w:link w:val="BodyTextIndent3Char"/>
    <w:semiHidden/>
    <w:rsid w:val="00405336"/>
    <w:pPr>
      <w:spacing w:after="120"/>
      <w:ind w:left="360"/>
    </w:pPr>
    <w:rPr>
      <w:sz w:val="16"/>
      <w:szCs w:val="16"/>
    </w:rPr>
  </w:style>
  <w:style w:type="character" w:customStyle="1" w:styleId="BodyTextIndent3Char">
    <w:name w:val="Body Text Indent 3 Char"/>
    <w:link w:val="BodyTextIndent3"/>
    <w:semiHidden/>
    <w:rsid w:val="00FF04E3"/>
    <w:rPr>
      <w:sz w:val="16"/>
      <w:szCs w:val="16"/>
    </w:rPr>
  </w:style>
  <w:style w:type="paragraph" w:styleId="Caption">
    <w:name w:val="caption"/>
    <w:basedOn w:val="Normal"/>
    <w:next w:val="Normal"/>
    <w:semiHidden/>
    <w:qFormat/>
    <w:rsid w:val="00405336"/>
    <w:rPr>
      <w:b/>
      <w:bCs/>
      <w:sz w:val="20"/>
    </w:rPr>
  </w:style>
  <w:style w:type="paragraph" w:styleId="Closing">
    <w:name w:val="Closing"/>
    <w:basedOn w:val="Normal"/>
    <w:link w:val="ClosingChar"/>
    <w:semiHidden/>
    <w:rsid w:val="00405336"/>
    <w:pPr>
      <w:ind w:left="4320"/>
    </w:pPr>
  </w:style>
  <w:style w:type="character" w:customStyle="1" w:styleId="ClosingChar">
    <w:name w:val="Closing Char"/>
    <w:link w:val="Closing"/>
    <w:semiHidden/>
    <w:rsid w:val="00FF04E3"/>
    <w:rPr>
      <w:sz w:val="24"/>
    </w:rPr>
  </w:style>
  <w:style w:type="paragraph" w:styleId="CommentText">
    <w:name w:val="annotation text"/>
    <w:basedOn w:val="Normal"/>
    <w:link w:val="CommentTextChar"/>
    <w:semiHidden/>
    <w:rsid w:val="00405336"/>
    <w:rPr>
      <w:sz w:val="20"/>
    </w:rPr>
  </w:style>
  <w:style w:type="character" w:customStyle="1" w:styleId="CommentTextChar">
    <w:name w:val="Comment Text Char"/>
    <w:basedOn w:val="DefaultParagraphFont"/>
    <w:link w:val="CommentText"/>
    <w:semiHidden/>
    <w:rsid w:val="00FF04E3"/>
  </w:style>
  <w:style w:type="paragraph" w:styleId="CommentSubject">
    <w:name w:val="annotation subject"/>
    <w:basedOn w:val="CommentText"/>
    <w:next w:val="CommentText"/>
    <w:link w:val="CommentSubjectChar"/>
    <w:semiHidden/>
    <w:rsid w:val="00405336"/>
    <w:rPr>
      <w:b/>
      <w:bCs/>
    </w:rPr>
  </w:style>
  <w:style w:type="character" w:customStyle="1" w:styleId="CommentSubjectChar">
    <w:name w:val="Comment Subject Char"/>
    <w:link w:val="CommentSubject"/>
    <w:semiHidden/>
    <w:rsid w:val="00FF04E3"/>
    <w:rPr>
      <w:b/>
      <w:bCs/>
    </w:rPr>
  </w:style>
  <w:style w:type="paragraph" w:styleId="Date">
    <w:name w:val="Date"/>
    <w:basedOn w:val="Normal"/>
    <w:next w:val="Normal"/>
    <w:link w:val="DateChar"/>
    <w:semiHidden/>
    <w:rsid w:val="00405336"/>
  </w:style>
  <w:style w:type="character" w:customStyle="1" w:styleId="DateChar">
    <w:name w:val="Date Char"/>
    <w:link w:val="Date"/>
    <w:semiHidden/>
    <w:rsid w:val="00FF04E3"/>
    <w:rPr>
      <w:sz w:val="24"/>
    </w:rPr>
  </w:style>
  <w:style w:type="paragraph" w:styleId="DocumentMap">
    <w:name w:val="Document Map"/>
    <w:basedOn w:val="Normal"/>
    <w:link w:val="DocumentMapChar"/>
    <w:semiHidden/>
    <w:rsid w:val="00405336"/>
    <w:rPr>
      <w:rFonts w:ascii="Tahoma" w:hAnsi="Tahoma" w:cs="Tahoma"/>
      <w:sz w:val="16"/>
      <w:szCs w:val="16"/>
    </w:rPr>
  </w:style>
  <w:style w:type="character" w:customStyle="1" w:styleId="DocumentMapChar">
    <w:name w:val="Document Map Char"/>
    <w:link w:val="DocumentMap"/>
    <w:semiHidden/>
    <w:rsid w:val="00FF04E3"/>
    <w:rPr>
      <w:rFonts w:ascii="Tahoma" w:hAnsi="Tahoma" w:cs="Tahoma"/>
      <w:sz w:val="16"/>
      <w:szCs w:val="16"/>
    </w:rPr>
  </w:style>
  <w:style w:type="paragraph" w:styleId="E-mailSignature">
    <w:name w:val="E-mail Signature"/>
    <w:basedOn w:val="Normal"/>
    <w:link w:val="E-mailSignatureChar"/>
    <w:semiHidden/>
    <w:rsid w:val="00405336"/>
  </w:style>
  <w:style w:type="character" w:customStyle="1" w:styleId="E-mailSignatureChar">
    <w:name w:val="E-mail Signature Char"/>
    <w:link w:val="E-mailSignature"/>
    <w:semiHidden/>
    <w:rsid w:val="00FF04E3"/>
    <w:rPr>
      <w:sz w:val="24"/>
    </w:rPr>
  </w:style>
  <w:style w:type="paragraph" w:styleId="EndnoteText">
    <w:name w:val="endnote text"/>
    <w:basedOn w:val="Normal"/>
    <w:link w:val="EndnoteTextChar"/>
    <w:semiHidden/>
    <w:rsid w:val="00405336"/>
    <w:rPr>
      <w:sz w:val="20"/>
    </w:rPr>
  </w:style>
  <w:style w:type="character" w:customStyle="1" w:styleId="EndnoteTextChar">
    <w:name w:val="Endnote Text Char"/>
    <w:basedOn w:val="DefaultParagraphFont"/>
    <w:link w:val="EndnoteText"/>
    <w:semiHidden/>
    <w:rsid w:val="00FF04E3"/>
  </w:style>
  <w:style w:type="paragraph" w:styleId="EnvelopeAddress">
    <w:name w:val="envelope address"/>
    <w:basedOn w:val="Normal"/>
    <w:semiHidden/>
    <w:rsid w:val="00405336"/>
    <w:pPr>
      <w:framePr w:w="7920" w:h="1980" w:hRule="exact" w:hSpace="180" w:wrap="auto" w:hAnchor="page" w:xAlign="center" w:yAlign="bottom"/>
      <w:ind w:left="2880"/>
    </w:pPr>
    <w:rPr>
      <w:rFonts w:ascii="Cambria" w:hAnsi="Cambria"/>
      <w:szCs w:val="24"/>
    </w:rPr>
  </w:style>
  <w:style w:type="paragraph" w:styleId="EnvelopeReturn">
    <w:name w:val="envelope return"/>
    <w:basedOn w:val="Normal"/>
    <w:semiHidden/>
    <w:rsid w:val="00405336"/>
    <w:rPr>
      <w:rFonts w:ascii="Cambria" w:hAnsi="Cambria"/>
      <w:sz w:val="20"/>
    </w:rPr>
  </w:style>
  <w:style w:type="paragraph" w:styleId="Footer">
    <w:name w:val="footer"/>
    <w:basedOn w:val="Normal"/>
    <w:link w:val="FooterChar"/>
    <w:semiHidden/>
    <w:rsid w:val="00405336"/>
    <w:pPr>
      <w:tabs>
        <w:tab w:val="center" w:pos="4680"/>
        <w:tab w:val="right" w:pos="9360"/>
      </w:tabs>
    </w:pPr>
  </w:style>
  <w:style w:type="character" w:customStyle="1" w:styleId="FooterChar">
    <w:name w:val="Footer Char"/>
    <w:link w:val="Footer"/>
    <w:semiHidden/>
    <w:rsid w:val="00FF04E3"/>
    <w:rPr>
      <w:sz w:val="24"/>
    </w:rPr>
  </w:style>
  <w:style w:type="paragraph" w:styleId="FootnoteText">
    <w:name w:val="footnote text"/>
    <w:basedOn w:val="Normal"/>
    <w:link w:val="FootnoteTextChar"/>
    <w:semiHidden/>
    <w:rsid w:val="00405336"/>
    <w:rPr>
      <w:sz w:val="20"/>
    </w:rPr>
  </w:style>
  <w:style w:type="character" w:customStyle="1" w:styleId="FootnoteTextChar">
    <w:name w:val="Footnote Text Char"/>
    <w:basedOn w:val="DefaultParagraphFont"/>
    <w:link w:val="FootnoteText"/>
    <w:semiHidden/>
    <w:rsid w:val="00FF04E3"/>
  </w:style>
  <w:style w:type="paragraph" w:styleId="Header">
    <w:name w:val="header"/>
    <w:basedOn w:val="Normal"/>
    <w:link w:val="HeaderChar"/>
    <w:semiHidden/>
    <w:rsid w:val="00405336"/>
    <w:pPr>
      <w:tabs>
        <w:tab w:val="center" w:pos="4680"/>
        <w:tab w:val="right" w:pos="9360"/>
      </w:tabs>
    </w:pPr>
  </w:style>
  <w:style w:type="character" w:customStyle="1" w:styleId="HeaderChar">
    <w:name w:val="Header Char"/>
    <w:link w:val="Header"/>
    <w:semiHidden/>
    <w:rsid w:val="00FF04E3"/>
    <w:rPr>
      <w:sz w:val="24"/>
    </w:rPr>
  </w:style>
  <w:style w:type="paragraph" w:styleId="HTMLAddress">
    <w:name w:val="HTML Address"/>
    <w:basedOn w:val="Normal"/>
    <w:link w:val="HTMLAddressChar"/>
    <w:semiHidden/>
    <w:rsid w:val="00405336"/>
    <w:rPr>
      <w:i/>
      <w:iCs/>
    </w:rPr>
  </w:style>
  <w:style w:type="character" w:customStyle="1" w:styleId="HTMLAddressChar">
    <w:name w:val="HTML Address Char"/>
    <w:link w:val="HTMLAddress"/>
    <w:semiHidden/>
    <w:rsid w:val="00FF04E3"/>
    <w:rPr>
      <w:i/>
      <w:iCs/>
      <w:sz w:val="24"/>
    </w:rPr>
  </w:style>
  <w:style w:type="paragraph" w:styleId="HTMLPreformatted">
    <w:name w:val="HTML Preformatted"/>
    <w:basedOn w:val="Normal"/>
    <w:link w:val="HTMLPreformattedChar"/>
    <w:semiHidden/>
    <w:rsid w:val="00405336"/>
    <w:rPr>
      <w:rFonts w:ascii="Courier New" w:hAnsi="Courier New" w:cs="Courier New"/>
      <w:sz w:val="20"/>
    </w:rPr>
  </w:style>
  <w:style w:type="character" w:customStyle="1" w:styleId="HTMLPreformattedChar">
    <w:name w:val="HTML Preformatted Char"/>
    <w:link w:val="HTMLPreformatted"/>
    <w:semiHidden/>
    <w:rsid w:val="00FF04E3"/>
    <w:rPr>
      <w:rFonts w:ascii="Courier New" w:hAnsi="Courier New" w:cs="Courier New"/>
    </w:rPr>
  </w:style>
  <w:style w:type="paragraph" w:styleId="Index1">
    <w:name w:val="index 1"/>
    <w:basedOn w:val="Normal"/>
    <w:next w:val="Normal"/>
    <w:autoRedefine/>
    <w:semiHidden/>
    <w:rsid w:val="00405336"/>
    <w:pPr>
      <w:ind w:left="240" w:hanging="240"/>
    </w:pPr>
  </w:style>
  <w:style w:type="paragraph" w:styleId="Index2">
    <w:name w:val="index 2"/>
    <w:basedOn w:val="Normal"/>
    <w:next w:val="Normal"/>
    <w:autoRedefine/>
    <w:semiHidden/>
    <w:rsid w:val="00405336"/>
    <w:pPr>
      <w:ind w:left="480" w:hanging="240"/>
    </w:pPr>
  </w:style>
  <w:style w:type="paragraph" w:styleId="Index3">
    <w:name w:val="index 3"/>
    <w:basedOn w:val="Normal"/>
    <w:next w:val="Normal"/>
    <w:autoRedefine/>
    <w:semiHidden/>
    <w:rsid w:val="00405336"/>
    <w:pPr>
      <w:ind w:left="720" w:hanging="240"/>
    </w:pPr>
  </w:style>
  <w:style w:type="paragraph" w:styleId="Index4">
    <w:name w:val="index 4"/>
    <w:basedOn w:val="Normal"/>
    <w:next w:val="Normal"/>
    <w:autoRedefine/>
    <w:semiHidden/>
    <w:rsid w:val="00405336"/>
    <w:pPr>
      <w:ind w:left="960" w:hanging="240"/>
    </w:pPr>
  </w:style>
  <w:style w:type="paragraph" w:styleId="Index5">
    <w:name w:val="index 5"/>
    <w:basedOn w:val="Normal"/>
    <w:next w:val="Normal"/>
    <w:autoRedefine/>
    <w:semiHidden/>
    <w:rsid w:val="00405336"/>
    <w:pPr>
      <w:ind w:left="1200" w:hanging="240"/>
    </w:pPr>
  </w:style>
  <w:style w:type="paragraph" w:styleId="Index6">
    <w:name w:val="index 6"/>
    <w:basedOn w:val="Normal"/>
    <w:next w:val="Normal"/>
    <w:autoRedefine/>
    <w:semiHidden/>
    <w:rsid w:val="00405336"/>
    <w:pPr>
      <w:ind w:left="1440" w:hanging="240"/>
    </w:pPr>
  </w:style>
  <w:style w:type="paragraph" w:styleId="Index7">
    <w:name w:val="index 7"/>
    <w:basedOn w:val="Normal"/>
    <w:next w:val="Normal"/>
    <w:autoRedefine/>
    <w:semiHidden/>
    <w:rsid w:val="00405336"/>
    <w:pPr>
      <w:ind w:left="1680" w:hanging="240"/>
    </w:pPr>
  </w:style>
  <w:style w:type="paragraph" w:styleId="Index8">
    <w:name w:val="index 8"/>
    <w:basedOn w:val="Normal"/>
    <w:next w:val="Normal"/>
    <w:autoRedefine/>
    <w:semiHidden/>
    <w:rsid w:val="00405336"/>
    <w:pPr>
      <w:ind w:left="1920" w:hanging="240"/>
    </w:pPr>
  </w:style>
  <w:style w:type="paragraph" w:styleId="Index9">
    <w:name w:val="index 9"/>
    <w:basedOn w:val="Normal"/>
    <w:next w:val="Normal"/>
    <w:autoRedefine/>
    <w:semiHidden/>
    <w:rsid w:val="00405336"/>
    <w:pPr>
      <w:ind w:left="2160" w:hanging="240"/>
    </w:pPr>
  </w:style>
  <w:style w:type="paragraph" w:styleId="IndexHeading">
    <w:name w:val="index heading"/>
    <w:basedOn w:val="Normal"/>
    <w:next w:val="Index1"/>
    <w:semiHidden/>
    <w:rsid w:val="00405336"/>
    <w:rPr>
      <w:rFonts w:ascii="Cambria" w:hAnsi="Cambria"/>
      <w:b/>
      <w:bCs/>
    </w:rPr>
  </w:style>
  <w:style w:type="paragraph" w:styleId="IntenseQuote">
    <w:name w:val="Intense Quote"/>
    <w:basedOn w:val="Normal"/>
    <w:next w:val="Normal"/>
    <w:link w:val="IntenseQuoteChar"/>
    <w:uiPriority w:val="30"/>
    <w:semiHidden/>
    <w:qFormat/>
    <w:rsid w:val="00405336"/>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semiHidden/>
    <w:rsid w:val="00FF04E3"/>
    <w:rPr>
      <w:b/>
      <w:bCs/>
      <w:i/>
      <w:iCs/>
      <w:color w:val="4F81BD"/>
      <w:sz w:val="24"/>
    </w:rPr>
  </w:style>
  <w:style w:type="paragraph" w:styleId="List">
    <w:name w:val="List"/>
    <w:basedOn w:val="Normal"/>
    <w:semiHidden/>
    <w:rsid w:val="00405336"/>
    <w:pPr>
      <w:ind w:left="360" w:hanging="360"/>
      <w:contextualSpacing/>
    </w:pPr>
  </w:style>
  <w:style w:type="paragraph" w:styleId="List2">
    <w:name w:val="List 2"/>
    <w:basedOn w:val="Normal"/>
    <w:semiHidden/>
    <w:rsid w:val="00405336"/>
    <w:pPr>
      <w:ind w:left="720" w:hanging="360"/>
      <w:contextualSpacing/>
    </w:pPr>
  </w:style>
  <w:style w:type="paragraph" w:styleId="List3">
    <w:name w:val="List 3"/>
    <w:basedOn w:val="Normal"/>
    <w:semiHidden/>
    <w:rsid w:val="00405336"/>
    <w:pPr>
      <w:ind w:left="1080" w:hanging="360"/>
      <w:contextualSpacing/>
    </w:pPr>
  </w:style>
  <w:style w:type="paragraph" w:styleId="List4">
    <w:name w:val="List 4"/>
    <w:basedOn w:val="Normal"/>
    <w:semiHidden/>
    <w:rsid w:val="00405336"/>
    <w:pPr>
      <w:ind w:left="1440" w:hanging="360"/>
      <w:contextualSpacing/>
    </w:pPr>
  </w:style>
  <w:style w:type="paragraph" w:styleId="List5">
    <w:name w:val="List 5"/>
    <w:basedOn w:val="Normal"/>
    <w:semiHidden/>
    <w:rsid w:val="00405336"/>
    <w:pPr>
      <w:ind w:left="1800" w:hanging="360"/>
      <w:contextualSpacing/>
    </w:pPr>
  </w:style>
  <w:style w:type="paragraph" w:styleId="ListBullet">
    <w:name w:val="List Bullet"/>
    <w:basedOn w:val="Normal"/>
    <w:semiHidden/>
    <w:rsid w:val="00405336"/>
    <w:pPr>
      <w:numPr>
        <w:numId w:val="1"/>
      </w:numPr>
      <w:contextualSpacing/>
    </w:pPr>
  </w:style>
  <w:style w:type="paragraph" w:styleId="ListBullet2">
    <w:name w:val="List Bullet 2"/>
    <w:basedOn w:val="Normal"/>
    <w:semiHidden/>
    <w:rsid w:val="00405336"/>
    <w:pPr>
      <w:numPr>
        <w:numId w:val="2"/>
      </w:numPr>
      <w:contextualSpacing/>
    </w:pPr>
  </w:style>
  <w:style w:type="paragraph" w:styleId="ListBullet3">
    <w:name w:val="List Bullet 3"/>
    <w:basedOn w:val="Normal"/>
    <w:semiHidden/>
    <w:rsid w:val="00405336"/>
    <w:pPr>
      <w:numPr>
        <w:numId w:val="3"/>
      </w:numPr>
      <w:contextualSpacing/>
    </w:pPr>
  </w:style>
  <w:style w:type="paragraph" w:styleId="ListBullet4">
    <w:name w:val="List Bullet 4"/>
    <w:basedOn w:val="Normal"/>
    <w:semiHidden/>
    <w:rsid w:val="00405336"/>
    <w:pPr>
      <w:numPr>
        <w:numId w:val="4"/>
      </w:numPr>
      <w:contextualSpacing/>
    </w:pPr>
  </w:style>
  <w:style w:type="paragraph" w:styleId="ListBullet5">
    <w:name w:val="List Bullet 5"/>
    <w:basedOn w:val="Normal"/>
    <w:semiHidden/>
    <w:rsid w:val="00405336"/>
    <w:pPr>
      <w:numPr>
        <w:numId w:val="5"/>
      </w:numPr>
      <w:contextualSpacing/>
    </w:pPr>
  </w:style>
  <w:style w:type="paragraph" w:styleId="ListContinue">
    <w:name w:val="List Continue"/>
    <w:basedOn w:val="Normal"/>
    <w:semiHidden/>
    <w:rsid w:val="00405336"/>
    <w:pPr>
      <w:spacing w:after="120"/>
      <w:ind w:left="360"/>
      <w:contextualSpacing/>
    </w:pPr>
  </w:style>
  <w:style w:type="paragraph" w:styleId="ListContinue2">
    <w:name w:val="List Continue 2"/>
    <w:basedOn w:val="Normal"/>
    <w:semiHidden/>
    <w:rsid w:val="00405336"/>
    <w:pPr>
      <w:spacing w:after="120"/>
      <w:ind w:left="720"/>
      <w:contextualSpacing/>
    </w:pPr>
  </w:style>
  <w:style w:type="paragraph" w:styleId="ListContinue3">
    <w:name w:val="List Continue 3"/>
    <w:basedOn w:val="Normal"/>
    <w:semiHidden/>
    <w:rsid w:val="00405336"/>
    <w:pPr>
      <w:spacing w:after="120"/>
      <w:ind w:left="1080"/>
      <w:contextualSpacing/>
    </w:pPr>
  </w:style>
  <w:style w:type="paragraph" w:styleId="ListContinue4">
    <w:name w:val="List Continue 4"/>
    <w:basedOn w:val="Normal"/>
    <w:semiHidden/>
    <w:rsid w:val="00405336"/>
    <w:pPr>
      <w:spacing w:after="120"/>
      <w:ind w:left="1440"/>
      <w:contextualSpacing/>
    </w:pPr>
  </w:style>
  <w:style w:type="paragraph" w:styleId="ListContinue5">
    <w:name w:val="List Continue 5"/>
    <w:basedOn w:val="Normal"/>
    <w:semiHidden/>
    <w:rsid w:val="00405336"/>
    <w:pPr>
      <w:spacing w:after="120"/>
      <w:ind w:left="1800"/>
      <w:contextualSpacing/>
    </w:pPr>
  </w:style>
  <w:style w:type="paragraph" w:styleId="ListNumber">
    <w:name w:val="List Number"/>
    <w:basedOn w:val="Normal"/>
    <w:semiHidden/>
    <w:rsid w:val="00405336"/>
    <w:pPr>
      <w:numPr>
        <w:numId w:val="6"/>
      </w:numPr>
      <w:contextualSpacing/>
    </w:pPr>
  </w:style>
  <w:style w:type="paragraph" w:styleId="ListNumber2">
    <w:name w:val="List Number 2"/>
    <w:basedOn w:val="Normal"/>
    <w:semiHidden/>
    <w:rsid w:val="00405336"/>
    <w:pPr>
      <w:numPr>
        <w:numId w:val="7"/>
      </w:numPr>
      <w:contextualSpacing/>
    </w:pPr>
  </w:style>
  <w:style w:type="paragraph" w:styleId="ListNumber3">
    <w:name w:val="List Number 3"/>
    <w:basedOn w:val="Normal"/>
    <w:semiHidden/>
    <w:rsid w:val="00405336"/>
    <w:pPr>
      <w:numPr>
        <w:numId w:val="8"/>
      </w:numPr>
      <w:contextualSpacing/>
    </w:pPr>
  </w:style>
  <w:style w:type="paragraph" w:styleId="ListNumber4">
    <w:name w:val="List Number 4"/>
    <w:basedOn w:val="Normal"/>
    <w:semiHidden/>
    <w:rsid w:val="00405336"/>
    <w:pPr>
      <w:numPr>
        <w:numId w:val="9"/>
      </w:numPr>
      <w:contextualSpacing/>
    </w:pPr>
  </w:style>
  <w:style w:type="paragraph" w:styleId="ListNumber5">
    <w:name w:val="List Number 5"/>
    <w:basedOn w:val="Normal"/>
    <w:semiHidden/>
    <w:rsid w:val="00405336"/>
    <w:pPr>
      <w:numPr>
        <w:numId w:val="10"/>
      </w:numPr>
      <w:contextualSpacing/>
    </w:pPr>
  </w:style>
  <w:style w:type="paragraph" w:styleId="ListParagraph">
    <w:name w:val="List Paragraph"/>
    <w:basedOn w:val="Normal"/>
    <w:uiPriority w:val="34"/>
    <w:semiHidden/>
    <w:qFormat/>
    <w:rsid w:val="00405336"/>
    <w:pPr>
      <w:ind w:left="720"/>
    </w:pPr>
  </w:style>
  <w:style w:type="paragraph" w:styleId="MacroText">
    <w:name w:val="macro"/>
    <w:link w:val="MacroTextChar"/>
    <w:semiHidden/>
    <w:rsid w:val="00405336"/>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link w:val="MacroText"/>
    <w:semiHidden/>
    <w:rsid w:val="00FF04E3"/>
    <w:rPr>
      <w:rFonts w:ascii="Courier New" w:hAnsi="Courier New" w:cs="Courier New"/>
      <w:lang w:val="en-US" w:eastAsia="en-US" w:bidi="ar-SA"/>
    </w:rPr>
  </w:style>
  <w:style w:type="paragraph" w:styleId="MessageHeader">
    <w:name w:val="Message Header"/>
    <w:basedOn w:val="Normal"/>
    <w:link w:val="MessageHeaderChar"/>
    <w:semiHidden/>
    <w:rsid w:val="0040533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Cs w:val="24"/>
    </w:rPr>
  </w:style>
  <w:style w:type="character" w:customStyle="1" w:styleId="MessageHeaderChar">
    <w:name w:val="Message Header Char"/>
    <w:link w:val="MessageHeader"/>
    <w:semiHidden/>
    <w:rsid w:val="00FF04E3"/>
    <w:rPr>
      <w:rFonts w:ascii="Cambria" w:hAnsi="Cambria"/>
      <w:sz w:val="24"/>
      <w:szCs w:val="24"/>
      <w:shd w:val="pct20" w:color="auto" w:fill="auto"/>
    </w:rPr>
  </w:style>
  <w:style w:type="paragraph" w:styleId="NoSpacing">
    <w:name w:val="No Spacing"/>
    <w:uiPriority w:val="1"/>
    <w:semiHidden/>
    <w:qFormat/>
    <w:rsid w:val="00405336"/>
    <w:rPr>
      <w:sz w:val="24"/>
    </w:rPr>
  </w:style>
  <w:style w:type="paragraph" w:styleId="NormalWeb">
    <w:name w:val="Normal (Web)"/>
    <w:basedOn w:val="Normal"/>
    <w:uiPriority w:val="99"/>
    <w:semiHidden/>
    <w:rsid w:val="00405336"/>
    <w:rPr>
      <w:szCs w:val="24"/>
    </w:rPr>
  </w:style>
  <w:style w:type="paragraph" w:styleId="NormalIndent">
    <w:name w:val="Normal Indent"/>
    <w:basedOn w:val="Normal"/>
    <w:semiHidden/>
    <w:rsid w:val="00405336"/>
    <w:pPr>
      <w:ind w:left="720"/>
    </w:pPr>
  </w:style>
  <w:style w:type="paragraph" w:styleId="NoteHeading">
    <w:name w:val="Note Heading"/>
    <w:basedOn w:val="Normal"/>
    <w:next w:val="Normal"/>
    <w:link w:val="NoteHeadingChar"/>
    <w:semiHidden/>
    <w:rsid w:val="00405336"/>
  </w:style>
  <w:style w:type="character" w:customStyle="1" w:styleId="NoteHeadingChar">
    <w:name w:val="Note Heading Char"/>
    <w:link w:val="NoteHeading"/>
    <w:semiHidden/>
    <w:rsid w:val="00FF04E3"/>
    <w:rPr>
      <w:sz w:val="24"/>
    </w:rPr>
  </w:style>
  <w:style w:type="paragraph" w:styleId="PlainText">
    <w:name w:val="Plain Text"/>
    <w:basedOn w:val="Normal"/>
    <w:link w:val="PlainTextChar"/>
    <w:semiHidden/>
    <w:rsid w:val="00405336"/>
    <w:rPr>
      <w:rFonts w:ascii="Courier New" w:hAnsi="Courier New" w:cs="Courier New"/>
      <w:sz w:val="20"/>
    </w:rPr>
  </w:style>
  <w:style w:type="character" w:customStyle="1" w:styleId="PlainTextChar">
    <w:name w:val="Plain Text Char"/>
    <w:link w:val="PlainText"/>
    <w:semiHidden/>
    <w:rsid w:val="00FF04E3"/>
    <w:rPr>
      <w:rFonts w:ascii="Courier New" w:hAnsi="Courier New" w:cs="Courier New"/>
    </w:rPr>
  </w:style>
  <w:style w:type="paragraph" w:styleId="Quote">
    <w:name w:val="Quote"/>
    <w:basedOn w:val="Normal"/>
    <w:next w:val="Normal"/>
    <w:link w:val="QuoteChar"/>
    <w:uiPriority w:val="29"/>
    <w:semiHidden/>
    <w:qFormat/>
    <w:rsid w:val="00405336"/>
    <w:rPr>
      <w:i/>
      <w:iCs/>
      <w:color w:val="000000"/>
    </w:rPr>
  </w:style>
  <w:style w:type="character" w:customStyle="1" w:styleId="QuoteChar">
    <w:name w:val="Quote Char"/>
    <w:link w:val="Quote"/>
    <w:uiPriority w:val="29"/>
    <w:semiHidden/>
    <w:rsid w:val="00FF04E3"/>
    <w:rPr>
      <w:i/>
      <w:iCs/>
      <w:color w:val="000000"/>
      <w:sz w:val="24"/>
    </w:rPr>
  </w:style>
  <w:style w:type="paragraph" w:styleId="Salutation">
    <w:name w:val="Salutation"/>
    <w:basedOn w:val="Normal"/>
    <w:next w:val="Normal"/>
    <w:link w:val="SalutationChar"/>
    <w:semiHidden/>
    <w:rsid w:val="00405336"/>
  </w:style>
  <w:style w:type="character" w:customStyle="1" w:styleId="SalutationChar">
    <w:name w:val="Salutation Char"/>
    <w:link w:val="Salutation"/>
    <w:semiHidden/>
    <w:rsid w:val="00FF04E3"/>
    <w:rPr>
      <w:sz w:val="24"/>
    </w:rPr>
  </w:style>
  <w:style w:type="paragraph" w:styleId="Signature">
    <w:name w:val="Signature"/>
    <w:basedOn w:val="Normal"/>
    <w:link w:val="SignatureChar"/>
    <w:semiHidden/>
    <w:rsid w:val="00405336"/>
    <w:pPr>
      <w:ind w:left="4320"/>
    </w:pPr>
  </w:style>
  <w:style w:type="character" w:customStyle="1" w:styleId="SignatureChar">
    <w:name w:val="Signature Char"/>
    <w:link w:val="Signature"/>
    <w:semiHidden/>
    <w:rsid w:val="00FF04E3"/>
    <w:rPr>
      <w:sz w:val="24"/>
    </w:rPr>
  </w:style>
  <w:style w:type="paragraph" w:styleId="Subtitle">
    <w:name w:val="Subtitle"/>
    <w:basedOn w:val="Normal"/>
    <w:next w:val="Normal"/>
    <w:link w:val="SubtitleChar"/>
    <w:semiHidden/>
    <w:qFormat/>
    <w:rsid w:val="00405336"/>
    <w:pPr>
      <w:spacing w:after="60"/>
      <w:jc w:val="center"/>
      <w:outlineLvl w:val="1"/>
    </w:pPr>
    <w:rPr>
      <w:rFonts w:ascii="Cambria" w:hAnsi="Cambria"/>
      <w:szCs w:val="24"/>
    </w:rPr>
  </w:style>
  <w:style w:type="character" w:customStyle="1" w:styleId="SubtitleChar">
    <w:name w:val="Subtitle Char"/>
    <w:link w:val="Subtitle"/>
    <w:semiHidden/>
    <w:rsid w:val="00FF04E3"/>
    <w:rPr>
      <w:rFonts w:ascii="Cambria" w:hAnsi="Cambria"/>
      <w:sz w:val="24"/>
      <w:szCs w:val="24"/>
    </w:rPr>
  </w:style>
  <w:style w:type="paragraph" w:styleId="TableofAuthorities">
    <w:name w:val="table of authorities"/>
    <w:basedOn w:val="Normal"/>
    <w:next w:val="Normal"/>
    <w:semiHidden/>
    <w:rsid w:val="00405336"/>
    <w:pPr>
      <w:ind w:left="240" w:hanging="240"/>
    </w:pPr>
  </w:style>
  <w:style w:type="paragraph" w:styleId="TableofFigures">
    <w:name w:val="table of figures"/>
    <w:basedOn w:val="Normal"/>
    <w:next w:val="Normal"/>
    <w:semiHidden/>
    <w:rsid w:val="00405336"/>
  </w:style>
  <w:style w:type="paragraph" w:styleId="Title">
    <w:name w:val="Title"/>
    <w:basedOn w:val="Normal"/>
    <w:next w:val="Normal"/>
    <w:link w:val="TitleChar"/>
    <w:semiHidden/>
    <w:qFormat/>
    <w:rsid w:val="00405336"/>
    <w:pPr>
      <w:spacing w:before="240" w:after="60"/>
      <w:jc w:val="center"/>
      <w:outlineLvl w:val="0"/>
    </w:pPr>
    <w:rPr>
      <w:rFonts w:ascii="Cambria" w:hAnsi="Cambria"/>
      <w:b/>
      <w:bCs/>
      <w:kern w:val="28"/>
      <w:sz w:val="32"/>
      <w:szCs w:val="32"/>
    </w:rPr>
  </w:style>
  <w:style w:type="character" w:customStyle="1" w:styleId="TitleChar">
    <w:name w:val="Title Char"/>
    <w:link w:val="Title"/>
    <w:semiHidden/>
    <w:rsid w:val="00FF04E3"/>
    <w:rPr>
      <w:rFonts w:ascii="Cambria" w:hAnsi="Cambria"/>
      <w:b/>
      <w:bCs/>
      <w:kern w:val="28"/>
      <w:sz w:val="32"/>
      <w:szCs w:val="32"/>
    </w:rPr>
  </w:style>
  <w:style w:type="paragraph" w:styleId="TOAHeading">
    <w:name w:val="toa heading"/>
    <w:basedOn w:val="Normal"/>
    <w:next w:val="Normal"/>
    <w:semiHidden/>
    <w:rsid w:val="00405336"/>
    <w:pPr>
      <w:spacing w:before="120"/>
    </w:pPr>
    <w:rPr>
      <w:rFonts w:ascii="Cambria" w:hAnsi="Cambria"/>
      <w:b/>
      <w:bCs/>
      <w:szCs w:val="24"/>
    </w:rPr>
  </w:style>
  <w:style w:type="paragraph" w:styleId="TOC1">
    <w:name w:val="toc 1"/>
    <w:basedOn w:val="Normal"/>
    <w:next w:val="Normal"/>
    <w:autoRedefine/>
    <w:semiHidden/>
    <w:rsid w:val="00405336"/>
  </w:style>
  <w:style w:type="paragraph" w:styleId="TOC2">
    <w:name w:val="toc 2"/>
    <w:basedOn w:val="Normal"/>
    <w:next w:val="Normal"/>
    <w:autoRedefine/>
    <w:semiHidden/>
    <w:rsid w:val="00405336"/>
    <w:pPr>
      <w:ind w:left="240"/>
    </w:pPr>
  </w:style>
  <w:style w:type="paragraph" w:styleId="TOC3">
    <w:name w:val="toc 3"/>
    <w:basedOn w:val="Normal"/>
    <w:next w:val="Normal"/>
    <w:autoRedefine/>
    <w:semiHidden/>
    <w:rsid w:val="00405336"/>
    <w:pPr>
      <w:ind w:left="480"/>
    </w:pPr>
  </w:style>
  <w:style w:type="paragraph" w:styleId="TOC4">
    <w:name w:val="toc 4"/>
    <w:basedOn w:val="Normal"/>
    <w:next w:val="Normal"/>
    <w:autoRedefine/>
    <w:semiHidden/>
    <w:rsid w:val="00405336"/>
    <w:pPr>
      <w:ind w:left="720"/>
    </w:pPr>
  </w:style>
  <w:style w:type="paragraph" w:styleId="TOC5">
    <w:name w:val="toc 5"/>
    <w:basedOn w:val="Normal"/>
    <w:next w:val="Normal"/>
    <w:autoRedefine/>
    <w:semiHidden/>
    <w:rsid w:val="00405336"/>
    <w:pPr>
      <w:ind w:left="960"/>
    </w:pPr>
  </w:style>
  <w:style w:type="paragraph" w:styleId="TOC6">
    <w:name w:val="toc 6"/>
    <w:basedOn w:val="Normal"/>
    <w:next w:val="Normal"/>
    <w:autoRedefine/>
    <w:semiHidden/>
    <w:rsid w:val="00405336"/>
    <w:pPr>
      <w:ind w:left="1200"/>
    </w:pPr>
  </w:style>
  <w:style w:type="paragraph" w:styleId="TOC7">
    <w:name w:val="toc 7"/>
    <w:basedOn w:val="Normal"/>
    <w:next w:val="Normal"/>
    <w:autoRedefine/>
    <w:semiHidden/>
    <w:rsid w:val="00405336"/>
    <w:pPr>
      <w:ind w:left="1440"/>
    </w:pPr>
  </w:style>
  <w:style w:type="paragraph" w:styleId="TOC8">
    <w:name w:val="toc 8"/>
    <w:basedOn w:val="Normal"/>
    <w:next w:val="Normal"/>
    <w:autoRedefine/>
    <w:semiHidden/>
    <w:rsid w:val="00405336"/>
    <w:pPr>
      <w:ind w:left="1680"/>
    </w:pPr>
  </w:style>
  <w:style w:type="paragraph" w:styleId="TOC9">
    <w:name w:val="toc 9"/>
    <w:basedOn w:val="Normal"/>
    <w:next w:val="Normal"/>
    <w:autoRedefine/>
    <w:semiHidden/>
    <w:rsid w:val="00405336"/>
    <w:pPr>
      <w:ind w:left="1920"/>
    </w:pPr>
  </w:style>
  <w:style w:type="paragraph" w:styleId="TOCHeading">
    <w:name w:val="TOC Heading"/>
    <w:basedOn w:val="Heading1"/>
    <w:next w:val="Normal"/>
    <w:uiPriority w:val="39"/>
    <w:semiHidden/>
    <w:unhideWhenUsed/>
    <w:qFormat/>
    <w:rsid w:val="00405336"/>
    <w:pPr>
      <w:outlineLvl w:val="9"/>
    </w:pPr>
    <w:rPr>
      <w:rFonts w:ascii="Cambria" w:hAnsi="Cambria"/>
      <w:sz w:val="32"/>
      <w:szCs w:val="32"/>
    </w:rPr>
  </w:style>
  <w:style w:type="character" w:styleId="Hyperlink">
    <w:name w:val="Hyperlink"/>
    <w:semiHidden/>
    <w:rsid w:val="007402FC"/>
    <w:rPr>
      <w:color w:val="0000FF"/>
      <w:u w:val="single"/>
    </w:rPr>
  </w:style>
  <w:style w:type="paragraph" w:customStyle="1" w:styleId="body-copy-normal">
    <w:name w:val="body-copy-normal"/>
    <w:basedOn w:val="Normal"/>
    <w:rsid w:val="00FF3503"/>
    <w:pPr>
      <w:spacing w:before="100" w:beforeAutospacing="1" w:after="100" w:afterAutospacing="1"/>
    </w:pPr>
    <w:rPr>
      <w:szCs w:val="24"/>
    </w:rPr>
  </w:style>
  <w:style w:type="paragraph" w:customStyle="1" w:styleId="body-copy-ndent">
    <w:name w:val="body-copy-ndent"/>
    <w:basedOn w:val="Normal"/>
    <w:rsid w:val="00FF3503"/>
    <w:pPr>
      <w:spacing w:before="100" w:beforeAutospacing="1" w:after="100" w:afterAutospacing="1"/>
    </w:pPr>
    <w:rPr>
      <w:szCs w:val="24"/>
    </w:rPr>
  </w:style>
  <w:style w:type="character" w:styleId="Strong">
    <w:name w:val="Strong"/>
    <w:uiPriority w:val="22"/>
    <w:qFormat/>
    <w:rsid w:val="00FF3503"/>
    <w:rPr>
      <w:b/>
      <w:bCs/>
    </w:rPr>
  </w:style>
  <w:style w:type="character" w:styleId="CommentReference">
    <w:name w:val="annotation reference"/>
    <w:semiHidden/>
    <w:rsid w:val="002800B6"/>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footnote reference" w:semiHidden="1"/>
    <w:lsdException w:name="annotation reference" w:semiHidden="1"/>
    <w:lsdException w:name="line number" w:semiHidden="1"/>
    <w:lsdException w:name="endnote reference" w:semiHidden="1"/>
    <w:lsdException w:name="Title" w:qFormat="1"/>
    <w:lsdException w:name="Subtitle" w:qFormat="1"/>
    <w:lsdException w:name="FollowedHyperlink" w:semiHidden="1"/>
    <w:lsdException w:name="Strong" w:semiHidden="1" w:uiPriority="22" w:qFormat="1"/>
    <w:lsdException w:name="Emphasis" w:semiHidden="1" w:qFormat="1"/>
    <w:lsdException w:name="Normal (Web)" w:uiPriority="99"/>
    <w:lsdException w:name="HTML Acronym" w:semiHidden="1"/>
    <w:lsdException w:name="HTML Cite" w:semiHidden="1"/>
    <w:lsdException w:name="HTML Code" w:semiHidden="1"/>
    <w:lsdException w:name="HTML Definition" w:semiHidden="1"/>
    <w:lsdException w:name="HTML Keyboard" w:semiHidden="1"/>
    <w:lsdException w:name="HTML Sample" w:semiHidden="1"/>
    <w:lsdException w:name="HTML Typewriter" w:semiHidden="1"/>
    <w:lsdException w:name="HTML Variable" w:semiHidden="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630EA"/>
    <w:rPr>
      <w:sz w:val="24"/>
    </w:rPr>
  </w:style>
  <w:style w:type="paragraph" w:styleId="Heading1">
    <w:name w:val="heading 1"/>
    <w:basedOn w:val="Normal"/>
    <w:next w:val="Normal"/>
    <w:link w:val="Heading1Char"/>
    <w:semiHidden/>
    <w:qFormat/>
    <w:rsid w:val="00B43B31"/>
    <w:pPr>
      <w:keepNext/>
      <w:spacing w:before="240" w:after="60"/>
      <w:outlineLvl w:val="0"/>
    </w:pPr>
    <w:rPr>
      <w:b/>
      <w:bCs/>
      <w:kern w:val="32"/>
      <w:szCs w:val="24"/>
    </w:rPr>
  </w:style>
  <w:style w:type="paragraph" w:styleId="Heading2">
    <w:name w:val="heading 2"/>
    <w:basedOn w:val="Normal"/>
    <w:next w:val="Normal"/>
    <w:link w:val="Heading2Char"/>
    <w:semiHidden/>
    <w:qFormat/>
    <w:rsid w:val="007411A1"/>
    <w:pPr>
      <w:keepNext/>
      <w:spacing w:before="240" w:after="60"/>
      <w:outlineLvl w:val="1"/>
    </w:pPr>
    <w:rPr>
      <w:rFonts w:ascii="Cambria" w:hAnsi="Cambria"/>
      <w:b/>
      <w:bCs/>
      <w:i/>
      <w:iCs/>
      <w:sz w:val="28"/>
      <w:szCs w:val="28"/>
    </w:rPr>
  </w:style>
  <w:style w:type="paragraph" w:styleId="Heading3">
    <w:name w:val="heading 3"/>
    <w:basedOn w:val="Normal"/>
    <w:next w:val="Normal"/>
    <w:semiHidden/>
    <w:qFormat/>
    <w:rsid w:val="00C600D9"/>
    <w:pPr>
      <w:keepNext/>
      <w:spacing w:line="480" w:lineRule="auto"/>
      <w:outlineLvl w:val="2"/>
    </w:pPr>
    <w:rPr>
      <w:rFonts w:ascii="Times" w:eastAsia="Times" w:hAnsi="Times"/>
      <w:b/>
    </w:rPr>
  </w:style>
  <w:style w:type="paragraph" w:styleId="Heading4">
    <w:name w:val="heading 4"/>
    <w:basedOn w:val="Normal"/>
    <w:next w:val="Normal"/>
    <w:semiHidden/>
    <w:qFormat/>
    <w:rsid w:val="00C600D9"/>
    <w:pPr>
      <w:keepNext/>
      <w:spacing w:line="480" w:lineRule="auto"/>
      <w:outlineLvl w:val="3"/>
    </w:pPr>
    <w:rPr>
      <w:rFonts w:ascii="Times" w:hAnsi="Times"/>
      <w:b/>
      <w:color w:val="0000FF"/>
      <w:sz w:val="44"/>
    </w:rPr>
  </w:style>
  <w:style w:type="paragraph" w:styleId="Heading5">
    <w:name w:val="heading 5"/>
    <w:basedOn w:val="Normal"/>
    <w:next w:val="Normal"/>
    <w:link w:val="Heading5Char"/>
    <w:semiHidden/>
    <w:qFormat/>
    <w:rsid w:val="007411A1"/>
    <w:p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qFormat/>
    <w:rsid w:val="007411A1"/>
    <w:pPr>
      <w:spacing w:before="240" w:after="60"/>
      <w:outlineLvl w:val="5"/>
    </w:pPr>
    <w:rPr>
      <w:rFonts w:ascii="Calibri" w:hAnsi="Calibri"/>
      <w:b/>
      <w:bCs/>
      <w:sz w:val="22"/>
      <w:szCs w:val="22"/>
    </w:rPr>
  </w:style>
  <w:style w:type="paragraph" w:styleId="Heading7">
    <w:name w:val="heading 7"/>
    <w:basedOn w:val="Normal"/>
    <w:next w:val="Normal"/>
    <w:link w:val="Heading7Char"/>
    <w:semiHidden/>
    <w:qFormat/>
    <w:rsid w:val="007411A1"/>
    <w:pPr>
      <w:spacing w:before="240" w:after="60"/>
      <w:outlineLvl w:val="6"/>
    </w:pPr>
    <w:rPr>
      <w:rFonts w:ascii="Calibri" w:hAnsi="Calibri"/>
      <w:szCs w:val="24"/>
    </w:rPr>
  </w:style>
  <w:style w:type="paragraph" w:styleId="Heading8">
    <w:name w:val="heading 8"/>
    <w:basedOn w:val="Normal"/>
    <w:next w:val="Normal"/>
    <w:link w:val="Heading8Char"/>
    <w:semiHidden/>
    <w:qFormat/>
    <w:rsid w:val="007411A1"/>
    <w:pPr>
      <w:spacing w:before="240" w:after="60"/>
      <w:outlineLvl w:val="7"/>
    </w:pPr>
    <w:rPr>
      <w:rFonts w:ascii="Calibri" w:hAnsi="Calibri"/>
      <w:i/>
      <w:iCs/>
      <w:szCs w:val="24"/>
    </w:rPr>
  </w:style>
  <w:style w:type="paragraph" w:styleId="Heading9">
    <w:name w:val="heading 9"/>
    <w:basedOn w:val="Normal"/>
    <w:next w:val="Normal"/>
    <w:link w:val="Heading9Char"/>
    <w:semiHidden/>
    <w:qFormat/>
    <w:rsid w:val="007411A1"/>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emiHidden/>
    <w:rsid w:val="00477182"/>
  </w:style>
  <w:style w:type="character" w:customStyle="1" w:styleId="Heading1Char">
    <w:name w:val="Heading 1 Char"/>
    <w:link w:val="Heading1"/>
    <w:semiHidden/>
    <w:rsid w:val="00FF04E3"/>
    <w:rPr>
      <w:b/>
      <w:bCs/>
      <w:kern w:val="32"/>
      <w:sz w:val="24"/>
      <w:szCs w:val="24"/>
    </w:rPr>
  </w:style>
  <w:style w:type="character" w:customStyle="1" w:styleId="Heading2Char">
    <w:name w:val="Heading 2 Char"/>
    <w:link w:val="Heading2"/>
    <w:semiHidden/>
    <w:rsid w:val="00FF04E3"/>
    <w:rPr>
      <w:rFonts w:ascii="Cambria" w:hAnsi="Cambria"/>
      <w:b/>
      <w:bCs/>
      <w:i/>
      <w:iCs/>
      <w:sz w:val="28"/>
      <w:szCs w:val="28"/>
    </w:rPr>
  </w:style>
  <w:style w:type="character" w:customStyle="1" w:styleId="Heading5Char">
    <w:name w:val="Heading 5 Char"/>
    <w:link w:val="Heading5"/>
    <w:semiHidden/>
    <w:rsid w:val="00FF04E3"/>
    <w:rPr>
      <w:rFonts w:ascii="Calibri" w:hAnsi="Calibri"/>
      <w:b/>
      <w:bCs/>
      <w:i/>
      <w:iCs/>
      <w:sz w:val="26"/>
      <w:szCs w:val="26"/>
    </w:rPr>
  </w:style>
  <w:style w:type="character" w:customStyle="1" w:styleId="Heading6Char">
    <w:name w:val="Heading 6 Char"/>
    <w:link w:val="Heading6"/>
    <w:semiHidden/>
    <w:rsid w:val="00FF04E3"/>
    <w:rPr>
      <w:rFonts w:ascii="Calibri" w:hAnsi="Calibri"/>
      <w:b/>
      <w:bCs/>
      <w:sz w:val="22"/>
      <w:szCs w:val="22"/>
    </w:rPr>
  </w:style>
  <w:style w:type="character" w:customStyle="1" w:styleId="Heading7Char">
    <w:name w:val="Heading 7 Char"/>
    <w:link w:val="Heading7"/>
    <w:semiHidden/>
    <w:rsid w:val="00FF04E3"/>
    <w:rPr>
      <w:rFonts w:ascii="Calibri" w:hAnsi="Calibri"/>
      <w:sz w:val="24"/>
      <w:szCs w:val="24"/>
    </w:rPr>
  </w:style>
  <w:style w:type="character" w:customStyle="1" w:styleId="Heading8Char">
    <w:name w:val="Heading 8 Char"/>
    <w:link w:val="Heading8"/>
    <w:semiHidden/>
    <w:rsid w:val="00FF04E3"/>
    <w:rPr>
      <w:rFonts w:ascii="Calibri" w:hAnsi="Calibri"/>
      <w:i/>
      <w:iCs/>
      <w:sz w:val="24"/>
      <w:szCs w:val="24"/>
    </w:rPr>
  </w:style>
  <w:style w:type="character" w:customStyle="1" w:styleId="Heading9Char">
    <w:name w:val="Heading 9 Char"/>
    <w:link w:val="Heading9"/>
    <w:semiHidden/>
    <w:rsid w:val="00FF04E3"/>
    <w:rPr>
      <w:rFonts w:ascii="Cambria" w:hAnsi="Cambria"/>
      <w:sz w:val="22"/>
      <w:szCs w:val="22"/>
    </w:rPr>
  </w:style>
  <w:style w:type="paragraph" w:customStyle="1" w:styleId="SMHeading">
    <w:name w:val="SM Heading"/>
    <w:basedOn w:val="Heading1"/>
    <w:qFormat/>
    <w:rsid w:val="00F74F95"/>
  </w:style>
  <w:style w:type="paragraph" w:customStyle="1" w:styleId="SMSubheading">
    <w:name w:val="SM Subheading"/>
    <w:basedOn w:val="Normal"/>
    <w:qFormat/>
    <w:rsid w:val="00B9440A"/>
    <w:rPr>
      <w:u w:val="words"/>
    </w:rPr>
  </w:style>
  <w:style w:type="paragraph" w:customStyle="1" w:styleId="SMText">
    <w:name w:val="SM Text"/>
    <w:basedOn w:val="Normal"/>
    <w:qFormat/>
    <w:rsid w:val="00B9440A"/>
    <w:pPr>
      <w:ind w:firstLine="480"/>
    </w:pPr>
  </w:style>
  <w:style w:type="paragraph" w:customStyle="1" w:styleId="SMcaption">
    <w:name w:val="SM caption"/>
    <w:basedOn w:val="SMText"/>
    <w:qFormat/>
    <w:rsid w:val="00B9440A"/>
    <w:pPr>
      <w:ind w:firstLine="0"/>
    </w:pPr>
  </w:style>
  <w:style w:type="paragraph" w:styleId="BalloonText">
    <w:name w:val="Balloon Text"/>
    <w:basedOn w:val="Normal"/>
    <w:link w:val="BalloonTextChar"/>
    <w:semiHidden/>
    <w:rsid w:val="00405336"/>
    <w:rPr>
      <w:rFonts w:ascii="Tahoma" w:hAnsi="Tahoma" w:cs="Tahoma"/>
      <w:sz w:val="16"/>
      <w:szCs w:val="16"/>
    </w:rPr>
  </w:style>
  <w:style w:type="character" w:customStyle="1" w:styleId="BalloonTextChar">
    <w:name w:val="Balloon Text Char"/>
    <w:link w:val="BalloonText"/>
    <w:semiHidden/>
    <w:rsid w:val="00FF04E3"/>
    <w:rPr>
      <w:rFonts w:ascii="Tahoma" w:hAnsi="Tahoma" w:cs="Tahoma"/>
      <w:sz w:val="16"/>
      <w:szCs w:val="16"/>
    </w:rPr>
  </w:style>
  <w:style w:type="paragraph" w:styleId="Bibliography">
    <w:name w:val="Bibliography"/>
    <w:basedOn w:val="Normal"/>
    <w:next w:val="Normal"/>
    <w:uiPriority w:val="37"/>
    <w:semiHidden/>
    <w:rsid w:val="00405336"/>
  </w:style>
  <w:style w:type="paragraph" w:styleId="BlockText">
    <w:name w:val="Block Text"/>
    <w:basedOn w:val="Normal"/>
    <w:semiHidden/>
    <w:rsid w:val="00405336"/>
    <w:pPr>
      <w:spacing w:after="120"/>
      <w:ind w:left="1440" w:right="1440"/>
    </w:pPr>
  </w:style>
  <w:style w:type="paragraph" w:styleId="BodyText">
    <w:name w:val="Body Text"/>
    <w:basedOn w:val="Normal"/>
    <w:link w:val="BodyTextChar"/>
    <w:semiHidden/>
    <w:rsid w:val="00405336"/>
    <w:pPr>
      <w:spacing w:after="120"/>
    </w:pPr>
  </w:style>
  <w:style w:type="character" w:customStyle="1" w:styleId="BodyTextChar">
    <w:name w:val="Body Text Char"/>
    <w:link w:val="BodyText"/>
    <w:semiHidden/>
    <w:rsid w:val="00FF04E3"/>
    <w:rPr>
      <w:sz w:val="24"/>
    </w:rPr>
  </w:style>
  <w:style w:type="paragraph" w:styleId="BodyText2">
    <w:name w:val="Body Text 2"/>
    <w:basedOn w:val="Normal"/>
    <w:link w:val="BodyText2Char"/>
    <w:semiHidden/>
    <w:rsid w:val="00405336"/>
    <w:pPr>
      <w:spacing w:after="120" w:line="480" w:lineRule="auto"/>
    </w:pPr>
  </w:style>
  <w:style w:type="character" w:customStyle="1" w:styleId="BodyText2Char">
    <w:name w:val="Body Text 2 Char"/>
    <w:link w:val="BodyText2"/>
    <w:semiHidden/>
    <w:rsid w:val="00FF04E3"/>
    <w:rPr>
      <w:sz w:val="24"/>
    </w:rPr>
  </w:style>
  <w:style w:type="paragraph" w:styleId="BodyText3">
    <w:name w:val="Body Text 3"/>
    <w:basedOn w:val="Normal"/>
    <w:link w:val="BodyText3Char"/>
    <w:semiHidden/>
    <w:rsid w:val="00405336"/>
    <w:pPr>
      <w:spacing w:after="120"/>
    </w:pPr>
    <w:rPr>
      <w:sz w:val="16"/>
      <w:szCs w:val="16"/>
    </w:rPr>
  </w:style>
  <w:style w:type="character" w:customStyle="1" w:styleId="BodyText3Char">
    <w:name w:val="Body Text 3 Char"/>
    <w:link w:val="BodyText3"/>
    <w:semiHidden/>
    <w:rsid w:val="00FF04E3"/>
    <w:rPr>
      <w:sz w:val="16"/>
      <w:szCs w:val="16"/>
    </w:rPr>
  </w:style>
  <w:style w:type="paragraph" w:styleId="BodyTextFirstIndent">
    <w:name w:val="Body Text First Indent"/>
    <w:basedOn w:val="BodyText"/>
    <w:link w:val="BodyTextFirstIndentChar"/>
    <w:semiHidden/>
    <w:rsid w:val="00405336"/>
    <w:pPr>
      <w:ind w:firstLine="210"/>
    </w:pPr>
  </w:style>
  <w:style w:type="character" w:customStyle="1" w:styleId="BodyTextFirstIndentChar">
    <w:name w:val="Body Text First Indent Char"/>
    <w:basedOn w:val="BodyTextChar"/>
    <w:link w:val="BodyTextFirstIndent"/>
    <w:semiHidden/>
    <w:rsid w:val="00FF04E3"/>
    <w:rPr>
      <w:sz w:val="24"/>
    </w:rPr>
  </w:style>
  <w:style w:type="paragraph" w:styleId="BodyTextIndent">
    <w:name w:val="Body Text Indent"/>
    <w:basedOn w:val="Normal"/>
    <w:link w:val="BodyTextIndentChar"/>
    <w:semiHidden/>
    <w:rsid w:val="00405336"/>
    <w:pPr>
      <w:spacing w:after="120"/>
      <w:ind w:left="360"/>
    </w:pPr>
  </w:style>
  <w:style w:type="character" w:customStyle="1" w:styleId="BodyTextIndentChar">
    <w:name w:val="Body Text Indent Char"/>
    <w:link w:val="BodyTextIndent"/>
    <w:semiHidden/>
    <w:rsid w:val="00FF04E3"/>
    <w:rPr>
      <w:sz w:val="24"/>
    </w:rPr>
  </w:style>
  <w:style w:type="paragraph" w:styleId="BodyTextFirstIndent2">
    <w:name w:val="Body Text First Indent 2"/>
    <w:basedOn w:val="BodyTextIndent"/>
    <w:link w:val="BodyTextFirstIndent2Char"/>
    <w:semiHidden/>
    <w:rsid w:val="00405336"/>
    <w:pPr>
      <w:ind w:firstLine="210"/>
    </w:pPr>
  </w:style>
  <w:style w:type="character" w:customStyle="1" w:styleId="BodyTextFirstIndent2Char">
    <w:name w:val="Body Text First Indent 2 Char"/>
    <w:basedOn w:val="BodyTextIndentChar"/>
    <w:link w:val="BodyTextFirstIndent2"/>
    <w:semiHidden/>
    <w:rsid w:val="00FF04E3"/>
    <w:rPr>
      <w:sz w:val="24"/>
    </w:rPr>
  </w:style>
  <w:style w:type="paragraph" w:styleId="BodyTextIndent2">
    <w:name w:val="Body Text Indent 2"/>
    <w:basedOn w:val="Normal"/>
    <w:link w:val="BodyTextIndent2Char"/>
    <w:semiHidden/>
    <w:rsid w:val="00405336"/>
    <w:pPr>
      <w:spacing w:after="120" w:line="480" w:lineRule="auto"/>
      <w:ind w:left="360"/>
    </w:pPr>
  </w:style>
  <w:style w:type="character" w:customStyle="1" w:styleId="BodyTextIndent2Char">
    <w:name w:val="Body Text Indent 2 Char"/>
    <w:link w:val="BodyTextIndent2"/>
    <w:semiHidden/>
    <w:rsid w:val="00FF04E3"/>
    <w:rPr>
      <w:sz w:val="24"/>
    </w:rPr>
  </w:style>
  <w:style w:type="paragraph" w:styleId="BodyTextIndent3">
    <w:name w:val="Body Text Indent 3"/>
    <w:basedOn w:val="Normal"/>
    <w:link w:val="BodyTextIndent3Char"/>
    <w:semiHidden/>
    <w:rsid w:val="00405336"/>
    <w:pPr>
      <w:spacing w:after="120"/>
      <w:ind w:left="360"/>
    </w:pPr>
    <w:rPr>
      <w:sz w:val="16"/>
      <w:szCs w:val="16"/>
    </w:rPr>
  </w:style>
  <w:style w:type="character" w:customStyle="1" w:styleId="BodyTextIndent3Char">
    <w:name w:val="Body Text Indent 3 Char"/>
    <w:link w:val="BodyTextIndent3"/>
    <w:semiHidden/>
    <w:rsid w:val="00FF04E3"/>
    <w:rPr>
      <w:sz w:val="16"/>
      <w:szCs w:val="16"/>
    </w:rPr>
  </w:style>
  <w:style w:type="paragraph" w:styleId="Caption">
    <w:name w:val="caption"/>
    <w:basedOn w:val="Normal"/>
    <w:next w:val="Normal"/>
    <w:semiHidden/>
    <w:qFormat/>
    <w:rsid w:val="00405336"/>
    <w:rPr>
      <w:b/>
      <w:bCs/>
      <w:sz w:val="20"/>
    </w:rPr>
  </w:style>
  <w:style w:type="paragraph" w:styleId="Closing">
    <w:name w:val="Closing"/>
    <w:basedOn w:val="Normal"/>
    <w:link w:val="ClosingChar"/>
    <w:semiHidden/>
    <w:rsid w:val="00405336"/>
    <w:pPr>
      <w:ind w:left="4320"/>
    </w:pPr>
  </w:style>
  <w:style w:type="character" w:customStyle="1" w:styleId="ClosingChar">
    <w:name w:val="Closing Char"/>
    <w:link w:val="Closing"/>
    <w:semiHidden/>
    <w:rsid w:val="00FF04E3"/>
    <w:rPr>
      <w:sz w:val="24"/>
    </w:rPr>
  </w:style>
  <w:style w:type="paragraph" w:styleId="CommentText">
    <w:name w:val="annotation text"/>
    <w:basedOn w:val="Normal"/>
    <w:link w:val="CommentTextChar"/>
    <w:semiHidden/>
    <w:rsid w:val="00405336"/>
    <w:rPr>
      <w:sz w:val="20"/>
    </w:rPr>
  </w:style>
  <w:style w:type="character" w:customStyle="1" w:styleId="CommentTextChar">
    <w:name w:val="Comment Text Char"/>
    <w:basedOn w:val="DefaultParagraphFont"/>
    <w:link w:val="CommentText"/>
    <w:semiHidden/>
    <w:rsid w:val="00FF04E3"/>
  </w:style>
  <w:style w:type="paragraph" w:styleId="CommentSubject">
    <w:name w:val="annotation subject"/>
    <w:basedOn w:val="CommentText"/>
    <w:next w:val="CommentText"/>
    <w:link w:val="CommentSubjectChar"/>
    <w:semiHidden/>
    <w:rsid w:val="00405336"/>
    <w:rPr>
      <w:b/>
      <w:bCs/>
    </w:rPr>
  </w:style>
  <w:style w:type="character" w:customStyle="1" w:styleId="CommentSubjectChar">
    <w:name w:val="Comment Subject Char"/>
    <w:link w:val="CommentSubject"/>
    <w:semiHidden/>
    <w:rsid w:val="00FF04E3"/>
    <w:rPr>
      <w:b/>
      <w:bCs/>
    </w:rPr>
  </w:style>
  <w:style w:type="paragraph" w:styleId="Date">
    <w:name w:val="Date"/>
    <w:basedOn w:val="Normal"/>
    <w:next w:val="Normal"/>
    <w:link w:val="DateChar"/>
    <w:semiHidden/>
    <w:rsid w:val="00405336"/>
  </w:style>
  <w:style w:type="character" w:customStyle="1" w:styleId="DateChar">
    <w:name w:val="Date Char"/>
    <w:link w:val="Date"/>
    <w:semiHidden/>
    <w:rsid w:val="00FF04E3"/>
    <w:rPr>
      <w:sz w:val="24"/>
    </w:rPr>
  </w:style>
  <w:style w:type="paragraph" w:styleId="DocumentMap">
    <w:name w:val="Document Map"/>
    <w:basedOn w:val="Normal"/>
    <w:link w:val="DocumentMapChar"/>
    <w:semiHidden/>
    <w:rsid w:val="00405336"/>
    <w:rPr>
      <w:rFonts w:ascii="Tahoma" w:hAnsi="Tahoma" w:cs="Tahoma"/>
      <w:sz w:val="16"/>
      <w:szCs w:val="16"/>
    </w:rPr>
  </w:style>
  <w:style w:type="character" w:customStyle="1" w:styleId="DocumentMapChar">
    <w:name w:val="Document Map Char"/>
    <w:link w:val="DocumentMap"/>
    <w:semiHidden/>
    <w:rsid w:val="00FF04E3"/>
    <w:rPr>
      <w:rFonts w:ascii="Tahoma" w:hAnsi="Tahoma" w:cs="Tahoma"/>
      <w:sz w:val="16"/>
      <w:szCs w:val="16"/>
    </w:rPr>
  </w:style>
  <w:style w:type="paragraph" w:styleId="E-mailSignature">
    <w:name w:val="E-mail Signature"/>
    <w:basedOn w:val="Normal"/>
    <w:link w:val="E-mailSignatureChar"/>
    <w:semiHidden/>
    <w:rsid w:val="00405336"/>
  </w:style>
  <w:style w:type="character" w:customStyle="1" w:styleId="E-mailSignatureChar">
    <w:name w:val="E-mail Signature Char"/>
    <w:link w:val="E-mailSignature"/>
    <w:semiHidden/>
    <w:rsid w:val="00FF04E3"/>
    <w:rPr>
      <w:sz w:val="24"/>
    </w:rPr>
  </w:style>
  <w:style w:type="paragraph" w:styleId="EndnoteText">
    <w:name w:val="endnote text"/>
    <w:basedOn w:val="Normal"/>
    <w:link w:val="EndnoteTextChar"/>
    <w:semiHidden/>
    <w:rsid w:val="00405336"/>
    <w:rPr>
      <w:sz w:val="20"/>
    </w:rPr>
  </w:style>
  <w:style w:type="character" w:customStyle="1" w:styleId="EndnoteTextChar">
    <w:name w:val="Endnote Text Char"/>
    <w:basedOn w:val="DefaultParagraphFont"/>
    <w:link w:val="EndnoteText"/>
    <w:semiHidden/>
    <w:rsid w:val="00FF04E3"/>
  </w:style>
  <w:style w:type="paragraph" w:styleId="EnvelopeAddress">
    <w:name w:val="envelope address"/>
    <w:basedOn w:val="Normal"/>
    <w:semiHidden/>
    <w:rsid w:val="00405336"/>
    <w:pPr>
      <w:framePr w:w="7920" w:h="1980" w:hRule="exact" w:hSpace="180" w:wrap="auto" w:hAnchor="page" w:xAlign="center" w:yAlign="bottom"/>
      <w:ind w:left="2880"/>
    </w:pPr>
    <w:rPr>
      <w:rFonts w:ascii="Cambria" w:hAnsi="Cambria"/>
      <w:szCs w:val="24"/>
    </w:rPr>
  </w:style>
  <w:style w:type="paragraph" w:styleId="EnvelopeReturn">
    <w:name w:val="envelope return"/>
    <w:basedOn w:val="Normal"/>
    <w:semiHidden/>
    <w:rsid w:val="00405336"/>
    <w:rPr>
      <w:rFonts w:ascii="Cambria" w:hAnsi="Cambria"/>
      <w:sz w:val="20"/>
    </w:rPr>
  </w:style>
  <w:style w:type="paragraph" w:styleId="Footer">
    <w:name w:val="footer"/>
    <w:basedOn w:val="Normal"/>
    <w:link w:val="FooterChar"/>
    <w:semiHidden/>
    <w:rsid w:val="00405336"/>
    <w:pPr>
      <w:tabs>
        <w:tab w:val="center" w:pos="4680"/>
        <w:tab w:val="right" w:pos="9360"/>
      </w:tabs>
    </w:pPr>
  </w:style>
  <w:style w:type="character" w:customStyle="1" w:styleId="FooterChar">
    <w:name w:val="Footer Char"/>
    <w:link w:val="Footer"/>
    <w:semiHidden/>
    <w:rsid w:val="00FF04E3"/>
    <w:rPr>
      <w:sz w:val="24"/>
    </w:rPr>
  </w:style>
  <w:style w:type="paragraph" w:styleId="FootnoteText">
    <w:name w:val="footnote text"/>
    <w:basedOn w:val="Normal"/>
    <w:link w:val="FootnoteTextChar"/>
    <w:semiHidden/>
    <w:rsid w:val="00405336"/>
    <w:rPr>
      <w:sz w:val="20"/>
    </w:rPr>
  </w:style>
  <w:style w:type="character" w:customStyle="1" w:styleId="FootnoteTextChar">
    <w:name w:val="Footnote Text Char"/>
    <w:basedOn w:val="DefaultParagraphFont"/>
    <w:link w:val="FootnoteText"/>
    <w:semiHidden/>
    <w:rsid w:val="00FF04E3"/>
  </w:style>
  <w:style w:type="paragraph" w:styleId="Header">
    <w:name w:val="header"/>
    <w:basedOn w:val="Normal"/>
    <w:link w:val="HeaderChar"/>
    <w:semiHidden/>
    <w:rsid w:val="00405336"/>
    <w:pPr>
      <w:tabs>
        <w:tab w:val="center" w:pos="4680"/>
        <w:tab w:val="right" w:pos="9360"/>
      </w:tabs>
    </w:pPr>
  </w:style>
  <w:style w:type="character" w:customStyle="1" w:styleId="HeaderChar">
    <w:name w:val="Header Char"/>
    <w:link w:val="Header"/>
    <w:semiHidden/>
    <w:rsid w:val="00FF04E3"/>
    <w:rPr>
      <w:sz w:val="24"/>
    </w:rPr>
  </w:style>
  <w:style w:type="paragraph" w:styleId="HTMLAddress">
    <w:name w:val="HTML Address"/>
    <w:basedOn w:val="Normal"/>
    <w:link w:val="HTMLAddressChar"/>
    <w:semiHidden/>
    <w:rsid w:val="00405336"/>
    <w:rPr>
      <w:i/>
      <w:iCs/>
    </w:rPr>
  </w:style>
  <w:style w:type="character" w:customStyle="1" w:styleId="HTMLAddressChar">
    <w:name w:val="HTML Address Char"/>
    <w:link w:val="HTMLAddress"/>
    <w:semiHidden/>
    <w:rsid w:val="00FF04E3"/>
    <w:rPr>
      <w:i/>
      <w:iCs/>
      <w:sz w:val="24"/>
    </w:rPr>
  </w:style>
  <w:style w:type="paragraph" w:styleId="HTMLPreformatted">
    <w:name w:val="HTML Preformatted"/>
    <w:basedOn w:val="Normal"/>
    <w:link w:val="HTMLPreformattedChar"/>
    <w:semiHidden/>
    <w:rsid w:val="00405336"/>
    <w:rPr>
      <w:rFonts w:ascii="Courier New" w:hAnsi="Courier New" w:cs="Courier New"/>
      <w:sz w:val="20"/>
    </w:rPr>
  </w:style>
  <w:style w:type="character" w:customStyle="1" w:styleId="HTMLPreformattedChar">
    <w:name w:val="HTML Preformatted Char"/>
    <w:link w:val="HTMLPreformatted"/>
    <w:semiHidden/>
    <w:rsid w:val="00FF04E3"/>
    <w:rPr>
      <w:rFonts w:ascii="Courier New" w:hAnsi="Courier New" w:cs="Courier New"/>
    </w:rPr>
  </w:style>
  <w:style w:type="paragraph" w:styleId="Index1">
    <w:name w:val="index 1"/>
    <w:basedOn w:val="Normal"/>
    <w:next w:val="Normal"/>
    <w:autoRedefine/>
    <w:semiHidden/>
    <w:rsid w:val="00405336"/>
    <w:pPr>
      <w:ind w:left="240" w:hanging="240"/>
    </w:pPr>
  </w:style>
  <w:style w:type="paragraph" w:styleId="Index2">
    <w:name w:val="index 2"/>
    <w:basedOn w:val="Normal"/>
    <w:next w:val="Normal"/>
    <w:autoRedefine/>
    <w:semiHidden/>
    <w:rsid w:val="00405336"/>
    <w:pPr>
      <w:ind w:left="480" w:hanging="240"/>
    </w:pPr>
  </w:style>
  <w:style w:type="paragraph" w:styleId="Index3">
    <w:name w:val="index 3"/>
    <w:basedOn w:val="Normal"/>
    <w:next w:val="Normal"/>
    <w:autoRedefine/>
    <w:semiHidden/>
    <w:rsid w:val="00405336"/>
    <w:pPr>
      <w:ind w:left="720" w:hanging="240"/>
    </w:pPr>
  </w:style>
  <w:style w:type="paragraph" w:styleId="Index4">
    <w:name w:val="index 4"/>
    <w:basedOn w:val="Normal"/>
    <w:next w:val="Normal"/>
    <w:autoRedefine/>
    <w:semiHidden/>
    <w:rsid w:val="00405336"/>
    <w:pPr>
      <w:ind w:left="960" w:hanging="240"/>
    </w:pPr>
  </w:style>
  <w:style w:type="paragraph" w:styleId="Index5">
    <w:name w:val="index 5"/>
    <w:basedOn w:val="Normal"/>
    <w:next w:val="Normal"/>
    <w:autoRedefine/>
    <w:semiHidden/>
    <w:rsid w:val="00405336"/>
    <w:pPr>
      <w:ind w:left="1200" w:hanging="240"/>
    </w:pPr>
  </w:style>
  <w:style w:type="paragraph" w:styleId="Index6">
    <w:name w:val="index 6"/>
    <w:basedOn w:val="Normal"/>
    <w:next w:val="Normal"/>
    <w:autoRedefine/>
    <w:semiHidden/>
    <w:rsid w:val="00405336"/>
    <w:pPr>
      <w:ind w:left="1440" w:hanging="240"/>
    </w:pPr>
  </w:style>
  <w:style w:type="paragraph" w:styleId="Index7">
    <w:name w:val="index 7"/>
    <w:basedOn w:val="Normal"/>
    <w:next w:val="Normal"/>
    <w:autoRedefine/>
    <w:semiHidden/>
    <w:rsid w:val="00405336"/>
    <w:pPr>
      <w:ind w:left="1680" w:hanging="240"/>
    </w:pPr>
  </w:style>
  <w:style w:type="paragraph" w:styleId="Index8">
    <w:name w:val="index 8"/>
    <w:basedOn w:val="Normal"/>
    <w:next w:val="Normal"/>
    <w:autoRedefine/>
    <w:semiHidden/>
    <w:rsid w:val="00405336"/>
    <w:pPr>
      <w:ind w:left="1920" w:hanging="240"/>
    </w:pPr>
  </w:style>
  <w:style w:type="paragraph" w:styleId="Index9">
    <w:name w:val="index 9"/>
    <w:basedOn w:val="Normal"/>
    <w:next w:val="Normal"/>
    <w:autoRedefine/>
    <w:semiHidden/>
    <w:rsid w:val="00405336"/>
    <w:pPr>
      <w:ind w:left="2160" w:hanging="240"/>
    </w:pPr>
  </w:style>
  <w:style w:type="paragraph" w:styleId="IndexHeading">
    <w:name w:val="index heading"/>
    <w:basedOn w:val="Normal"/>
    <w:next w:val="Index1"/>
    <w:semiHidden/>
    <w:rsid w:val="00405336"/>
    <w:rPr>
      <w:rFonts w:ascii="Cambria" w:hAnsi="Cambria"/>
      <w:b/>
      <w:bCs/>
    </w:rPr>
  </w:style>
  <w:style w:type="paragraph" w:styleId="IntenseQuote">
    <w:name w:val="Intense Quote"/>
    <w:basedOn w:val="Normal"/>
    <w:next w:val="Normal"/>
    <w:link w:val="IntenseQuoteChar"/>
    <w:uiPriority w:val="30"/>
    <w:semiHidden/>
    <w:qFormat/>
    <w:rsid w:val="00405336"/>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semiHidden/>
    <w:rsid w:val="00FF04E3"/>
    <w:rPr>
      <w:b/>
      <w:bCs/>
      <w:i/>
      <w:iCs/>
      <w:color w:val="4F81BD"/>
      <w:sz w:val="24"/>
    </w:rPr>
  </w:style>
  <w:style w:type="paragraph" w:styleId="List">
    <w:name w:val="List"/>
    <w:basedOn w:val="Normal"/>
    <w:semiHidden/>
    <w:rsid w:val="00405336"/>
    <w:pPr>
      <w:ind w:left="360" w:hanging="360"/>
      <w:contextualSpacing/>
    </w:pPr>
  </w:style>
  <w:style w:type="paragraph" w:styleId="List2">
    <w:name w:val="List 2"/>
    <w:basedOn w:val="Normal"/>
    <w:semiHidden/>
    <w:rsid w:val="00405336"/>
    <w:pPr>
      <w:ind w:left="720" w:hanging="360"/>
      <w:contextualSpacing/>
    </w:pPr>
  </w:style>
  <w:style w:type="paragraph" w:styleId="List3">
    <w:name w:val="List 3"/>
    <w:basedOn w:val="Normal"/>
    <w:semiHidden/>
    <w:rsid w:val="00405336"/>
    <w:pPr>
      <w:ind w:left="1080" w:hanging="360"/>
      <w:contextualSpacing/>
    </w:pPr>
  </w:style>
  <w:style w:type="paragraph" w:styleId="List4">
    <w:name w:val="List 4"/>
    <w:basedOn w:val="Normal"/>
    <w:semiHidden/>
    <w:rsid w:val="00405336"/>
    <w:pPr>
      <w:ind w:left="1440" w:hanging="360"/>
      <w:contextualSpacing/>
    </w:pPr>
  </w:style>
  <w:style w:type="paragraph" w:styleId="List5">
    <w:name w:val="List 5"/>
    <w:basedOn w:val="Normal"/>
    <w:semiHidden/>
    <w:rsid w:val="00405336"/>
    <w:pPr>
      <w:ind w:left="1800" w:hanging="360"/>
      <w:contextualSpacing/>
    </w:pPr>
  </w:style>
  <w:style w:type="paragraph" w:styleId="ListBullet">
    <w:name w:val="List Bullet"/>
    <w:basedOn w:val="Normal"/>
    <w:semiHidden/>
    <w:rsid w:val="00405336"/>
    <w:pPr>
      <w:numPr>
        <w:numId w:val="1"/>
      </w:numPr>
      <w:contextualSpacing/>
    </w:pPr>
  </w:style>
  <w:style w:type="paragraph" w:styleId="ListBullet2">
    <w:name w:val="List Bullet 2"/>
    <w:basedOn w:val="Normal"/>
    <w:semiHidden/>
    <w:rsid w:val="00405336"/>
    <w:pPr>
      <w:numPr>
        <w:numId w:val="2"/>
      </w:numPr>
      <w:contextualSpacing/>
    </w:pPr>
  </w:style>
  <w:style w:type="paragraph" w:styleId="ListBullet3">
    <w:name w:val="List Bullet 3"/>
    <w:basedOn w:val="Normal"/>
    <w:semiHidden/>
    <w:rsid w:val="00405336"/>
    <w:pPr>
      <w:numPr>
        <w:numId w:val="3"/>
      </w:numPr>
      <w:contextualSpacing/>
    </w:pPr>
  </w:style>
  <w:style w:type="paragraph" w:styleId="ListBullet4">
    <w:name w:val="List Bullet 4"/>
    <w:basedOn w:val="Normal"/>
    <w:semiHidden/>
    <w:rsid w:val="00405336"/>
    <w:pPr>
      <w:numPr>
        <w:numId w:val="4"/>
      </w:numPr>
      <w:contextualSpacing/>
    </w:pPr>
  </w:style>
  <w:style w:type="paragraph" w:styleId="ListBullet5">
    <w:name w:val="List Bullet 5"/>
    <w:basedOn w:val="Normal"/>
    <w:semiHidden/>
    <w:rsid w:val="00405336"/>
    <w:pPr>
      <w:numPr>
        <w:numId w:val="5"/>
      </w:numPr>
      <w:contextualSpacing/>
    </w:pPr>
  </w:style>
  <w:style w:type="paragraph" w:styleId="ListContinue">
    <w:name w:val="List Continue"/>
    <w:basedOn w:val="Normal"/>
    <w:semiHidden/>
    <w:rsid w:val="00405336"/>
    <w:pPr>
      <w:spacing w:after="120"/>
      <w:ind w:left="360"/>
      <w:contextualSpacing/>
    </w:pPr>
  </w:style>
  <w:style w:type="paragraph" w:styleId="ListContinue2">
    <w:name w:val="List Continue 2"/>
    <w:basedOn w:val="Normal"/>
    <w:semiHidden/>
    <w:rsid w:val="00405336"/>
    <w:pPr>
      <w:spacing w:after="120"/>
      <w:ind w:left="720"/>
      <w:contextualSpacing/>
    </w:pPr>
  </w:style>
  <w:style w:type="paragraph" w:styleId="ListContinue3">
    <w:name w:val="List Continue 3"/>
    <w:basedOn w:val="Normal"/>
    <w:semiHidden/>
    <w:rsid w:val="00405336"/>
    <w:pPr>
      <w:spacing w:after="120"/>
      <w:ind w:left="1080"/>
      <w:contextualSpacing/>
    </w:pPr>
  </w:style>
  <w:style w:type="paragraph" w:styleId="ListContinue4">
    <w:name w:val="List Continue 4"/>
    <w:basedOn w:val="Normal"/>
    <w:semiHidden/>
    <w:rsid w:val="00405336"/>
    <w:pPr>
      <w:spacing w:after="120"/>
      <w:ind w:left="1440"/>
      <w:contextualSpacing/>
    </w:pPr>
  </w:style>
  <w:style w:type="paragraph" w:styleId="ListContinue5">
    <w:name w:val="List Continue 5"/>
    <w:basedOn w:val="Normal"/>
    <w:semiHidden/>
    <w:rsid w:val="00405336"/>
    <w:pPr>
      <w:spacing w:after="120"/>
      <w:ind w:left="1800"/>
      <w:contextualSpacing/>
    </w:pPr>
  </w:style>
  <w:style w:type="paragraph" w:styleId="ListNumber">
    <w:name w:val="List Number"/>
    <w:basedOn w:val="Normal"/>
    <w:semiHidden/>
    <w:rsid w:val="00405336"/>
    <w:pPr>
      <w:numPr>
        <w:numId w:val="6"/>
      </w:numPr>
      <w:contextualSpacing/>
    </w:pPr>
  </w:style>
  <w:style w:type="paragraph" w:styleId="ListNumber2">
    <w:name w:val="List Number 2"/>
    <w:basedOn w:val="Normal"/>
    <w:semiHidden/>
    <w:rsid w:val="00405336"/>
    <w:pPr>
      <w:numPr>
        <w:numId w:val="7"/>
      </w:numPr>
      <w:contextualSpacing/>
    </w:pPr>
  </w:style>
  <w:style w:type="paragraph" w:styleId="ListNumber3">
    <w:name w:val="List Number 3"/>
    <w:basedOn w:val="Normal"/>
    <w:semiHidden/>
    <w:rsid w:val="00405336"/>
    <w:pPr>
      <w:numPr>
        <w:numId w:val="8"/>
      </w:numPr>
      <w:contextualSpacing/>
    </w:pPr>
  </w:style>
  <w:style w:type="paragraph" w:styleId="ListNumber4">
    <w:name w:val="List Number 4"/>
    <w:basedOn w:val="Normal"/>
    <w:semiHidden/>
    <w:rsid w:val="00405336"/>
    <w:pPr>
      <w:numPr>
        <w:numId w:val="9"/>
      </w:numPr>
      <w:contextualSpacing/>
    </w:pPr>
  </w:style>
  <w:style w:type="paragraph" w:styleId="ListNumber5">
    <w:name w:val="List Number 5"/>
    <w:basedOn w:val="Normal"/>
    <w:semiHidden/>
    <w:rsid w:val="00405336"/>
    <w:pPr>
      <w:numPr>
        <w:numId w:val="10"/>
      </w:numPr>
      <w:contextualSpacing/>
    </w:pPr>
  </w:style>
  <w:style w:type="paragraph" w:styleId="ListParagraph">
    <w:name w:val="List Paragraph"/>
    <w:basedOn w:val="Normal"/>
    <w:uiPriority w:val="34"/>
    <w:semiHidden/>
    <w:qFormat/>
    <w:rsid w:val="00405336"/>
    <w:pPr>
      <w:ind w:left="720"/>
    </w:pPr>
  </w:style>
  <w:style w:type="paragraph" w:styleId="MacroText">
    <w:name w:val="macro"/>
    <w:link w:val="MacroTextChar"/>
    <w:semiHidden/>
    <w:rsid w:val="00405336"/>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link w:val="MacroText"/>
    <w:semiHidden/>
    <w:rsid w:val="00FF04E3"/>
    <w:rPr>
      <w:rFonts w:ascii="Courier New" w:hAnsi="Courier New" w:cs="Courier New"/>
      <w:lang w:val="en-US" w:eastAsia="en-US" w:bidi="ar-SA"/>
    </w:rPr>
  </w:style>
  <w:style w:type="paragraph" w:styleId="MessageHeader">
    <w:name w:val="Message Header"/>
    <w:basedOn w:val="Normal"/>
    <w:link w:val="MessageHeaderChar"/>
    <w:semiHidden/>
    <w:rsid w:val="0040533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Cs w:val="24"/>
    </w:rPr>
  </w:style>
  <w:style w:type="character" w:customStyle="1" w:styleId="MessageHeaderChar">
    <w:name w:val="Message Header Char"/>
    <w:link w:val="MessageHeader"/>
    <w:semiHidden/>
    <w:rsid w:val="00FF04E3"/>
    <w:rPr>
      <w:rFonts w:ascii="Cambria" w:hAnsi="Cambria"/>
      <w:sz w:val="24"/>
      <w:szCs w:val="24"/>
      <w:shd w:val="pct20" w:color="auto" w:fill="auto"/>
    </w:rPr>
  </w:style>
  <w:style w:type="paragraph" w:styleId="NoSpacing">
    <w:name w:val="No Spacing"/>
    <w:uiPriority w:val="1"/>
    <w:semiHidden/>
    <w:qFormat/>
    <w:rsid w:val="00405336"/>
    <w:rPr>
      <w:sz w:val="24"/>
    </w:rPr>
  </w:style>
  <w:style w:type="paragraph" w:styleId="NormalWeb">
    <w:name w:val="Normal (Web)"/>
    <w:basedOn w:val="Normal"/>
    <w:uiPriority w:val="99"/>
    <w:semiHidden/>
    <w:rsid w:val="00405336"/>
    <w:rPr>
      <w:szCs w:val="24"/>
    </w:rPr>
  </w:style>
  <w:style w:type="paragraph" w:styleId="NormalIndent">
    <w:name w:val="Normal Indent"/>
    <w:basedOn w:val="Normal"/>
    <w:semiHidden/>
    <w:rsid w:val="00405336"/>
    <w:pPr>
      <w:ind w:left="720"/>
    </w:pPr>
  </w:style>
  <w:style w:type="paragraph" w:styleId="NoteHeading">
    <w:name w:val="Note Heading"/>
    <w:basedOn w:val="Normal"/>
    <w:next w:val="Normal"/>
    <w:link w:val="NoteHeadingChar"/>
    <w:semiHidden/>
    <w:rsid w:val="00405336"/>
  </w:style>
  <w:style w:type="character" w:customStyle="1" w:styleId="NoteHeadingChar">
    <w:name w:val="Note Heading Char"/>
    <w:link w:val="NoteHeading"/>
    <w:semiHidden/>
    <w:rsid w:val="00FF04E3"/>
    <w:rPr>
      <w:sz w:val="24"/>
    </w:rPr>
  </w:style>
  <w:style w:type="paragraph" w:styleId="PlainText">
    <w:name w:val="Plain Text"/>
    <w:basedOn w:val="Normal"/>
    <w:link w:val="PlainTextChar"/>
    <w:semiHidden/>
    <w:rsid w:val="00405336"/>
    <w:rPr>
      <w:rFonts w:ascii="Courier New" w:hAnsi="Courier New" w:cs="Courier New"/>
      <w:sz w:val="20"/>
    </w:rPr>
  </w:style>
  <w:style w:type="character" w:customStyle="1" w:styleId="PlainTextChar">
    <w:name w:val="Plain Text Char"/>
    <w:link w:val="PlainText"/>
    <w:semiHidden/>
    <w:rsid w:val="00FF04E3"/>
    <w:rPr>
      <w:rFonts w:ascii="Courier New" w:hAnsi="Courier New" w:cs="Courier New"/>
    </w:rPr>
  </w:style>
  <w:style w:type="paragraph" w:styleId="Quote">
    <w:name w:val="Quote"/>
    <w:basedOn w:val="Normal"/>
    <w:next w:val="Normal"/>
    <w:link w:val="QuoteChar"/>
    <w:uiPriority w:val="29"/>
    <w:semiHidden/>
    <w:qFormat/>
    <w:rsid w:val="00405336"/>
    <w:rPr>
      <w:i/>
      <w:iCs/>
      <w:color w:val="000000"/>
    </w:rPr>
  </w:style>
  <w:style w:type="character" w:customStyle="1" w:styleId="QuoteChar">
    <w:name w:val="Quote Char"/>
    <w:link w:val="Quote"/>
    <w:uiPriority w:val="29"/>
    <w:semiHidden/>
    <w:rsid w:val="00FF04E3"/>
    <w:rPr>
      <w:i/>
      <w:iCs/>
      <w:color w:val="000000"/>
      <w:sz w:val="24"/>
    </w:rPr>
  </w:style>
  <w:style w:type="paragraph" w:styleId="Salutation">
    <w:name w:val="Salutation"/>
    <w:basedOn w:val="Normal"/>
    <w:next w:val="Normal"/>
    <w:link w:val="SalutationChar"/>
    <w:semiHidden/>
    <w:rsid w:val="00405336"/>
  </w:style>
  <w:style w:type="character" w:customStyle="1" w:styleId="SalutationChar">
    <w:name w:val="Salutation Char"/>
    <w:link w:val="Salutation"/>
    <w:semiHidden/>
    <w:rsid w:val="00FF04E3"/>
    <w:rPr>
      <w:sz w:val="24"/>
    </w:rPr>
  </w:style>
  <w:style w:type="paragraph" w:styleId="Signature">
    <w:name w:val="Signature"/>
    <w:basedOn w:val="Normal"/>
    <w:link w:val="SignatureChar"/>
    <w:semiHidden/>
    <w:rsid w:val="00405336"/>
    <w:pPr>
      <w:ind w:left="4320"/>
    </w:pPr>
  </w:style>
  <w:style w:type="character" w:customStyle="1" w:styleId="SignatureChar">
    <w:name w:val="Signature Char"/>
    <w:link w:val="Signature"/>
    <w:semiHidden/>
    <w:rsid w:val="00FF04E3"/>
    <w:rPr>
      <w:sz w:val="24"/>
    </w:rPr>
  </w:style>
  <w:style w:type="paragraph" w:styleId="Subtitle">
    <w:name w:val="Subtitle"/>
    <w:basedOn w:val="Normal"/>
    <w:next w:val="Normal"/>
    <w:link w:val="SubtitleChar"/>
    <w:semiHidden/>
    <w:qFormat/>
    <w:rsid w:val="00405336"/>
    <w:pPr>
      <w:spacing w:after="60"/>
      <w:jc w:val="center"/>
      <w:outlineLvl w:val="1"/>
    </w:pPr>
    <w:rPr>
      <w:rFonts w:ascii="Cambria" w:hAnsi="Cambria"/>
      <w:szCs w:val="24"/>
    </w:rPr>
  </w:style>
  <w:style w:type="character" w:customStyle="1" w:styleId="SubtitleChar">
    <w:name w:val="Subtitle Char"/>
    <w:link w:val="Subtitle"/>
    <w:semiHidden/>
    <w:rsid w:val="00FF04E3"/>
    <w:rPr>
      <w:rFonts w:ascii="Cambria" w:hAnsi="Cambria"/>
      <w:sz w:val="24"/>
      <w:szCs w:val="24"/>
    </w:rPr>
  </w:style>
  <w:style w:type="paragraph" w:styleId="TableofAuthorities">
    <w:name w:val="table of authorities"/>
    <w:basedOn w:val="Normal"/>
    <w:next w:val="Normal"/>
    <w:semiHidden/>
    <w:rsid w:val="00405336"/>
    <w:pPr>
      <w:ind w:left="240" w:hanging="240"/>
    </w:pPr>
  </w:style>
  <w:style w:type="paragraph" w:styleId="TableofFigures">
    <w:name w:val="table of figures"/>
    <w:basedOn w:val="Normal"/>
    <w:next w:val="Normal"/>
    <w:semiHidden/>
    <w:rsid w:val="00405336"/>
  </w:style>
  <w:style w:type="paragraph" w:styleId="Title">
    <w:name w:val="Title"/>
    <w:basedOn w:val="Normal"/>
    <w:next w:val="Normal"/>
    <w:link w:val="TitleChar"/>
    <w:semiHidden/>
    <w:qFormat/>
    <w:rsid w:val="00405336"/>
    <w:pPr>
      <w:spacing w:before="240" w:after="60"/>
      <w:jc w:val="center"/>
      <w:outlineLvl w:val="0"/>
    </w:pPr>
    <w:rPr>
      <w:rFonts w:ascii="Cambria" w:hAnsi="Cambria"/>
      <w:b/>
      <w:bCs/>
      <w:kern w:val="28"/>
      <w:sz w:val="32"/>
      <w:szCs w:val="32"/>
    </w:rPr>
  </w:style>
  <w:style w:type="character" w:customStyle="1" w:styleId="TitleChar">
    <w:name w:val="Title Char"/>
    <w:link w:val="Title"/>
    <w:semiHidden/>
    <w:rsid w:val="00FF04E3"/>
    <w:rPr>
      <w:rFonts w:ascii="Cambria" w:hAnsi="Cambria"/>
      <w:b/>
      <w:bCs/>
      <w:kern w:val="28"/>
      <w:sz w:val="32"/>
      <w:szCs w:val="32"/>
    </w:rPr>
  </w:style>
  <w:style w:type="paragraph" w:styleId="TOAHeading">
    <w:name w:val="toa heading"/>
    <w:basedOn w:val="Normal"/>
    <w:next w:val="Normal"/>
    <w:semiHidden/>
    <w:rsid w:val="00405336"/>
    <w:pPr>
      <w:spacing w:before="120"/>
    </w:pPr>
    <w:rPr>
      <w:rFonts w:ascii="Cambria" w:hAnsi="Cambria"/>
      <w:b/>
      <w:bCs/>
      <w:szCs w:val="24"/>
    </w:rPr>
  </w:style>
  <w:style w:type="paragraph" w:styleId="TOC1">
    <w:name w:val="toc 1"/>
    <w:basedOn w:val="Normal"/>
    <w:next w:val="Normal"/>
    <w:autoRedefine/>
    <w:semiHidden/>
    <w:rsid w:val="00405336"/>
  </w:style>
  <w:style w:type="paragraph" w:styleId="TOC2">
    <w:name w:val="toc 2"/>
    <w:basedOn w:val="Normal"/>
    <w:next w:val="Normal"/>
    <w:autoRedefine/>
    <w:semiHidden/>
    <w:rsid w:val="00405336"/>
    <w:pPr>
      <w:ind w:left="240"/>
    </w:pPr>
  </w:style>
  <w:style w:type="paragraph" w:styleId="TOC3">
    <w:name w:val="toc 3"/>
    <w:basedOn w:val="Normal"/>
    <w:next w:val="Normal"/>
    <w:autoRedefine/>
    <w:semiHidden/>
    <w:rsid w:val="00405336"/>
    <w:pPr>
      <w:ind w:left="480"/>
    </w:pPr>
  </w:style>
  <w:style w:type="paragraph" w:styleId="TOC4">
    <w:name w:val="toc 4"/>
    <w:basedOn w:val="Normal"/>
    <w:next w:val="Normal"/>
    <w:autoRedefine/>
    <w:semiHidden/>
    <w:rsid w:val="00405336"/>
    <w:pPr>
      <w:ind w:left="720"/>
    </w:pPr>
  </w:style>
  <w:style w:type="paragraph" w:styleId="TOC5">
    <w:name w:val="toc 5"/>
    <w:basedOn w:val="Normal"/>
    <w:next w:val="Normal"/>
    <w:autoRedefine/>
    <w:semiHidden/>
    <w:rsid w:val="00405336"/>
    <w:pPr>
      <w:ind w:left="960"/>
    </w:pPr>
  </w:style>
  <w:style w:type="paragraph" w:styleId="TOC6">
    <w:name w:val="toc 6"/>
    <w:basedOn w:val="Normal"/>
    <w:next w:val="Normal"/>
    <w:autoRedefine/>
    <w:semiHidden/>
    <w:rsid w:val="00405336"/>
    <w:pPr>
      <w:ind w:left="1200"/>
    </w:pPr>
  </w:style>
  <w:style w:type="paragraph" w:styleId="TOC7">
    <w:name w:val="toc 7"/>
    <w:basedOn w:val="Normal"/>
    <w:next w:val="Normal"/>
    <w:autoRedefine/>
    <w:semiHidden/>
    <w:rsid w:val="00405336"/>
    <w:pPr>
      <w:ind w:left="1440"/>
    </w:pPr>
  </w:style>
  <w:style w:type="paragraph" w:styleId="TOC8">
    <w:name w:val="toc 8"/>
    <w:basedOn w:val="Normal"/>
    <w:next w:val="Normal"/>
    <w:autoRedefine/>
    <w:semiHidden/>
    <w:rsid w:val="00405336"/>
    <w:pPr>
      <w:ind w:left="1680"/>
    </w:pPr>
  </w:style>
  <w:style w:type="paragraph" w:styleId="TOC9">
    <w:name w:val="toc 9"/>
    <w:basedOn w:val="Normal"/>
    <w:next w:val="Normal"/>
    <w:autoRedefine/>
    <w:semiHidden/>
    <w:rsid w:val="00405336"/>
    <w:pPr>
      <w:ind w:left="1920"/>
    </w:pPr>
  </w:style>
  <w:style w:type="paragraph" w:styleId="TOCHeading">
    <w:name w:val="TOC Heading"/>
    <w:basedOn w:val="Heading1"/>
    <w:next w:val="Normal"/>
    <w:uiPriority w:val="39"/>
    <w:semiHidden/>
    <w:unhideWhenUsed/>
    <w:qFormat/>
    <w:rsid w:val="00405336"/>
    <w:pPr>
      <w:outlineLvl w:val="9"/>
    </w:pPr>
    <w:rPr>
      <w:rFonts w:ascii="Cambria" w:hAnsi="Cambria"/>
      <w:sz w:val="32"/>
      <w:szCs w:val="32"/>
    </w:rPr>
  </w:style>
  <w:style w:type="character" w:styleId="Hyperlink">
    <w:name w:val="Hyperlink"/>
    <w:semiHidden/>
    <w:rsid w:val="007402FC"/>
    <w:rPr>
      <w:color w:val="0000FF"/>
      <w:u w:val="single"/>
    </w:rPr>
  </w:style>
  <w:style w:type="paragraph" w:customStyle="1" w:styleId="body-copy-normal">
    <w:name w:val="body-copy-normal"/>
    <w:basedOn w:val="Normal"/>
    <w:rsid w:val="00FF3503"/>
    <w:pPr>
      <w:spacing w:before="100" w:beforeAutospacing="1" w:after="100" w:afterAutospacing="1"/>
    </w:pPr>
    <w:rPr>
      <w:szCs w:val="24"/>
    </w:rPr>
  </w:style>
  <w:style w:type="paragraph" w:customStyle="1" w:styleId="body-copy-ndent">
    <w:name w:val="body-copy-ndent"/>
    <w:basedOn w:val="Normal"/>
    <w:rsid w:val="00FF3503"/>
    <w:pPr>
      <w:spacing w:before="100" w:beforeAutospacing="1" w:after="100" w:afterAutospacing="1"/>
    </w:pPr>
    <w:rPr>
      <w:szCs w:val="24"/>
    </w:rPr>
  </w:style>
  <w:style w:type="character" w:styleId="Strong">
    <w:name w:val="Strong"/>
    <w:uiPriority w:val="22"/>
    <w:qFormat/>
    <w:rsid w:val="00FF3503"/>
    <w:rPr>
      <w:b/>
      <w:bCs/>
    </w:rPr>
  </w:style>
  <w:style w:type="character" w:styleId="CommentReference">
    <w:name w:val="annotation reference"/>
    <w:semiHidden/>
    <w:rsid w:val="002800B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023527">
      <w:bodyDiv w:val="1"/>
      <w:marLeft w:val="0"/>
      <w:marRight w:val="0"/>
      <w:marTop w:val="0"/>
      <w:marBottom w:val="0"/>
      <w:divBdr>
        <w:top w:val="none" w:sz="0" w:space="0" w:color="auto"/>
        <w:left w:val="none" w:sz="0" w:space="0" w:color="auto"/>
        <w:bottom w:val="none" w:sz="0" w:space="0" w:color="auto"/>
        <w:right w:val="none" w:sz="0" w:space="0" w:color="auto"/>
      </w:divBdr>
    </w:div>
    <w:div w:id="167909328">
      <w:bodyDiv w:val="1"/>
      <w:marLeft w:val="0"/>
      <w:marRight w:val="0"/>
      <w:marTop w:val="0"/>
      <w:marBottom w:val="0"/>
      <w:divBdr>
        <w:top w:val="none" w:sz="0" w:space="0" w:color="auto"/>
        <w:left w:val="none" w:sz="0" w:space="0" w:color="auto"/>
        <w:bottom w:val="none" w:sz="0" w:space="0" w:color="auto"/>
        <w:right w:val="none" w:sz="0" w:space="0" w:color="auto"/>
      </w:divBdr>
    </w:div>
    <w:div w:id="203175800">
      <w:bodyDiv w:val="1"/>
      <w:marLeft w:val="0"/>
      <w:marRight w:val="0"/>
      <w:marTop w:val="0"/>
      <w:marBottom w:val="0"/>
      <w:divBdr>
        <w:top w:val="none" w:sz="0" w:space="0" w:color="auto"/>
        <w:left w:val="none" w:sz="0" w:space="0" w:color="auto"/>
        <w:bottom w:val="none" w:sz="0" w:space="0" w:color="auto"/>
        <w:right w:val="none" w:sz="0" w:space="0" w:color="auto"/>
      </w:divBdr>
    </w:div>
    <w:div w:id="546528266">
      <w:bodyDiv w:val="1"/>
      <w:marLeft w:val="0"/>
      <w:marRight w:val="0"/>
      <w:marTop w:val="0"/>
      <w:marBottom w:val="0"/>
      <w:divBdr>
        <w:top w:val="none" w:sz="0" w:space="0" w:color="auto"/>
        <w:left w:val="none" w:sz="0" w:space="0" w:color="auto"/>
        <w:bottom w:val="none" w:sz="0" w:space="0" w:color="auto"/>
        <w:right w:val="none" w:sz="0" w:space="0" w:color="auto"/>
      </w:divBdr>
    </w:div>
    <w:div w:id="558982422">
      <w:bodyDiv w:val="1"/>
      <w:marLeft w:val="0"/>
      <w:marRight w:val="0"/>
      <w:marTop w:val="0"/>
      <w:marBottom w:val="0"/>
      <w:divBdr>
        <w:top w:val="none" w:sz="0" w:space="0" w:color="auto"/>
        <w:left w:val="none" w:sz="0" w:space="0" w:color="auto"/>
        <w:bottom w:val="none" w:sz="0" w:space="0" w:color="auto"/>
        <w:right w:val="none" w:sz="0" w:space="0" w:color="auto"/>
      </w:divBdr>
    </w:div>
    <w:div w:id="690954300">
      <w:bodyDiv w:val="1"/>
      <w:marLeft w:val="0"/>
      <w:marRight w:val="0"/>
      <w:marTop w:val="0"/>
      <w:marBottom w:val="0"/>
      <w:divBdr>
        <w:top w:val="none" w:sz="0" w:space="0" w:color="auto"/>
        <w:left w:val="none" w:sz="0" w:space="0" w:color="auto"/>
        <w:bottom w:val="none" w:sz="0" w:space="0" w:color="auto"/>
        <w:right w:val="none" w:sz="0" w:space="0" w:color="auto"/>
      </w:divBdr>
    </w:div>
    <w:div w:id="764231611">
      <w:bodyDiv w:val="1"/>
      <w:marLeft w:val="0"/>
      <w:marRight w:val="0"/>
      <w:marTop w:val="0"/>
      <w:marBottom w:val="0"/>
      <w:divBdr>
        <w:top w:val="none" w:sz="0" w:space="0" w:color="auto"/>
        <w:left w:val="none" w:sz="0" w:space="0" w:color="auto"/>
        <w:bottom w:val="none" w:sz="0" w:space="0" w:color="auto"/>
        <w:right w:val="none" w:sz="0" w:space="0" w:color="auto"/>
      </w:divBdr>
    </w:div>
    <w:div w:id="873155705">
      <w:bodyDiv w:val="1"/>
      <w:marLeft w:val="0"/>
      <w:marRight w:val="0"/>
      <w:marTop w:val="0"/>
      <w:marBottom w:val="0"/>
      <w:divBdr>
        <w:top w:val="none" w:sz="0" w:space="0" w:color="auto"/>
        <w:left w:val="none" w:sz="0" w:space="0" w:color="auto"/>
        <w:bottom w:val="none" w:sz="0" w:space="0" w:color="auto"/>
        <w:right w:val="none" w:sz="0" w:space="0" w:color="auto"/>
      </w:divBdr>
    </w:div>
    <w:div w:id="926959620">
      <w:bodyDiv w:val="1"/>
      <w:marLeft w:val="0"/>
      <w:marRight w:val="0"/>
      <w:marTop w:val="0"/>
      <w:marBottom w:val="0"/>
      <w:divBdr>
        <w:top w:val="none" w:sz="0" w:space="0" w:color="auto"/>
        <w:left w:val="none" w:sz="0" w:space="0" w:color="auto"/>
        <w:bottom w:val="none" w:sz="0" w:space="0" w:color="auto"/>
        <w:right w:val="none" w:sz="0" w:space="0" w:color="auto"/>
      </w:divBdr>
    </w:div>
    <w:div w:id="940841139">
      <w:bodyDiv w:val="1"/>
      <w:marLeft w:val="0"/>
      <w:marRight w:val="0"/>
      <w:marTop w:val="0"/>
      <w:marBottom w:val="0"/>
      <w:divBdr>
        <w:top w:val="none" w:sz="0" w:space="0" w:color="auto"/>
        <w:left w:val="none" w:sz="0" w:space="0" w:color="auto"/>
        <w:bottom w:val="none" w:sz="0" w:space="0" w:color="auto"/>
        <w:right w:val="none" w:sz="0" w:space="0" w:color="auto"/>
      </w:divBdr>
    </w:div>
    <w:div w:id="1013923439">
      <w:bodyDiv w:val="1"/>
      <w:marLeft w:val="0"/>
      <w:marRight w:val="0"/>
      <w:marTop w:val="0"/>
      <w:marBottom w:val="0"/>
      <w:divBdr>
        <w:top w:val="none" w:sz="0" w:space="0" w:color="auto"/>
        <w:left w:val="none" w:sz="0" w:space="0" w:color="auto"/>
        <w:bottom w:val="none" w:sz="0" w:space="0" w:color="auto"/>
        <w:right w:val="none" w:sz="0" w:space="0" w:color="auto"/>
      </w:divBdr>
    </w:div>
    <w:div w:id="1223639762">
      <w:bodyDiv w:val="1"/>
      <w:marLeft w:val="0"/>
      <w:marRight w:val="0"/>
      <w:marTop w:val="0"/>
      <w:marBottom w:val="0"/>
      <w:divBdr>
        <w:top w:val="none" w:sz="0" w:space="0" w:color="auto"/>
        <w:left w:val="none" w:sz="0" w:space="0" w:color="auto"/>
        <w:bottom w:val="none" w:sz="0" w:space="0" w:color="auto"/>
        <w:right w:val="none" w:sz="0" w:space="0" w:color="auto"/>
      </w:divBdr>
    </w:div>
    <w:div w:id="1236816127">
      <w:bodyDiv w:val="1"/>
      <w:marLeft w:val="0"/>
      <w:marRight w:val="0"/>
      <w:marTop w:val="0"/>
      <w:marBottom w:val="0"/>
      <w:divBdr>
        <w:top w:val="none" w:sz="0" w:space="0" w:color="auto"/>
        <w:left w:val="none" w:sz="0" w:space="0" w:color="auto"/>
        <w:bottom w:val="none" w:sz="0" w:space="0" w:color="auto"/>
        <w:right w:val="none" w:sz="0" w:space="0" w:color="auto"/>
      </w:divBdr>
    </w:div>
    <w:div w:id="1273397245">
      <w:bodyDiv w:val="1"/>
      <w:marLeft w:val="0"/>
      <w:marRight w:val="0"/>
      <w:marTop w:val="0"/>
      <w:marBottom w:val="0"/>
      <w:divBdr>
        <w:top w:val="none" w:sz="0" w:space="0" w:color="auto"/>
        <w:left w:val="none" w:sz="0" w:space="0" w:color="auto"/>
        <w:bottom w:val="none" w:sz="0" w:space="0" w:color="auto"/>
        <w:right w:val="none" w:sz="0" w:space="0" w:color="auto"/>
      </w:divBdr>
    </w:div>
    <w:div w:id="1386753783">
      <w:bodyDiv w:val="1"/>
      <w:marLeft w:val="0"/>
      <w:marRight w:val="0"/>
      <w:marTop w:val="0"/>
      <w:marBottom w:val="0"/>
      <w:divBdr>
        <w:top w:val="none" w:sz="0" w:space="0" w:color="auto"/>
        <w:left w:val="none" w:sz="0" w:space="0" w:color="auto"/>
        <w:bottom w:val="none" w:sz="0" w:space="0" w:color="auto"/>
        <w:right w:val="none" w:sz="0" w:space="0" w:color="auto"/>
      </w:divBdr>
    </w:div>
    <w:div w:id="1450274029">
      <w:bodyDiv w:val="1"/>
      <w:marLeft w:val="0"/>
      <w:marRight w:val="0"/>
      <w:marTop w:val="0"/>
      <w:marBottom w:val="0"/>
      <w:divBdr>
        <w:top w:val="none" w:sz="0" w:space="0" w:color="auto"/>
        <w:left w:val="none" w:sz="0" w:space="0" w:color="auto"/>
        <w:bottom w:val="none" w:sz="0" w:space="0" w:color="auto"/>
        <w:right w:val="none" w:sz="0" w:space="0" w:color="auto"/>
      </w:divBdr>
    </w:div>
    <w:div w:id="1499343640">
      <w:bodyDiv w:val="1"/>
      <w:marLeft w:val="0"/>
      <w:marRight w:val="0"/>
      <w:marTop w:val="0"/>
      <w:marBottom w:val="0"/>
      <w:divBdr>
        <w:top w:val="none" w:sz="0" w:space="0" w:color="auto"/>
        <w:left w:val="none" w:sz="0" w:space="0" w:color="auto"/>
        <w:bottom w:val="none" w:sz="0" w:space="0" w:color="auto"/>
        <w:right w:val="none" w:sz="0" w:space="0" w:color="auto"/>
      </w:divBdr>
    </w:div>
    <w:div w:id="1522670484">
      <w:bodyDiv w:val="1"/>
      <w:marLeft w:val="0"/>
      <w:marRight w:val="0"/>
      <w:marTop w:val="0"/>
      <w:marBottom w:val="0"/>
      <w:divBdr>
        <w:top w:val="none" w:sz="0" w:space="0" w:color="auto"/>
        <w:left w:val="none" w:sz="0" w:space="0" w:color="auto"/>
        <w:bottom w:val="none" w:sz="0" w:space="0" w:color="auto"/>
        <w:right w:val="none" w:sz="0" w:space="0" w:color="auto"/>
      </w:divBdr>
    </w:div>
    <w:div w:id="1695231933">
      <w:bodyDiv w:val="1"/>
      <w:marLeft w:val="0"/>
      <w:marRight w:val="0"/>
      <w:marTop w:val="0"/>
      <w:marBottom w:val="0"/>
      <w:divBdr>
        <w:top w:val="none" w:sz="0" w:space="0" w:color="auto"/>
        <w:left w:val="none" w:sz="0" w:space="0" w:color="auto"/>
        <w:bottom w:val="none" w:sz="0" w:space="0" w:color="auto"/>
        <w:right w:val="none" w:sz="0" w:space="0" w:color="auto"/>
      </w:divBdr>
    </w:div>
    <w:div w:id="1792239765">
      <w:bodyDiv w:val="1"/>
      <w:marLeft w:val="0"/>
      <w:marRight w:val="0"/>
      <w:marTop w:val="0"/>
      <w:marBottom w:val="0"/>
      <w:divBdr>
        <w:top w:val="none" w:sz="0" w:space="0" w:color="auto"/>
        <w:left w:val="none" w:sz="0" w:space="0" w:color="auto"/>
        <w:bottom w:val="none" w:sz="0" w:space="0" w:color="auto"/>
        <w:right w:val="none" w:sz="0" w:space="0" w:color="auto"/>
      </w:divBdr>
    </w:div>
    <w:div w:id="1839466520">
      <w:bodyDiv w:val="1"/>
      <w:marLeft w:val="0"/>
      <w:marRight w:val="0"/>
      <w:marTop w:val="0"/>
      <w:marBottom w:val="0"/>
      <w:divBdr>
        <w:top w:val="none" w:sz="0" w:space="0" w:color="auto"/>
        <w:left w:val="none" w:sz="0" w:space="0" w:color="auto"/>
        <w:bottom w:val="none" w:sz="0" w:space="0" w:color="auto"/>
        <w:right w:val="none" w:sz="0" w:space="0" w:color="auto"/>
      </w:divBdr>
    </w:div>
    <w:div w:id="1918202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126</TotalTime>
  <Pages>9</Pages>
  <Words>1367</Words>
  <Characters>7794</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Supporting Online Material for</vt:lpstr>
    </vt:vector>
  </TitlesOfParts>
  <Company>AAAS</Company>
  <LinksUpToDate>false</LinksUpToDate>
  <CharactersWithSpaces>9143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Supporting Online Material for</dc:title>
  <dc:creator>Brooks Hanson;Dawit Tegbaru;Brian Sedora</dc:creator>
  <cp:lastModifiedBy>Precision Tower 5820 _ r0</cp:lastModifiedBy>
  <cp:revision>49</cp:revision>
  <cp:lastPrinted>2014-09-30T16:49:00Z</cp:lastPrinted>
  <dcterms:created xsi:type="dcterms:W3CDTF">2023-03-29T17:55:00Z</dcterms:created>
  <dcterms:modified xsi:type="dcterms:W3CDTF">2025-12-30T10:17:00Z</dcterms:modified>
</cp:coreProperties>
</file>