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9BD418" w14:textId="1275A3E0" w:rsidR="00D3707C" w:rsidRDefault="00D3707C" w:rsidP="00450DB9">
      <w:pPr>
        <w:pStyle w:val="Authors"/>
        <w:rPr>
          <w:i/>
          <w:sz w:val="34"/>
        </w:rPr>
      </w:pPr>
      <w:r w:rsidRPr="00D3707C">
        <w:rPr>
          <w:i/>
          <w:sz w:val="34"/>
        </w:rPr>
        <w:t>Supplement of</w:t>
      </w:r>
    </w:p>
    <w:p w14:paraId="461C96AD" w14:textId="77777777" w:rsidR="00D3707C" w:rsidRPr="00D3707C" w:rsidRDefault="00D3707C" w:rsidP="00450DB9">
      <w:pPr>
        <w:pStyle w:val="Authors"/>
        <w:rPr>
          <w:i/>
          <w:sz w:val="34"/>
        </w:rPr>
      </w:pPr>
    </w:p>
    <w:p w14:paraId="693431D2" w14:textId="142FBE14" w:rsidR="00910BCA" w:rsidRPr="00910BCA" w:rsidRDefault="00910BCA" w:rsidP="00450DB9">
      <w:pPr>
        <w:pStyle w:val="Authors"/>
        <w:rPr>
          <w:b/>
          <w:sz w:val="34"/>
        </w:rPr>
      </w:pPr>
      <w:r w:rsidRPr="00910BCA">
        <w:rPr>
          <w:b/>
          <w:sz w:val="34"/>
        </w:rPr>
        <w:t>Explicit Representation and Calibration of Different Landscape Units for a Robust Catchment DOC Export Model</w:t>
      </w:r>
    </w:p>
    <w:p w14:paraId="4A12D454" w14:textId="77777777" w:rsidR="00910BCA" w:rsidRDefault="00910BCA" w:rsidP="00450DB9">
      <w:pPr>
        <w:pStyle w:val="Authors"/>
      </w:pPr>
    </w:p>
    <w:p w14:paraId="6B4660D9" w14:textId="77777777" w:rsidR="00D3707C" w:rsidRPr="00D3707C" w:rsidRDefault="00910BCA" w:rsidP="00D3707C">
      <w:pPr>
        <w:pStyle w:val="Authors"/>
        <w:rPr>
          <w:lang w:val="de-DE"/>
        </w:rPr>
      </w:pPr>
      <w:r w:rsidRPr="00D3707C">
        <w:rPr>
          <w:lang w:val="de-DE"/>
        </w:rPr>
        <w:t>Tam V. Nguye</w:t>
      </w:r>
      <w:r w:rsidR="00D3707C" w:rsidRPr="00D3707C">
        <w:rPr>
          <w:lang w:val="de-DE"/>
        </w:rPr>
        <w:t>n et al.</w:t>
      </w:r>
    </w:p>
    <w:p w14:paraId="4B2F3FC8" w14:textId="6655468E" w:rsidR="000A1B66" w:rsidRDefault="000A1B66" w:rsidP="008E213F">
      <w:pPr>
        <w:pStyle w:val="Correspondence"/>
      </w:pPr>
      <w:r w:rsidRPr="000A1B66">
        <w:rPr>
          <w:i/>
        </w:rPr>
        <w:t>Correspondence to</w:t>
      </w:r>
      <w:r>
        <w:t xml:space="preserve">: </w:t>
      </w:r>
      <w:r w:rsidR="00910BCA" w:rsidRPr="00910BCA">
        <w:t>Tam V. Nguyen</w:t>
      </w:r>
      <w:r>
        <w:t xml:space="preserve"> (</w:t>
      </w:r>
      <w:r w:rsidR="00910BCA">
        <w:t>tam.nguyen@ufz.de</w:t>
      </w:r>
      <w:r>
        <w:t>)</w:t>
      </w:r>
    </w:p>
    <w:p w14:paraId="2DC7570E" w14:textId="77777777" w:rsidR="00D3707C" w:rsidRDefault="00D3707C">
      <w:pPr>
        <w:spacing w:line="240" w:lineRule="auto"/>
        <w:jc w:val="left"/>
        <w:rPr>
          <w:rFonts w:cs="Arial"/>
          <w:b/>
          <w:bCs/>
          <w:color w:val="000000"/>
          <w:kern w:val="32"/>
          <w:szCs w:val="32"/>
        </w:rPr>
      </w:pPr>
      <w:r>
        <w:br w:type="page"/>
      </w:r>
    </w:p>
    <w:p w14:paraId="21231F94" w14:textId="0B87AFC8" w:rsidR="007B2FF5" w:rsidRDefault="007B2FF5" w:rsidP="000B3762"/>
    <w:p w14:paraId="001A63F1" w14:textId="77777777" w:rsidR="007B2FF5" w:rsidRPr="007B2FF5" w:rsidRDefault="007B2FF5" w:rsidP="000A2DD2">
      <w:pPr>
        <w:pStyle w:val="Heading1"/>
      </w:pPr>
      <w:r w:rsidRPr="007B2FF5">
        <w:t>Text S1. Hydrological fluxes and storages</w:t>
      </w:r>
    </w:p>
    <w:p w14:paraId="0F78C2C9" w14:textId="7777777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bookmarkStart w:id="0" w:name="_heading=h.7xpc352mc2gw" w:colFirst="0" w:colLast="0"/>
      <w:bookmarkEnd w:id="0"/>
      <w:r w:rsidRPr="007B2FF5">
        <w:rPr>
          <w:rFonts w:asciiTheme="majorHAnsi" w:hAnsiTheme="majorHAnsi" w:cstheme="majorHAnsi"/>
          <w:color w:val="000000"/>
          <w:szCs w:val="20"/>
        </w:rPr>
        <w:t xml:space="preserve">The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model (Samaniego et al. 2010, Kumar et al., 2013) is a spatially explicit, grid-based model that utilizes process formulations from established models such as HBV (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Bergström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, 1992) and VIC-3L (Gao et al., 2009). Using a grid as the basic unit,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represents different hydrological processes. First, canopy interception is simulated, followed by snow accumulation and melt, which are implemented using a degree-day routine. Incoming water from rainfall and snowmelt then enters a multilayer soil/root zone, where a power-law function, adapted from the HBV model, partitions it between soil moisture storage and percolation. Evapotranspiration is calculated from potential ET and reduced by soil-water stress, weighted by the root fraction in each soil layer. Runoff generation is divided into three pathways: (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i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) fast interflow, triggered when unsaturated storage exceeds a threshold; (ii) slow interflow, representing steady drainage from the same store; and (iii) baseflow from a lower groundwater reservoir, treated as a linear store. The combined flows are routed through the river network using the time-adaptive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Muskingum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>–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Cunge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scheme (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Thober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et al., 2019). Full algorithmic details and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parameterizations can be found at www.ufz.de/mhm.</w:t>
      </w:r>
    </w:p>
    <w:p w14:paraId="26D54F45" w14:textId="7777777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The hydrological fluxes of the lumped and landscape</w:t>
      </w:r>
      <w:r w:rsidRPr="007B2FF5">
        <w:rPr>
          <w:rFonts w:asciiTheme="majorHAnsi" w:hAnsiTheme="majorHAnsi" w:cstheme="majorHAnsi"/>
          <w:szCs w:val="20"/>
        </w:rPr>
        <w:t>-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explicit model structures are based on the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. From the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model, the total outflow from the soil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>), total baseflow from groundwater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>), and the total groundwater recharge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recharge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>) from all grid cells are calculated as follows:</w:t>
      </w:r>
    </w:p>
    <w:bookmarkStart w:id="1" w:name="_heading=h.gjdgxs" w:colFirst="0" w:colLast="0"/>
    <w:bookmarkEnd w:id="1"/>
    <w:p w14:paraId="604EDF64" w14:textId="01E067A2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f>
          <m:f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fPr>
          <m:num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d>
                  <m:d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</m:ctrlPr>
                      </m:sSubSupPr>
                      <m:e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fast</m:t>
                        </m:r>
                      </m:sub>
                      <m:sup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i</m:t>
                        </m:r>
                      </m:sup>
                    </m:sSubSup>
                    <m:d>
                      <m:dPr>
                        <m:ctrlP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t</m:t>
                        </m:r>
                      </m:e>
                    </m:d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+</m:t>
                    </m:r>
                    <m:sSubSup>
                      <m:sSubSupPr>
                        <m:ctrlP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</m:ctrlPr>
                      </m:sSubSupPr>
                      <m:e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slow</m:t>
                        </m:r>
                      </m:sub>
                      <m:sup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i</m:t>
                        </m:r>
                      </m:sup>
                    </m:sSub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(t)</m:t>
                    </m:r>
                  </m:e>
                </m:d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⋅</m:t>
                </m:r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den>
        </m:f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(S1)</w:t>
      </w:r>
    </w:p>
    <w:p w14:paraId="4CDCDCC3" w14:textId="5A08B52C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f>
          <m:f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fPr>
          <m:num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bSup>
                  <m:sSub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b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q</m:t>
                    </m:r>
                  </m:e>
                  <m:sub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baseflow</m:t>
                    </m:r>
                  </m:sub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b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(t)⋅</m:t>
                </m:r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den>
        </m:f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(S2)</w:t>
      </w:r>
    </w:p>
    <w:p w14:paraId="500E1216" w14:textId="2CA26793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recharge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f>
          <m:f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fPr>
          <m:num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(t)⋅</m:t>
                </m:r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den>
        </m:f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(S3)</w:t>
      </w:r>
    </w:p>
    <w:p w14:paraId="46D8A963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where the superscript “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i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” indicates the grid cell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i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th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, n is the total number of grid cells in the catchment, t (day) is time, </w:t>
      </w:r>
      <m:oMath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fast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i</m:t>
            </m:r>
          </m:sup>
        </m:sSubSup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, </w:t>
      </w:r>
      <m:oMath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slow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i</m:t>
            </m:r>
          </m:sup>
        </m:sSubSup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, </w:t>
      </w:r>
      <m:oMath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i</m:t>
            </m:r>
          </m:sup>
        </m:sSubSup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, and </w:t>
      </w:r>
      <m:oMath>
        <m:r>
          <w:rPr>
            <w:rFonts w:ascii="Cambria Math" w:eastAsia="Cambria Math" w:hAnsi="Cambria Math" w:cstheme="majorHAnsi"/>
            <w:color w:val="000000"/>
            <w:szCs w:val="20"/>
          </w:rPr>
          <m:t>I</m:t>
        </m:r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(mm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) are fast interflow, slow interflow, baseflow, and groundwater recharge at the grid cell level, respectively, simulated from the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model, and </w:t>
      </w:r>
      <m:oMath>
        <m:sSup>
          <m:s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A</m:t>
            </m:r>
          </m:e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i</m:t>
            </m:r>
          </m:sup>
        </m:sSup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(m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2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) is the grid cell area. </w:t>
      </w:r>
    </w:p>
    <w:p w14:paraId="00E71B2D" w14:textId="6D6C41C0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The average catchment scale water storage in the soil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</m:t>
        </m:r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mm)) and groundwater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</m:t>
        </m:r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mm)) from mHM are:</w:t>
      </w:r>
    </w:p>
    <w:p w14:paraId="3D0A4984" w14:textId="7865C7AB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 xml:space="preserve">(t)= </m:t>
        </m:r>
        <m:f>
          <m:f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fPr>
          <m:num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d>
                  <m:d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</m:ctrlPr>
                      </m:sSubSupPr>
                      <m:e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3</m:t>
                        </m:r>
                      </m:sub>
                      <m:sup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i</m:t>
                        </m:r>
                      </m:sup>
                    </m:sSub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(t)+</m:t>
                    </m:r>
                    <m:sSubSup>
                      <m:sSubSupPr>
                        <m:ctrlP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</m:ctrlPr>
                      </m:sSubSupPr>
                      <m:e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5</m:t>
                        </m:r>
                      </m:sub>
                      <m:sup>
                        <m:r>
                          <w:rPr>
                            <w:rFonts w:ascii="Cambria Math" w:eastAsia="Cambria Math" w:hAnsi="Cambria Math" w:cstheme="majorHAnsi"/>
                            <w:color w:val="000000"/>
                            <w:szCs w:val="20"/>
                          </w:rPr>
                          <m:t>i</m:t>
                        </m:r>
                      </m:sup>
                    </m:sSub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(t)</m:t>
                    </m:r>
                  </m:e>
                </m:d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⋅</m:t>
                </m:r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den>
        </m:f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(S4)</w:t>
      </w:r>
    </w:p>
    <w:p w14:paraId="4EB32153" w14:textId="3478003E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 xml:space="preserve">(t)= </m:t>
        </m:r>
        <m:f>
          <m:f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fPr>
          <m:num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bSup>
                  <m:sSub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b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x</m:t>
                    </m:r>
                  </m:e>
                  <m:sub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6</m:t>
                    </m:r>
                  </m:sub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b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(t)⋅</m:t>
                </m:r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i=1</m:t>
                </m:r>
              </m:sub>
              <m:sup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A</m:t>
                    </m:r>
                  </m:e>
                  <m:sup>
                    <m:r>
                      <w:rPr>
                        <w:rFonts w:ascii="Cambria Math" w:eastAsia="Cambria Math" w:hAnsi="Cambria Math" w:cstheme="majorHAnsi"/>
                        <w:color w:val="000000"/>
                        <w:szCs w:val="20"/>
                      </w:rPr>
                      <m:t>i</m:t>
                    </m:r>
                  </m:sup>
                </m:sSup>
              </m:e>
            </m:nary>
          </m:den>
        </m:f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(S5)</w:t>
      </w:r>
    </w:p>
    <w:p w14:paraId="49124053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where x</w:t>
      </w:r>
      <w:r w:rsidRPr="007B2FF5">
        <w:rPr>
          <w:rFonts w:asciiTheme="majorHAnsi" w:hAnsiTheme="majorHAnsi" w:cstheme="majorHAnsi"/>
          <w:color w:val="000000"/>
          <w:szCs w:val="20"/>
          <w:vertAlign w:val="subscript"/>
        </w:rPr>
        <w:t>3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and x</w:t>
      </w:r>
      <w:r w:rsidRPr="007B2FF5">
        <w:rPr>
          <w:rFonts w:asciiTheme="majorHAnsi" w:hAnsiTheme="majorHAnsi" w:cstheme="majorHAnsi"/>
          <w:color w:val="000000"/>
          <w:szCs w:val="20"/>
          <w:vertAlign w:val="subscript"/>
        </w:rPr>
        <w:t>5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(mm) are water storage from different soil zones (simulated from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>), and x</w:t>
      </w:r>
      <w:r w:rsidRPr="007B2FF5">
        <w:rPr>
          <w:rFonts w:asciiTheme="majorHAnsi" w:hAnsiTheme="majorHAnsi" w:cstheme="majorHAnsi"/>
          <w:color w:val="000000"/>
          <w:szCs w:val="20"/>
          <w:vertAlign w:val="subscript"/>
        </w:rPr>
        <w:t>6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(mm) is groundwater storage (simulated from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>).</w:t>
      </w:r>
    </w:p>
    <w:p w14:paraId="5C3A7B74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</w:p>
    <w:p w14:paraId="4A9F0009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b/>
          <w:i/>
          <w:color w:val="000000"/>
          <w:szCs w:val="20"/>
          <w:u w:val="single"/>
        </w:rPr>
      </w:pPr>
      <w:r w:rsidRPr="007B2FF5">
        <w:rPr>
          <w:rFonts w:asciiTheme="majorHAnsi" w:hAnsiTheme="majorHAnsi" w:cstheme="majorHAnsi"/>
          <w:b/>
          <w:i/>
          <w:color w:val="000000"/>
          <w:szCs w:val="20"/>
          <w:u w:val="single"/>
        </w:rPr>
        <w:t>Lumped model st</w:t>
      </w:r>
      <w:r w:rsidRPr="007B2FF5">
        <w:rPr>
          <w:rFonts w:asciiTheme="majorHAnsi" w:hAnsiTheme="majorHAnsi" w:cstheme="majorHAnsi"/>
          <w:b/>
          <w:i/>
          <w:szCs w:val="20"/>
          <w:u w:val="single"/>
        </w:rPr>
        <w:t>ructure</w:t>
      </w:r>
      <w:r w:rsidRPr="007B2FF5">
        <w:rPr>
          <w:rFonts w:asciiTheme="majorHAnsi" w:hAnsiTheme="majorHAnsi" w:cstheme="majorHAnsi"/>
          <w:b/>
          <w:i/>
          <w:color w:val="000000"/>
          <w:szCs w:val="20"/>
          <w:u w:val="single"/>
        </w:rPr>
        <w:t>:</w:t>
      </w:r>
    </w:p>
    <w:p w14:paraId="50D12C84" w14:textId="73A9EE3E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lastRenderedPageBreak/>
        <w:t xml:space="preserve">In the lumped model </w:t>
      </w:r>
      <w:r w:rsidRPr="007B2FF5">
        <w:rPr>
          <w:rFonts w:asciiTheme="majorHAnsi" w:hAnsiTheme="majorHAnsi" w:cstheme="majorHAnsi"/>
          <w:szCs w:val="20"/>
        </w:rPr>
        <w:t>structure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(Fig. 1</w:t>
      </w:r>
      <w:r w:rsidRPr="007B2FF5">
        <w:rPr>
          <w:rFonts w:asciiTheme="majorHAnsi" w:hAnsiTheme="majorHAnsi" w:cstheme="majorHAnsi"/>
          <w:szCs w:val="20"/>
        </w:rPr>
        <w:t>a</w:t>
      </w:r>
      <w:r w:rsidRPr="007B2FF5">
        <w:rPr>
          <w:rFonts w:asciiTheme="majorHAnsi" w:hAnsiTheme="majorHAnsi" w:cstheme="majorHAnsi"/>
          <w:color w:val="000000"/>
          <w:szCs w:val="20"/>
        </w:rPr>
        <w:t>), Q</w:t>
      </w:r>
      <w:r w:rsidRPr="007B2FF5">
        <w:rPr>
          <w:rFonts w:asciiTheme="majorHAnsi" w:hAnsiTheme="majorHAnsi" w:cstheme="majorHAnsi"/>
          <w:color w:val="000000"/>
          <w:szCs w:val="20"/>
          <w:vertAlign w:val="subscript"/>
        </w:rPr>
        <w:t>HS</w:t>
      </w:r>
      <w:r w:rsidRPr="007B2FF5">
        <w:rPr>
          <w:rFonts w:asciiTheme="majorHAnsi" w:hAnsiTheme="majorHAnsi" w:cstheme="majorHAnsi"/>
          <w:color w:val="000000"/>
          <w:szCs w:val="20"/>
        </w:rPr>
        <w:t>, Q</w:t>
      </w:r>
      <w:r w:rsidRPr="007B2FF5">
        <w:rPr>
          <w:rFonts w:asciiTheme="majorHAnsi" w:hAnsiTheme="majorHAnsi" w:cstheme="majorHAnsi"/>
          <w:color w:val="000000"/>
          <w:szCs w:val="20"/>
          <w:vertAlign w:val="subscript"/>
        </w:rPr>
        <w:t>RCH</w:t>
      </w:r>
      <w:r w:rsidRPr="007B2FF5">
        <w:rPr>
          <w:rFonts w:asciiTheme="majorHAnsi" w:hAnsiTheme="majorHAnsi" w:cstheme="majorHAnsi"/>
          <w:color w:val="000000"/>
          <w:szCs w:val="20"/>
        </w:rPr>
        <w:t>, Q</w:t>
      </w:r>
      <w:r w:rsidRPr="007B2FF5">
        <w:rPr>
          <w:rFonts w:asciiTheme="majorHAnsi" w:hAnsiTheme="majorHAnsi" w:cstheme="majorHAnsi"/>
          <w:color w:val="000000"/>
          <w:szCs w:val="20"/>
          <w:vertAlign w:val="subscript"/>
        </w:rPr>
        <w:t>GW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(mm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) are the same as 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, 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recharge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, and 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base_flow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>, respectively. Total outflow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STREAM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) from the catchment is: </w:t>
      </w:r>
    </w:p>
    <w:p w14:paraId="03A5963A" w14:textId="563BA6D9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STREAM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(t)+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</m:t>
        </m:r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(S6)</w:t>
      </w:r>
    </w:p>
    <w:p w14:paraId="0280F37C" w14:textId="7777777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The storage of the hillslope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HS</m:t>
            </m:r>
          </m:sub>
        </m:sSub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t</m:t>
            </m:r>
          </m:e>
        </m:d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mm) and groundwater zone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</m:sSub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t</m:t>
            </m:r>
          </m:e>
        </m:d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mm) are:</w:t>
      </w:r>
    </w:p>
    <w:p w14:paraId="2809894E" w14:textId="7C2AF2F1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sSub>
              <m:sSub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sSub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S</m:t>
                </m:r>
              </m:e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HS</m:t>
                </m:r>
              </m:sub>
            </m:sSub>
            <m:d>
              <m:d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d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t</m:t>
                </m:r>
              </m:e>
            </m:d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= 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t</m:t>
            </m:r>
          </m:e>
        </m:d>
        <m:r>
          <w:rPr>
            <w:rFonts w:ascii="Cambria Math" w:eastAsia="Cambria Math" w:hAnsi="Cambria Math" w:cstheme="majorHAnsi"/>
            <w:color w:val="000000"/>
            <w:szCs w:val="20"/>
          </w:rPr>
          <m:t>+</m:t>
        </m:r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HS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0</m:t>
            </m:r>
          </m:sup>
        </m:sSubSup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(S7)</w:t>
      </w:r>
    </w:p>
    <w:p w14:paraId="10E54417" w14:textId="36CD4709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sSub>
              <m:sSub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sSub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S</m:t>
                </m:r>
              </m:e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GW</m:t>
                </m:r>
              </m:sub>
            </m:sSub>
            <m:d>
              <m:d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d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t</m:t>
                </m:r>
              </m:e>
            </m:d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= 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</m:sSub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t</m:t>
            </m:r>
          </m:e>
        </m:d>
        <m:r>
          <w:rPr>
            <w:rFonts w:ascii="Cambria Math" w:eastAsia="Cambria Math" w:hAnsi="Cambria Math" w:cstheme="majorHAnsi"/>
            <w:color w:val="000000"/>
            <w:szCs w:val="20"/>
          </w:rPr>
          <m:t>+</m:t>
        </m:r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0</m:t>
            </m:r>
          </m:sup>
        </m:sSubSup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(S8)</w:t>
      </w:r>
    </w:p>
    <w:p w14:paraId="4671ED2A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 xml:space="preserve">where </w:t>
      </w:r>
      <m:oMath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HS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0</m:t>
            </m:r>
          </m:sup>
        </m:sSubSup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and </w:t>
      </w:r>
      <m:oMath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0</m:t>
            </m:r>
          </m:sup>
        </m:sSubSup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(mm) are the initial water storage in the hillslope and groundwater zone, respectively.</w:t>
      </w:r>
    </w:p>
    <w:p w14:paraId="1BA430B0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</w:p>
    <w:p w14:paraId="04EC8DE8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b/>
          <w:i/>
          <w:color w:val="000000"/>
          <w:szCs w:val="20"/>
          <w:u w:val="single"/>
        </w:rPr>
      </w:pPr>
      <w:r w:rsidRPr="007B2FF5">
        <w:rPr>
          <w:rFonts w:asciiTheme="majorHAnsi" w:hAnsiTheme="majorHAnsi" w:cstheme="majorHAnsi"/>
          <w:b/>
          <w:i/>
          <w:color w:val="000000"/>
          <w:szCs w:val="20"/>
          <w:u w:val="single"/>
        </w:rPr>
        <w:t>Landscape-explicit model s</w:t>
      </w:r>
      <w:r w:rsidRPr="007B2FF5">
        <w:rPr>
          <w:rFonts w:asciiTheme="majorHAnsi" w:hAnsiTheme="majorHAnsi" w:cstheme="majorHAnsi"/>
          <w:b/>
          <w:i/>
          <w:szCs w:val="20"/>
          <w:u w:val="single"/>
        </w:rPr>
        <w:t>tructure</w:t>
      </w:r>
      <w:r w:rsidRPr="007B2FF5">
        <w:rPr>
          <w:rFonts w:asciiTheme="majorHAnsi" w:hAnsiTheme="majorHAnsi" w:cstheme="majorHAnsi"/>
          <w:b/>
          <w:i/>
          <w:color w:val="000000"/>
          <w:szCs w:val="20"/>
          <w:u w:val="single"/>
        </w:rPr>
        <w:t>:</w:t>
      </w:r>
    </w:p>
    <w:p w14:paraId="020CB914" w14:textId="7777777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 xml:space="preserve">In the </w:t>
      </w:r>
      <w:r w:rsidRPr="007B2FF5">
        <w:rPr>
          <w:rFonts w:asciiTheme="majorHAnsi" w:hAnsiTheme="majorHAnsi" w:cstheme="majorHAnsi"/>
          <w:szCs w:val="20"/>
        </w:rPr>
        <w:t>landscape-explicit model structure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(Fig. 1</w:t>
      </w:r>
      <w:r w:rsidRPr="007B2FF5">
        <w:rPr>
          <w:rFonts w:asciiTheme="majorHAnsi" w:hAnsiTheme="majorHAnsi" w:cstheme="majorHAnsi"/>
          <w:szCs w:val="20"/>
        </w:rPr>
        <w:t>b</w:t>
      </w:r>
      <w:r w:rsidRPr="007B2FF5">
        <w:rPr>
          <w:rFonts w:asciiTheme="majorHAnsi" w:hAnsiTheme="majorHAnsi" w:cstheme="majorHAnsi"/>
          <w:color w:val="000000"/>
          <w:szCs w:val="20"/>
        </w:rPr>
        <w:t>), Q</w:t>
      </w:r>
      <w:r w:rsidRPr="007B2FF5">
        <w:rPr>
          <w:rFonts w:asciiTheme="majorHAnsi" w:hAnsiTheme="majorHAnsi" w:cstheme="majorHAnsi"/>
          <w:color w:val="000000"/>
          <w:szCs w:val="20"/>
          <w:vertAlign w:val="subscript"/>
        </w:rPr>
        <w:t>HS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(mm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) needs to be adjusted to account for the </w:t>
      </w:r>
      <w:r w:rsidRPr="007B2FF5">
        <w:rPr>
          <w:rFonts w:asciiTheme="majorHAnsi" w:hAnsiTheme="majorHAnsi" w:cstheme="majorHAnsi"/>
          <w:szCs w:val="20"/>
        </w:rPr>
        <w:t>upland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area fraction. As the area fraction of the </w:t>
      </w:r>
      <w:r w:rsidRPr="007B2FF5">
        <w:rPr>
          <w:rFonts w:asciiTheme="majorHAnsi" w:hAnsiTheme="majorHAnsi" w:cstheme="majorHAnsi"/>
          <w:szCs w:val="20"/>
        </w:rPr>
        <w:t>upland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is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f</w:t>
      </w:r>
      <w:r w:rsidRPr="007B2FF5">
        <w:rPr>
          <w:rFonts w:asciiTheme="majorHAnsi" w:hAnsiTheme="majorHAnsi" w:cstheme="majorHAnsi"/>
          <w:szCs w:val="20"/>
          <w:vertAlign w:val="subscript"/>
        </w:rPr>
        <w:t>UL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(-), therefore, flow out of the </w:t>
      </w:r>
      <w:r w:rsidRPr="007B2FF5">
        <w:rPr>
          <w:rFonts w:asciiTheme="majorHAnsi" w:hAnsiTheme="majorHAnsi" w:cstheme="majorHAnsi"/>
          <w:szCs w:val="20"/>
        </w:rPr>
        <w:t>upland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is:</w:t>
      </w:r>
    </w:p>
    <w:p w14:paraId="3D24E5CB" w14:textId="705F9C84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UL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sSub>
          <m:sSubPr>
            <m:ctrlPr>
              <w:rPr>
                <w:rFonts w:ascii="Cambria Math" w:eastAsia="Cambria Math" w:hAnsi="Cambria Math" w:cstheme="majorHAnsi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UL</m:t>
            </m:r>
          </m:sub>
        </m:sSub>
        <m:r>
          <w:rPr>
            <w:rFonts w:ascii="Cambria Math" w:eastAsia="Cambria Math" w:hAnsi="Cambria Math" w:cstheme="majorHAnsi"/>
            <w:szCs w:val="20"/>
          </w:rPr>
          <m:t>⋅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</m:t>
        </m:r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(S9)</w:t>
      </w:r>
    </w:p>
    <w:p w14:paraId="4B90790F" w14:textId="7777777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Groundwater flow to the stream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>) and to the riparian zone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GW_RZ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), considering the </w:t>
      </w:r>
      <w:r w:rsidRPr="007B2FF5">
        <w:rPr>
          <w:rFonts w:asciiTheme="majorHAnsi" w:hAnsiTheme="majorHAnsi" w:cstheme="majorHAnsi"/>
          <w:szCs w:val="20"/>
        </w:rPr>
        <w:t>upland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area fraction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HS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>) and the fraction of groundwater flow to riparian zone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GW→RZ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)</m:t>
        </m:r>
      </m:oMath>
      <w:r w:rsidRPr="007B2FF5">
        <w:rPr>
          <w:rFonts w:asciiTheme="majorHAnsi" w:hAnsiTheme="majorHAnsi" w:cstheme="majorHAnsi"/>
          <w:color w:val="000000"/>
          <w:szCs w:val="20"/>
        </w:rPr>
        <w:t>, are:</w:t>
      </w:r>
    </w:p>
    <w:p w14:paraId="00811CE7" w14:textId="49804F26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sSub>
          <m:sSubPr>
            <m:ctrlPr>
              <w:rPr>
                <w:rFonts w:ascii="Cambria Math" w:eastAsia="Cambria Math" w:hAnsi="Cambria Math" w:cstheme="majorHAnsi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UL</m:t>
            </m:r>
          </m:sub>
        </m:sSub>
        <m:r>
          <w:rPr>
            <w:rFonts w:ascii="Cambria Math" w:eastAsia="Cambria Math" w:hAnsi="Cambria Math" w:cstheme="majorHAnsi"/>
            <w:szCs w:val="20"/>
          </w:rPr>
          <m:t>⋅</m:t>
        </m:r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1-</m:t>
            </m:r>
            <m:sSub>
              <m:sSub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sSub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f</m:t>
                </m:r>
              </m:e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GW→RZ</m:t>
                </m:r>
              </m:sub>
            </m:sSub>
          </m:e>
        </m:d>
        <m:r>
          <w:rPr>
            <w:rFonts w:ascii="Cambria Math" w:eastAsia="Cambria Math" w:hAnsi="Cambria Math" w:cstheme="majorHAnsi"/>
            <w:color w:val="000000"/>
            <w:szCs w:val="20"/>
          </w:rPr>
          <m:t>⋅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</m:t>
        </m:r>
      </m:oMath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(S10)</w:t>
      </w:r>
    </w:p>
    <w:p w14:paraId="743E8555" w14:textId="3D2256C7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GW_RZ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sSub>
          <m:sSubPr>
            <m:ctrlPr>
              <w:rPr>
                <w:rFonts w:ascii="Cambria Math" w:eastAsia="Cambria Math" w:hAnsi="Cambria Math" w:cstheme="majorHAnsi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UL</m:t>
            </m:r>
          </m:sub>
        </m:sSub>
        <m:r>
          <w:rPr>
            <w:rFonts w:ascii="Cambria Math" w:eastAsia="Cambria Math" w:hAnsi="Cambria Math" w:cstheme="majorHAnsi"/>
            <w:szCs w:val="20"/>
          </w:rPr>
          <m:t>⋅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GW→RZ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⋅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</m:t>
        </m:r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(S11)</w:t>
      </w:r>
    </w:p>
    <w:p w14:paraId="1D8E0FA9" w14:textId="7777777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Therefore, the amount of inflow to the riparian zone is:</w:t>
      </w:r>
    </w:p>
    <w:p w14:paraId="6DFB761F" w14:textId="5334365E" w:rsidR="007B2FF5" w:rsidRPr="00C761AF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mbria Math" w:hAnsi="Cambria Math" w:cstheme="majorHAnsi"/>
                  <w:color w:val="000000"/>
                  <w:szCs w:val="20"/>
                </w:rPr>
              </m:ctrlPr>
            </m:sSubPr>
            <m:e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Q</m:t>
              </m:r>
            </m:e>
            <m:sub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RZ</m:t>
              </m:r>
            </m:sub>
          </m:sSub>
          <m:r>
            <w:rPr>
              <w:rFonts w:ascii="Cambria Math" w:eastAsia="Cambria Math" w:hAnsi="Cambria Math" w:cstheme="majorHAnsi"/>
              <w:color w:val="000000"/>
              <w:szCs w:val="20"/>
            </w:rPr>
            <m:t>(t)=</m:t>
          </m:r>
          <m:sSub>
            <m:sSubPr>
              <m:ctrlPr>
                <w:rPr>
                  <w:rFonts w:ascii="Cambria Math" w:eastAsia="Cambria Math" w:hAnsi="Cambria Math" w:cstheme="majorHAnsi"/>
                  <w:szCs w:val="20"/>
                </w:rPr>
              </m:ctrlPr>
            </m:sSubPr>
            <m:e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Q</m:t>
              </m:r>
            </m:e>
            <m:sub>
              <m:r>
                <w:rPr>
                  <w:rFonts w:ascii="Cambria Math" w:eastAsia="Cambria Math" w:hAnsi="Cambria Math" w:cstheme="majorHAnsi"/>
                  <w:szCs w:val="20"/>
                </w:rPr>
                <m:t>UL</m:t>
              </m:r>
            </m:sub>
          </m:sSub>
          <m:r>
            <w:rPr>
              <w:rFonts w:ascii="Cambria Math" w:eastAsia="Cambria Math" w:hAnsi="Cambria Math" w:cstheme="majorHAnsi"/>
              <w:color w:val="000000"/>
              <w:szCs w:val="20"/>
            </w:rPr>
            <m:t>(t)+</m:t>
          </m:r>
          <m:sSub>
            <m:sSubPr>
              <m:ctrlPr>
                <w:rPr>
                  <w:rFonts w:ascii="Cambria Math" w:eastAsia="Cambria Math" w:hAnsi="Cambria Math" w:cstheme="majorHAnsi"/>
                  <w:color w:val="000000"/>
                  <w:szCs w:val="20"/>
                </w:rPr>
              </m:ctrlPr>
            </m:sSubPr>
            <m:e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Q</m:t>
              </m:r>
            </m:e>
            <m:sub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GW_RZ</m:t>
              </m:r>
            </m:sub>
          </m:sSub>
          <m:r>
            <w:rPr>
              <w:rFonts w:ascii="Cambria Math" w:eastAsia="Cambria Math" w:hAnsi="Cambria Math" w:cstheme="majorHAnsi"/>
              <w:color w:val="000000"/>
              <w:szCs w:val="20"/>
            </w:rPr>
            <m:t>(t)+</m:t>
          </m:r>
          <m:d>
            <m:dPr>
              <m:ctrlPr>
                <w:rPr>
                  <w:rFonts w:ascii="Cambria Math" w:eastAsia="Cambria Math" w:hAnsi="Cambria Math" w:cstheme="majorHAnsi"/>
                  <w:color w:val="000000"/>
                  <w:szCs w:val="20"/>
                </w:rPr>
              </m:ctrlPr>
            </m:dPr>
            <m:e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1-</m:t>
              </m:r>
              <m:sSub>
                <m:sSubPr>
                  <m:ctrlPr>
                    <w:rPr>
                      <w:rFonts w:ascii="Cambria Math" w:eastAsia="Cambria Math" w:hAnsi="Cambria Math" w:cstheme="majorHAnsi"/>
                      <w:szCs w:val="20"/>
                    </w:rPr>
                  </m:ctrlPr>
                </m:sSubPr>
                <m:e>
                  <m:r>
                    <w:rPr>
                      <w:rFonts w:ascii="Cambria Math" w:eastAsia="Cambria Math" w:hAnsi="Cambria Math" w:cstheme="majorHAnsi"/>
                      <w:color w:val="000000"/>
                      <w:szCs w:val="20"/>
                    </w:rPr>
                    <m:t>f</m:t>
                  </m:r>
                </m:e>
                <m:sub>
                  <m:r>
                    <w:rPr>
                      <w:rFonts w:ascii="Cambria Math" w:eastAsia="Cambria Math" w:hAnsi="Cambria Math" w:cstheme="majorHAnsi"/>
                      <w:szCs w:val="20"/>
                    </w:rPr>
                    <m:t>UL</m:t>
                  </m:r>
                </m:sub>
              </m:sSub>
            </m:e>
          </m:d>
          <m:d>
            <m:dPr>
              <m:ctrlPr>
                <w:rPr>
                  <w:rFonts w:ascii="Cambria Math" w:eastAsia="Cambria Math" w:hAnsi="Cambria Math" w:cstheme="majorHAnsi"/>
                  <w:color w:val="000000"/>
                  <w:szCs w:val="20"/>
                </w:rPr>
              </m:ctrlPr>
            </m:dPr>
            <m:e>
              <m:sSub>
                <m:sSubPr>
                  <m:ctrlPr>
                    <w:rPr>
                      <w:rFonts w:ascii="Cambria Math" w:eastAsia="Cambria Math" w:hAnsi="Cambria Math" w:cstheme="majorHAnsi"/>
                      <w:color w:val="000000"/>
                      <w:szCs w:val="20"/>
                    </w:rPr>
                  </m:ctrlPr>
                </m:sSubPr>
                <m:e>
                  <m:r>
                    <w:rPr>
                      <w:rFonts w:ascii="Cambria Math" w:eastAsia="Cambria Math" w:hAnsi="Cambria Math" w:cstheme="majorHAnsi"/>
                      <w:color w:val="000000"/>
                      <w:szCs w:val="20"/>
                    </w:rPr>
                    <m:t>q</m:t>
                  </m:r>
                </m:e>
                <m:sub>
                  <m:r>
                    <w:rPr>
                      <w:rFonts w:ascii="Cambria Math" w:eastAsia="Cambria Math" w:hAnsi="Cambria Math" w:cstheme="majorHAnsi"/>
                      <w:color w:val="000000"/>
                      <w:szCs w:val="20"/>
                    </w:rPr>
                    <m:t>baseflow</m:t>
                  </m:r>
                </m:sub>
              </m:sSub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(t)+</m:t>
              </m:r>
              <m:sSub>
                <m:sSubPr>
                  <m:ctrlPr>
                    <w:rPr>
                      <w:rFonts w:ascii="Cambria Math" w:eastAsia="Cambria Math" w:hAnsi="Cambria Math" w:cstheme="majorHAnsi"/>
                      <w:color w:val="000000"/>
                      <w:szCs w:val="20"/>
                    </w:rPr>
                  </m:ctrlPr>
                </m:sSubPr>
                <m:e>
                  <m:r>
                    <w:rPr>
                      <w:rFonts w:ascii="Cambria Math" w:eastAsia="Cambria Math" w:hAnsi="Cambria Math" w:cstheme="majorHAnsi"/>
                      <w:color w:val="000000"/>
                      <w:szCs w:val="20"/>
                    </w:rPr>
                    <m:t>q</m:t>
                  </m:r>
                </m:e>
                <m:sub>
                  <m:r>
                    <w:rPr>
                      <w:rFonts w:ascii="Cambria Math" w:eastAsia="Cambria Math" w:hAnsi="Cambria Math" w:cstheme="majorHAnsi"/>
                      <w:color w:val="000000"/>
                      <w:szCs w:val="20"/>
                    </w:rPr>
                    <m:t>soil</m:t>
                  </m:r>
                </m:sub>
              </m:sSub>
              <m:r>
                <w:rPr>
                  <w:rFonts w:ascii="Cambria Math" w:eastAsia="Cambria Math" w:hAnsi="Cambria Math" w:cstheme="majorHAnsi"/>
                  <w:color w:val="000000"/>
                  <w:szCs w:val="20"/>
                </w:rPr>
                <m:t>(t)</m:t>
              </m:r>
            </m:e>
          </m:d>
        </m:oMath>
      </m:oMathPara>
    </w:p>
    <w:p w14:paraId="62EF7826" w14:textId="37B04449" w:rsidR="007B2FF5" w:rsidRPr="007B2FF5" w:rsidRDefault="00C761AF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w:r>
        <w:rPr>
          <w:rFonts w:asciiTheme="majorHAnsi" w:hAnsiTheme="majorHAnsi" w:cstheme="majorHAnsi"/>
          <w:color w:val="000000"/>
          <w:szCs w:val="20"/>
        </w:rPr>
        <w:t xml:space="preserve">             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 xml:space="preserve">= </w:t>
      </w:r>
      <m:oMath>
        <m:sSub>
          <m:sSubPr>
            <m:ctrlPr>
              <w:rPr>
                <w:rFonts w:ascii="Cambria Math" w:eastAsia="Cambria Math" w:hAnsi="Cambria Math" w:cstheme="majorHAnsi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UL</m:t>
            </m:r>
          </m:sub>
        </m:sSub>
        <m:r>
          <w:rPr>
            <w:rFonts w:ascii="Cambria Math" w:eastAsia="Cambria Math" w:hAnsi="Cambria Math" w:cstheme="majorHAnsi"/>
            <w:szCs w:val="20"/>
          </w:rPr>
          <m:t>⋅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 xml:space="preserve">(t)+ </m:t>
        </m:r>
        <m:sSub>
          <m:sSubPr>
            <m:ctrlPr>
              <w:rPr>
                <w:rFonts w:ascii="Cambria Math" w:eastAsia="Cambria Math" w:hAnsi="Cambria Math" w:cstheme="majorHAnsi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UL</m:t>
            </m:r>
          </m:sub>
        </m:sSub>
        <m:r>
          <w:rPr>
            <w:rFonts w:ascii="Cambria Math" w:eastAsia="Cambria Math" w:hAnsi="Cambria Math" w:cstheme="majorHAnsi"/>
            <w:szCs w:val="20"/>
          </w:rPr>
          <m:t>⋅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f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GW→RZ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⋅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 xml:space="preserve">(t)+ </m:t>
        </m:r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1-</m:t>
            </m:r>
            <m:sSub>
              <m:sSubPr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sSub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f</m:t>
                </m:r>
              </m:e>
              <m:sub>
                <m:r>
                  <w:rPr>
                    <w:rFonts w:ascii="Cambria Math" w:eastAsia="Cambria Math" w:hAnsi="Cambria Math" w:cstheme="majorHAnsi"/>
                    <w:szCs w:val="20"/>
                  </w:rPr>
                  <m:t>UL</m:t>
                </m:r>
              </m:sub>
            </m:sSub>
          </m:e>
        </m:d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sSub>
              <m:sSub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sSub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q</m:t>
                </m:r>
              </m:e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baseflow</m:t>
                </m:r>
              </m:sub>
            </m:s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(t)+</m:t>
            </m:r>
            <m:sSub>
              <m:sSub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sSub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q</m:t>
                </m:r>
              </m:e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soil</m:t>
                </m:r>
              </m:sub>
            </m:s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(t)</m:t>
            </m:r>
          </m:e>
        </m:d>
      </m:oMath>
      <w:r>
        <w:rPr>
          <w:rFonts w:asciiTheme="majorHAnsi" w:hAnsiTheme="majorHAnsi" w:cstheme="majorHAnsi"/>
          <w:color w:val="000000"/>
          <w:szCs w:val="20"/>
        </w:rPr>
        <w:t xml:space="preserve">, </w:t>
      </w:r>
      <w:r>
        <w:rPr>
          <w:rFonts w:asciiTheme="majorHAnsi" w:hAnsiTheme="majorHAnsi" w:cstheme="majorHAnsi"/>
          <w:color w:val="000000"/>
          <w:szCs w:val="20"/>
        </w:rPr>
        <w:tab/>
      </w:r>
      <w:r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(S12)</w:t>
      </w:r>
    </w:p>
    <w:p w14:paraId="17E1316F" w14:textId="7777777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 xml:space="preserve">To ensure a consistent streamflow simulation with the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mHM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 xml:space="preserve"> model, we assumed that in the riparian zone, inflow equals outflow. Therefore, the total outflow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STREAM</m:t>
            </m:r>
          </m:sub>
        </m:sSub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 ha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day</w:t>
      </w:r>
      <w:r w:rsidRPr="007B2FF5">
        <w:rPr>
          <w:rFonts w:asciiTheme="majorHAnsi" w:hAnsiTheme="majorHAnsi" w:cstheme="majorHAnsi"/>
          <w:color w:val="000000"/>
          <w:szCs w:val="20"/>
          <w:vertAlign w:val="superscript"/>
        </w:rPr>
        <w:t>-1</w:t>
      </w:r>
      <w:r w:rsidRPr="007B2FF5">
        <w:rPr>
          <w:rFonts w:asciiTheme="majorHAnsi" w:hAnsiTheme="majorHAnsi" w:cstheme="majorHAnsi"/>
          <w:color w:val="000000"/>
          <w:szCs w:val="20"/>
        </w:rPr>
        <w:t>) from the catchment is:</w:t>
      </w:r>
    </w:p>
    <w:p w14:paraId="35322AD1" w14:textId="6F9562F6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STREAM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GW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(t)+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RZ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(t)=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(t)+</m:t>
        </m:r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q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baseflow</m:t>
            </m:r>
          </m:sub>
        </m:sSub>
        <m:r>
          <w:rPr>
            <w:rFonts w:ascii="Cambria Math" w:eastAsia="Cambria Math" w:hAnsi="Cambria Math" w:cstheme="majorHAnsi"/>
            <w:color w:val="000000"/>
            <w:szCs w:val="20"/>
          </w:rPr>
          <m:t>(t)</m:t>
        </m:r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(S13)</w:t>
      </w:r>
    </w:p>
    <w:p w14:paraId="60A1764E" w14:textId="101457E9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>Streamflow in the lumped (Eq. S</w:t>
      </w:r>
      <w:r w:rsidRPr="007B2FF5">
        <w:rPr>
          <w:rFonts w:asciiTheme="majorHAnsi" w:hAnsiTheme="majorHAnsi" w:cstheme="majorHAnsi"/>
          <w:szCs w:val="20"/>
        </w:rPr>
        <w:t>6</w:t>
      </w:r>
      <w:r w:rsidRPr="007B2FF5">
        <w:rPr>
          <w:rFonts w:asciiTheme="majorHAnsi" w:hAnsiTheme="majorHAnsi" w:cstheme="majorHAnsi"/>
          <w:color w:val="000000"/>
          <w:szCs w:val="20"/>
        </w:rPr>
        <w:t>) and landscape</w:t>
      </w:r>
      <w:r w:rsidRPr="007B2FF5">
        <w:rPr>
          <w:rFonts w:asciiTheme="majorHAnsi" w:hAnsiTheme="majorHAnsi" w:cstheme="majorHAnsi"/>
          <w:szCs w:val="20"/>
        </w:rPr>
        <w:t>-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explicit </w:t>
      </w:r>
      <w:r w:rsidRPr="007B2FF5">
        <w:rPr>
          <w:rFonts w:asciiTheme="majorHAnsi" w:hAnsiTheme="majorHAnsi" w:cstheme="majorHAnsi"/>
          <w:szCs w:val="20"/>
        </w:rPr>
        <w:t xml:space="preserve">(Eq. S13) 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model </w:t>
      </w:r>
      <w:r w:rsidRPr="007B2FF5">
        <w:rPr>
          <w:rFonts w:asciiTheme="majorHAnsi" w:hAnsiTheme="majorHAnsi" w:cstheme="majorHAnsi"/>
          <w:szCs w:val="20"/>
        </w:rPr>
        <w:t>structures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are identical. Water storage in the </w:t>
      </w:r>
      <w:r w:rsidRPr="007B2FF5">
        <w:rPr>
          <w:rFonts w:asciiTheme="majorHAnsi" w:hAnsiTheme="majorHAnsi" w:cstheme="majorHAnsi"/>
          <w:szCs w:val="20"/>
        </w:rPr>
        <w:t>upland</w:t>
      </w:r>
      <w:r w:rsidRPr="007B2FF5">
        <w:rPr>
          <w:rFonts w:asciiTheme="majorHAnsi" w:hAnsiTheme="majorHAnsi" w:cstheme="majorHAnsi"/>
          <w:color w:val="000000"/>
          <w:szCs w:val="20"/>
        </w:rPr>
        <w:t xml:space="preserve"> and groundwater zone are the same as </w:t>
      </w:r>
      <w:proofErr w:type="spellStart"/>
      <w:r w:rsidRPr="007B2FF5">
        <w:rPr>
          <w:rFonts w:asciiTheme="majorHAnsi" w:hAnsiTheme="majorHAnsi" w:cstheme="majorHAnsi"/>
          <w:color w:val="000000"/>
          <w:szCs w:val="20"/>
        </w:rPr>
        <w:t>Eqs</w:t>
      </w:r>
      <w:proofErr w:type="spellEnd"/>
      <w:r w:rsidRPr="007B2FF5">
        <w:rPr>
          <w:rFonts w:asciiTheme="majorHAnsi" w:hAnsiTheme="majorHAnsi" w:cstheme="majorHAnsi"/>
          <w:color w:val="000000"/>
          <w:szCs w:val="20"/>
        </w:rPr>
        <w:t>. S7</w:t>
      </w:r>
      <w:r w:rsidR="007E74FB">
        <w:rPr>
          <w:rFonts w:asciiTheme="majorHAnsi" w:hAnsiTheme="majorHAnsi" w:cstheme="majorHAnsi"/>
          <w:color w:val="000000"/>
          <w:szCs w:val="20"/>
        </w:rPr>
        <w:t>-</w:t>
      </w:r>
      <w:r w:rsidRPr="007B2FF5">
        <w:rPr>
          <w:rFonts w:asciiTheme="majorHAnsi" w:hAnsiTheme="majorHAnsi" w:cstheme="majorHAnsi"/>
          <w:color w:val="000000"/>
          <w:szCs w:val="20"/>
        </w:rPr>
        <w:t>S8</w:t>
      </w:r>
      <w:r w:rsidR="007E74FB">
        <w:rPr>
          <w:rFonts w:asciiTheme="majorHAnsi" w:hAnsiTheme="majorHAnsi" w:cstheme="majorHAnsi"/>
          <w:color w:val="000000"/>
          <w:szCs w:val="20"/>
        </w:rPr>
        <w:t xml:space="preserve"> </w:t>
      </w:r>
      <w:r w:rsidRPr="007B2FF5">
        <w:rPr>
          <w:rFonts w:asciiTheme="majorHAnsi" w:hAnsiTheme="majorHAnsi" w:cstheme="majorHAnsi"/>
          <w:color w:val="000000"/>
          <w:szCs w:val="20"/>
        </w:rPr>
        <w:t>while the water storage in the riparian zone (</w:t>
      </w: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RZ</m:t>
            </m:r>
          </m:sub>
        </m:sSub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t</m:t>
            </m:r>
          </m:e>
        </m:d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mm) is:</w:t>
      </w:r>
    </w:p>
    <w:p w14:paraId="2D447B22" w14:textId="6D095FCC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color w:val="000000"/>
          <w:szCs w:val="20"/>
        </w:rPr>
      </w:pPr>
      <m:oMath>
        <m:sSub>
          <m:sSub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Pr>
          <m:e>
            <m:sSub>
              <m:sSub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sSub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S</m:t>
                </m:r>
              </m:e>
              <m:sub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RZ</m:t>
                </m:r>
              </m:sub>
            </m:sSub>
            <m:d>
              <m:dPr>
                <m:ctrlP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</m:ctrlPr>
              </m:dPr>
              <m:e>
                <m:r>
                  <w:rPr>
                    <w:rFonts w:ascii="Cambria Math" w:eastAsia="Cambria Math" w:hAnsi="Cambria Math" w:cstheme="majorHAnsi"/>
                    <w:color w:val="000000"/>
                    <w:szCs w:val="20"/>
                  </w:rPr>
                  <m:t>t</m:t>
                </m:r>
              </m:e>
            </m:d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= 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soil</m:t>
            </m:r>
          </m:sub>
        </m:sSub>
        <m:d>
          <m:d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d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t</m:t>
            </m:r>
          </m:e>
        </m:d>
        <m:r>
          <w:rPr>
            <w:rFonts w:ascii="Cambria Math" w:eastAsia="Cambria Math" w:hAnsi="Cambria Math" w:cstheme="majorHAnsi"/>
            <w:color w:val="000000"/>
            <w:szCs w:val="20"/>
          </w:rPr>
          <m:t>+</m:t>
        </m:r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RZ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0</m:t>
            </m:r>
          </m:sup>
        </m:sSubSup>
      </m:oMath>
      <w:r w:rsidR="00C761AF">
        <w:rPr>
          <w:rFonts w:asciiTheme="majorHAnsi" w:hAnsiTheme="majorHAnsi" w:cstheme="majorHAnsi"/>
          <w:color w:val="000000"/>
          <w:szCs w:val="20"/>
        </w:rPr>
        <w:t>,</w:t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C761AF">
        <w:rPr>
          <w:rFonts w:asciiTheme="majorHAnsi" w:hAnsiTheme="majorHAnsi" w:cstheme="majorHAnsi"/>
          <w:color w:val="000000"/>
          <w:szCs w:val="20"/>
        </w:rPr>
        <w:tab/>
      </w:r>
      <w:r w:rsidR="007B2FF5" w:rsidRPr="007B2FF5">
        <w:rPr>
          <w:rFonts w:asciiTheme="majorHAnsi" w:hAnsiTheme="majorHAnsi" w:cstheme="majorHAnsi"/>
          <w:color w:val="000000"/>
          <w:szCs w:val="20"/>
        </w:rPr>
        <w:t>(S14)</w:t>
      </w:r>
    </w:p>
    <w:p w14:paraId="3734974D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 xml:space="preserve">where </w:t>
      </w:r>
      <m:oMath>
        <m:sSubSup>
          <m:sSubSupPr>
            <m:ctrlPr>
              <w:rPr>
                <w:rFonts w:ascii="Cambria Math" w:eastAsia="Cambria Math" w:hAnsi="Cambria Math" w:cstheme="majorHAnsi"/>
                <w:color w:val="000000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S</m:t>
            </m:r>
          </m:e>
          <m:sub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RZ</m:t>
            </m:r>
          </m:sub>
          <m:sup>
            <m:r>
              <w:rPr>
                <w:rFonts w:ascii="Cambria Math" w:eastAsia="Cambria Math" w:hAnsi="Cambria Math" w:cstheme="majorHAnsi"/>
                <w:color w:val="000000"/>
                <w:szCs w:val="20"/>
              </w:rPr>
              <m:t>0</m:t>
            </m:r>
          </m:sup>
        </m:sSubSup>
      </m:oMath>
      <w:r w:rsidRPr="007B2FF5">
        <w:rPr>
          <w:rFonts w:asciiTheme="majorHAnsi" w:hAnsiTheme="majorHAnsi" w:cstheme="majorHAnsi"/>
          <w:color w:val="000000"/>
          <w:szCs w:val="20"/>
        </w:rPr>
        <w:t xml:space="preserve"> (mm) is the initial water storage in the riparian zone.</w:t>
      </w:r>
    </w:p>
    <w:p w14:paraId="779D378A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</w:p>
    <w:p w14:paraId="6568AFC7" w14:textId="77777777" w:rsidR="007B2FF5" w:rsidRPr="007B2FF5" w:rsidRDefault="007B2FF5" w:rsidP="007B2FF5">
      <w:pPr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szCs w:val="20"/>
        </w:rPr>
        <w:br w:type="page"/>
      </w:r>
    </w:p>
    <w:p w14:paraId="7C2C4EDD" w14:textId="77777777" w:rsidR="007B2FF5" w:rsidRPr="007B2FF5" w:rsidRDefault="007B2FF5" w:rsidP="000A2DD2">
      <w:pPr>
        <w:pStyle w:val="Heading1"/>
      </w:pPr>
      <w:r w:rsidRPr="007B2FF5">
        <w:lastRenderedPageBreak/>
        <w:t xml:space="preserve">Text S2. Model performance metrics </w:t>
      </w:r>
    </w:p>
    <w:p w14:paraId="4ADA71DD" w14:textId="04940947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262626"/>
          <w:szCs w:val="20"/>
        </w:rPr>
      </w:pPr>
      <w:r w:rsidRPr="007B2FF5">
        <w:rPr>
          <w:rFonts w:asciiTheme="majorHAnsi" w:hAnsiTheme="majorHAnsi" w:cstheme="majorHAnsi"/>
          <w:color w:val="000000"/>
          <w:szCs w:val="20"/>
        </w:rPr>
        <w:t xml:space="preserve">In addition to the KGE that was used for model calibration, we also evaluated the performance of </w:t>
      </w:r>
      <w:r w:rsidR="007E74FB" w:rsidRPr="007B2FF5">
        <w:rPr>
          <w:rFonts w:asciiTheme="majorHAnsi" w:hAnsiTheme="majorHAnsi" w:cstheme="majorHAnsi"/>
          <w:color w:val="000000"/>
          <w:szCs w:val="20"/>
        </w:rPr>
        <w:t>behavioural</w:t>
      </w:r>
      <w:bookmarkStart w:id="2" w:name="_GoBack"/>
      <w:bookmarkEnd w:id="2"/>
      <w:r w:rsidRPr="007B2FF5">
        <w:rPr>
          <w:rFonts w:asciiTheme="majorHAnsi" w:hAnsiTheme="majorHAnsi" w:cstheme="majorHAnsi"/>
          <w:color w:val="000000"/>
          <w:szCs w:val="20"/>
        </w:rPr>
        <w:t xml:space="preserve"> simulations using the </w:t>
      </w:r>
      <w:r w:rsidRPr="007B2FF5">
        <w:rPr>
          <w:rFonts w:asciiTheme="majorHAnsi" w:hAnsiTheme="majorHAnsi" w:cstheme="majorHAnsi"/>
          <w:color w:val="262626"/>
          <w:szCs w:val="20"/>
        </w:rPr>
        <w:t>Nash–Sutcliffe efficiency (NSE, Nash and Sutcliffe, 1970), relative bias (BIAS), and R-squared (R</w:t>
      </w:r>
      <w:r w:rsidRPr="007B2FF5">
        <w:rPr>
          <w:rFonts w:asciiTheme="majorHAnsi" w:hAnsiTheme="majorHAnsi" w:cstheme="majorHAnsi"/>
          <w:color w:val="262626"/>
          <w:szCs w:val="20"/>
          <w:vertAlign w:val="superscript"/>
        </w:rPr>
        <w:t>2</w:t>
      </w:r>
      <w:r w:rsidRPr="007B2FF5">
        <w:rPr>
          <w:rFonts w:asciiTheme="majorHAnsi" w:hAnsiTheme="majorHAnsi" w:cstheme="majorHAnsi"/>
          <w:color w:val="262626"/>
          <w:szCs w:val="20"/>
        </w:rPr>
        <w:t xml:space="preserve">): </w:t>
      </w:r>
    </w:p>
    <w:p w14:paraId="394F159C" w14:textId="5ACBD13F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szCs w:val="20"/>
        </w:rPr>
      </w:pPr>
      <m:oMath>
        <m:r>
          <w:rPr>
            <w:rFonts w:ascii="Cambria Math" w:eastAsia="Cambria Math" w:hAnsi="Cambria Math" w:cstheme="majorHAnsi"/>
            <w:szCs w:val="20"/>
          </w:rPr>
          <m:t>NSE=1-</m:t>
        </m:r>
        <m:f>
          <m:fPr>
            <m:ctrlPr>
              <w:rPr>
                <w:rFonts w:ascii="Cambria Math" w:eastAsia="Cambria Math" w:hAnsi="Cambria Math" w:cstheme="majorHAnsi"/>
                <w:szCs w:val="20"/>
              </w:rPr>
            </m:ctrlPr>
          </m:fPr>
          <m:num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szCs w:val="20"/>
                  </w:rPr>
                  <m:t>k=1</m:t>
                </m:r>
              </m:sub>
              <m:sup>
                <m:r>
                  <w:rPr>
                    <w:rFonts w:ascii="Cambria Math" w:eastAsia="Cambria Math" w:hAnsi="Cambria Math" w:cstheme="majorHAnsi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szCs w:val="20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obs</m:t>
                            </m:r>
                          </m:sup>
                        </m:sSubSup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-</m:t>
                        </m:r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sim</m:t>
                            </m:r>
                          </m:sup>
                        </m:sSubSup>
                      </m:e>
                    </m:d>
                  </m:e>
                  <m:sup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2</m:t>
                    </m:r>
                  </m:sup>
                </m:sSup>
              </m:e>
            </m:nary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szCs w:val="20"/>
                  </w:rPr>
                  <m:t>k=1</m:t>
                </m:r>
              </m:sub>
              <m:sup>
                <m:r>
                  <w:rPr>
                    <w:rFonts w:ascii="Cambria Math" w:eastAsia="Cambria Math" w:hAnsi="Cambria Math" w:cstheme="majorHAnsi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szCs w:val="20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obs</m:t>
                            </m:r>
                          </m:sup>
                        </m:sSubSup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-</m:t>
                        </m:r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bar>
                              <m:barPr>
                                <m:ctrlP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</m:ctrlPr>
                              </m:barPr>
                              <m:e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x</m:t>
                                </m:r>
                              </m:e>
                            </m:ba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obs</m:t>
                            </m:r>
                          </m:sup>
                        </m:sSubSup>
                      </m:e>
                    </m:d>
                  </m:e>
                  <m:sup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2</m:t>
                    </m:r>
                  </m:sup>
                </m:sSup>
              </m:e>
            </m:nary>
          </m:den>
        </m:f>
      </m:oMath>
      <w:r w:rsidR="00C761AF">
        <w:rPr>
          <w:rFonts w:asciiTheme="majorHAnsi" w:hAnsiTheme="majorHAnsi" w:cstheme="majorHAnsi"/>
          <w:szCs w:val="20"/>
        </w:rPr>
        <w:t>,</w:t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="00C761AF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>(S15)</w:t>
      </w:r>
    </w:p>
    <w:p w14:paraId="29FCD1D9" w14:textId="72D9B484" w:rsidR="007B2FF5" w:rsidRPr="007B2FF5" w:rsidRDefault="007B2FF5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szCs w:val="20"/>
        </w:rPr>
      </w:pPr>
      <m:oMath>
        <m:r>
          <w:rPr>
            <w:rFonts w:ascii="Cambria Math" w:eastAsia="Cambria Math" w:hAnsi="Cambria Math" w:cstheme="majorHAnsi"/>
            <w:szCs w:val="20"/>
          </w:rPr>
          <m:t>BIAS=</m:t>
        </m:r>
        <m:f>
          <m:fPr>
            <m:ctrlPr>
              <w:rPr>
                <w:rFonts w:ascii="Cambria Math" w:eastAsia="Cambria Math" w:hAnsi="Cambria Math" w:cstheme="majorHAnsi"/>
                <w:szCs w:val="20"/>
              </w:rPr>
            </m:ctrlPr>
          </m:fPr>
          <m:num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szCs w:val="20"/>
                  </w:rPr>
                  <m:t>k=1</m:t>
                </m:r>
              </m:sub>
              <m:sup>
                <m:r>
                  <w:rPr>
                    <w:rFonts w:ascii="Cambria Math" w:eastAsia="Cambria Math" w:hAnsi="Cambria Math" w:cstheme="majorHAnsi"/>
                    <w:szCs w:val="20"/>
                  </w:rPr>
                  <m:t>n</m:t>
                </m:r>
              </m:sup>
              <m:e>
                <m:d>
                  <m:dPr>
                    <m:ctrlPr>
                      <w:rPr>
                        <w:rFonts w:ascii="Cambria Math" w:eastAsia="Cambria Math" w:hAnsi="Cambria Math" w:cstheme="majorHAnsi"/>
                        <w:szCs w:val="20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</m:ctrlPr>
                      </m:sSubSupPr>
                      <m:e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k</m:t>
                        </m:r>
                      </m:sub>
                      <m:sup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obs</m:t>
                        </m:r>
                      </m:sup>
                    </m:sSubSup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</m:ctrlPr>
                      </m:sSubSupPr>
                      <m:e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k</m:t>
                        </m:r>
                      </m:sub>
                      <m:sup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sim</m:t>
                        </m:r>
                      </m:sup>
                    </m:sSubSup>
                  </m:e>
                </m:d>
              </m:e>
            </m:nary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szCs w:val="20"/>
                  </w:rPr>
                  <m:t>k=1</m:t>
                </m:r>
              </m:sub>
              <m:sup>
                <m:r>
                  <w:rPr>
                    <w:rFonts w:ascii="Cambria Math" w:eastAsia="Cambria Math" w:hAnsi="Cambria Math" w:cstheme="majorHAnsi"/>
                    <w:szCs w:val="20"/>
                  </w:rPr>
                  <m:t>n</m:t>
                </m:r>
              </m:sup>
              <m:e>
                <m:sSubSup>
                  <m:sSubSupPr>
                    <m:ctrlPr>
                      <w:rPr>
                        <w:rFonts w:ascii="Cambria Math" w:eastAsia="Cambria Math" w:hAnsi="Cambria Math" w:cstheme="majorHAnsi"/>
                        <w:szCs w:val="20"/>
                      </w:rPr>
                    </m:ctrlPr>
                  </m:sSubSupPr>
                  <m:e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x</m:t>
                    </m:r>
                  </m:e>
                  <m:sub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k</m:t>
                    </m:r>
                  </m:sub>
                  <m:sup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obs</m:t>
                    </m:r>
                  </m:sup>
                </m:sSubSup>
              </m:e>
            </m:nary>
          </m:den>
        </m:f>
      </m:oMath>
      <w:r w:rsidR="00C761AF">
        <w:rPr>
          <w:rFonts w:asciiTheme="majorHAnsi" w:hAnsiTheme="majorHAnsi" w:cstheme="majorHAnsi"/>
          <w:szCs w:val="20"/>
        </w:rPr>
        <w:t>,</w:t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ab/>
      </w:r>
      <w:r w:rsidR="00C761AF">
        <w:rPr>
          <w:rFonts w:asciiTheme="majorHAnsi" w:hAnsiTheme="majorHAnsi" w:cstheme="majorHAnsi"/>
          <w:szCs w:val="20"/>
        </w:rPr>
        <w:tab/>
      </w:r>
      <w:r w:rsidRPr="007B2FF5">
        <w:rPr>
          <w:rFonts w:asciiTheme="majorHAnsi" w:hAnsiTheme="majorHAnsi" w:cstheme="majorHAnsi"/>
          <w:szCs w:val="20"/>
        </w:rPr>
        <w:t>(S16)</w:t>
      </w:r>
    </w:p>
    <w:p w14:paraId="630B32F1" w14:textId="05B49556" w:rsidR="007B2FF5" w:rsidRPr="007B2FF5" w:rsidRDefault="001A0FCE" w:rsidP="00C761AF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left"/>
        <w:rPr>
          <w:rFonts w:asciiTheme="majorHAnsi" w:hAnsiTheme="majorHAnsi" w:cstheme="majorHAnsi"/>
          <w:szCs w:val="20"/>
        </w:rPr>
      </w:pPr>
      <m:oMath>
        <m:sSup>
          <m:sSupPr>
            <m:ctrlPr>
              <w:rPr>
                <w:rFonts w:ascii="Cambria Math" w:eastAsia="Cambria Math" w:hAnsi="Cambria Math" w:cstheme="majorHAnsi"/>
                <w:szCs w:val="20"/>
              </w:rPr>
            </m:ctrlPr>
          </m:sSupPr>
          <m:e>
            <m:r>
              <w:rPr>
                <w:rFonts w:ascii="Cambria Math" w:eastAsia="Cambria Math" w:hAnsi="Cambria Math" w:cstheme="majorHAnsi"/>
                <w:szCs w:val="20"/>
              </w:rPr>
              <m:t>R</m:t>
            </m:r>
          </m:e>
          <m:sup>
            <m:r>
              <w:rPr>
                <w:rFonts w:ascii="Cambria Math" w:eastAsia="Cambria Math" w:hAnsi="Cambria Math" w:cstheme="majorHAnsi"/>
                <w:szCs w:val="20"/>
              </w:rPr>
              <m:t>2</m:t>
            </m:r>
          </m:sup>
        </m:sSup>
        <m:r>
          <w:rPr>
            <w:rFonts w:ascii="Cambria Math" w:eastAsia="Cambria Math" w:hAnsi="Cambria Math" w:cstheme="majorHAnsi"/>
            <w:szCs w:val="20"/>
          </w:rPr>
          <m:t>=</m:t>
        </m:r>
        <m:f>
          <m:fPr>
            <m:ctrlPr>
              <w:rPr>
                <w:rFonts w:ascii="Cambria Math" w:eastAsia="Cambria Math" w:hAnsi="Cambria Math" w:cstheme="majorHAnsi"/>
                <w:szCs w:val="20"/>
              </w:rPr>
            </m:ctrlPr>
          </m:fPr>
          <m:num>
            <m:sSup>
              <m:sSupPr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Cambria Math" w:hAnsi="Cambria Math" w:cstheme="majorHAnsi"/>
                        <w:szCs w:val="20"/>
                      </w:rPr>
                    </m:ctrlPr>
                  </m:dPr>
                  <m:e>
                    <m:nary>
                      <m:naryPr>
                        <m:chr m:val="∑"/>
                        <m:ctrlP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</m:ctrlPr>
                      </m:naryPr>
                      <m:sub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k=1</m:t>
                        </m:r>
                      </m:sub>
                      <m:sup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n</m:t>
                        </m:r>
                      </m:sup>
                      <m:e>
                        <m:d>
                          <m:d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dPr>
                          <m:e>
                            <m:sSubSup>
                              <m:sSubSupPr>
                                <m:ctrlP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k</m:t>
                                </m:r>
                              </m:sub>
                              <m:sup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obs</m:t>
                                </m:r>
                              </m:sup>
                            </m:sSub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-</m:t>
                            </m:r>
                            <m:sSubSup>
                              <m:sSubSupPr>
                                <m:ctrlP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</m:ctrlPr>
                              </m:sSubSupPr>
                              <m:e>
                                <m:bar>
                                  <m:barPr>
                                    <m:ctrlPr>
                                      <w:rPr>
                                        <w:rFonts w:ascii="Cambria Math" w:eastAsia="Cambria Math" w:hAnsi="Cambria Math" w:cstheme="majorHAnsi"/>
                                        <w:szCs w:val="20"/>
                                      </w:rPr>
                                    </m:ctrlPr>
                                  </m:barPr>
                                  <m:e>
                                    <m:r>
                                      <w:rPr>
                                        <w:rFonts w:ascii="Cambria Math" w:eastAsia="Cambria Math" w:hAnsi="Cambria Math" w:cstheme="majorHAnsi"/>
                                        <w:szCs w:val="20"/>
                                      </w:rPr>
                                      <m:t>x</m:t>
                                    </m:r>
                                  </m:e>
                                </m:bar>
                              </m:e>
                              <m:sub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k</m:t>
                                </m:r>
                              </m:sub>
                              <m:sup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obs</m:t>
                                </m:r>
                              </m:sup>
                            </m:sSubSup>
                          </m:e>
                        </m:d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⋅</m:t>
                        </m:r>
                        <m:d>
                          <m:d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dPr>
                          <m:e>
                            <m:sSubSup>
                              <m:sSubSupPr>
                                <m:ctrlP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k</m:t>
                                </m:r>
                              </m:sub>
                              <m:sup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sim</m:t>
                                </m:r>
                              </m:sup>
                            </m:sSub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-</m:t>
                            </m:r>
                            <m:sSubSup>
                              <m:sSubSupPr>
                                <m:ctrlP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</m:ctrlPr>
                              </m:sSubSupPr>
                              <m:e>
                                <m:bar>
                                  <m:barPr>
                                    <m:ctrlPr>
                                      <w:rPr>
                                        <w:rFonts w:ascii="Cambria Math" w:eastAsia="Cambria Math" w:hAnsi="Cambria Math" w:cstheme="majorHAnsi"/>
                                        <w:szCs w:val="20"/>
                                      </w:rPr>
                                    </m:ctrlPr>
                                  </m:barPr>
                                  <m:e>
                                    <m:r>
                                      <w:rPr>
                                        <w:rFonts w:ascii="Cambria Math" w:eastAsia="Cambria Math" w:hAnsi="Cambria Math" w:cstheme="majorHAnsi"/>
                                        <w:szCs w:val="20"/>
                                      </w:rPr>
                                      <m:t>x</m:t>
                                    </m:r>
                                  </m:e>
                                </m:bar>
                              </m:e>
                              <m:sub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k</m:t>
                                </m:r>
                              </m:sub>
                              <m:sup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sim</m:t>
                                </m:r>
                              </m:sup>
                            </m:sSubSup>
                          </m:e>
                        </m:d>
                      </m:e>
                    </m:nary>
                  </m:e>
                </m:d>
              </m:e>
              <m:sup>
                <m:r>
                  <w:rPr>
                    <w:rFonts w:ascii="Cambria Math" w:eastAsia="Cambria Math" w:hAnsi="Cambria Math" w:cstheme="majorHAnsi"/>
                    <w:szCs w:val="20"/>
                  </w:rPr>
                  <m:t>2</m:t>
                </m:r>
              </m:sup>
            </m:sSup>
          </m:num>
          <m:den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szCs w:val="20"/>
                  </w:rPr>
                  <m:t>k=1</m:t>
                </m:r>
              </m:sub>
              <m:sup>
                <m:r>
                  <w:rPr>
                    <w:rFonts w:ascii="Cambria Math" w:eastAsia="Cambria Math" w:hAnsi="Cambria Math" w:cstheme="majorHAnsi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szCs w:val="20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obs</m:t>
                            </m:r>
                          </m:sup>
                        </m:sSubSup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-</m:t>
                        </m:r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bar>
                              <m:barPr>
                                <m:ctrlP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</m:ctrlPr>
                              </m:barPr>
                              <m:e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x</m:t>
                                </m:r>
                              </m:e>
                            </m:ba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obs</m:t>
                            </m:r>
                          </m:sup>
                        </m:sSubSup>
                      </m:e>
                    </m:d>
                  </m:e>
                  <m:sup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2</m:t>
                    </m:r>
                  </m:sup>
                </m:sSup>
              </m:e>
            </m:nary>
            <m:r>
              <w:rPr>
                <w:rFonts w:ascii="Cambria Math" w:eastAsia="Cambria Math" w:hAnsi="Cambria Math" w:cstheme="majorHAnsi"/>
                <w:szCs w:val="20"/>
              </w:rPr>
              <m:t>⋅</m:t>
            </m:r>
            <m:nary>
              <m:naryPr>
                <m:chr m:val="∑"/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naryPr>
              <m:sub>
                <m:r>
                  <w:rPr>
                    <w:rFonts w:ascii="Cambria Math" w:eastAsia="Cambria Math" w:hAnsi="Cambria Math" w:cstheme="majorHAnsi"/>
                    <w:szCs w:val="20"/>
                  </w:rPr>
                  <m:t>k=1</m:t>
                </m:r>
              </m:sub>
              <m:sup>
                <m:r>
                  <w:rPr>
                    <w:rFonts w:ascii="Cambria Math" w:eastAsia="Cambria Math" w:hAnsi="Cambria Math" w:cstheme="majorHAnsi"/>
                    <w:szCs w:val="20"/>
                  </w:rPr>
                  <m:t>n</m:t>
                </m:r>
              </m:sup>
              <m:e>
                <m:sSup>
                  <m:sSupPr>
                    <m:ctrlPr>
                      <w:rPr>
                        <w:rFonts w:ascii="Cambria Math" w:eastAsia="Cambria Math" w:hAnsi="Cambria Math" w:cstheme="majorHAnsi"/>
                        <w:szCs w:val="20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</m:ctrlPr>
                      </m:dPr>
                      <m:e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sim</m:t>
                            </m:r>
                          </m:sup>
                        </m:sSubSup>
                        <m:r>
                          <w:rPr>
                            <w:rFonts w:ascii="Cambria Math" w:eastAsia="Cambria Math" w:hAnsi="Cambria Math" w:cstheme="majorHAnsi"/>
                            <w:szCs w:val="20"/>
                          </w:rPr>
                          <m:t>-</m:t>
                        </m:r>
                        <m:sSubSup>
                          <m:sSubSupPr>
                            <m:ctrlP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</m:ctrlPr>
                          </m:sSubSupPr>
                          <m:e>
                            <m:bar>
                              <m:barPr>
                                <m:ctrlP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</m:ctrlPr>
                              </m:barPr>
                              <m:e>
                                <m:r>
                                  <w:rPr>
                                    <w:rFonts w:ascii="Cambria Math" w:eastAsia="Cambria Math" w:hAnsi="Cambria Math" w:cstheme="majorHAnsi"/>
                                    <w:szCs w:val="20"/>
                                  </w:rPr>
                                  <m:t>x</m:t>
                                </m:r>
                              </m:e>
                            </m:bar>
                          </m:e>
                          <m:sub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k</m:t>
                            </m:r>
                          </m:sub>
                          <m:sup>
                            <m:r>
                              <w:rPr>
                                <w:rFonts w:ascii="Cambria Math" w:eastAsia="Cambria Math" w:hAnsi="Cambria Math" w:cstheme="majorHAnsi"/>
                                <w:szCs w:val="20"/>
                              </w:rPr>
                              <m:t>sim</m:t>
                            </m:r>
                          </m:sup>
                        </m:sSubSup>
                      </m:e>
                    </m:d>
                  </m:e>
                  <m:sup>
                    <m:r>
                      <w:rPr>
                        <w:rFonts w:ascii="Cambria Math" w:eastAsia="Cambria Math" w:hAnsi="Cambria Math" w:cstheme="majorHAnsi"/>
                        <w:szCs w:val="20"/>
                      </w:rPr>
                      <m:t>2</m:t>
                    </m:r>
                  </m:sup>
                </m:sSup>
              </m:e>
            </m:nary>
          </m:den>
        </m:f>
      </m:oMath>
      <w:r w:rsidR="00C761AF">
        <w:rPr>
          <w:rFonts w:asciiTheme="majorHAnsi" w:hAnsiTheme="majorHAnsi" w:cstheme="majorHAnsi"/>
          <w:szCs w:val="20"/>
        </w:rPr>
        <w:t>,</w:t>
      </w:r>
      <w:r w:rsidR="007B2FF5" w:rsidRPr="007B2FF5">
        <w:rPr>
          <w:rFonts w:asciiTheme="majorHAnsi" w:hAnsiTheme="majorHAnsi" w:cstheme="majorHAnsi"/>
          <w:szCs w:val="20"/>
        </w:rPr>
        <w:tab/>
      </w:r>
      <w:r w:rsidR="007B2FF5" w:rsidRPr="007B2FF5">
        <w:rPr>
          <w:rFonts w:asciiTheme="majorHAnsi" w:hAnsiTheme="majorHAnsi" w:cstheme="majorHAnsi"/>
          <w:szCs w:val="20"/>
        </w:rPr>
        <w:tab/>
      </w:r>
      <w:r w:rsidR="007B2FF5" w:rsidRPr="007B2FF5">
        <w:rPr>
          <w:rFonts w:asciiTheme="majorHAnsi" w:hAnsiTheme="majorHAnsi" w:cstheme="majorHAnsi"/>
          <w:szCs w:val="20"/>
        </w:rPr>
        <w:tab/>
      </w:r>
      <w:r w:rsidR="007B2FF5" w:rsidRPr="007B2FF5">
        <w:rPr>
          <w:rFonts w:asciiTheme="majorHAnsi" w:hAnsiTheme="majorHAnsi" w:cstheme="majorHAnsi"/>
          <w:szCs w:val="20"/>
        </w:rPr>
        <w:tab/>
      </w:r>
      <w:r w:rsidR="007B2FF5" w:rsidRPr="007B2FF5">
        <w:rPr>
          <w:rFonts w:asciiTheme="majorHAnsi" w:hAnsiTheme="majorHAnsi" w:cstheme="majorHAnsi"/>
          <w:szCs w:val="20"/>
        </w:rPr>
        <w:tab/>
      </w:r>
      <w:r w:rsidR="007B2FF5" w:rsidRPr="007B2FF5">
        <w:rPr>
          <w:rFonts w:asciiTheme="majorHAnsi" w:hAnsiTheme="majorHAnsi" w:cstheme="majorHAnsi"/>
          <w:szCs w:val="20"/>
        </w:rPr>
        <w:tab/>
      </w:r>
      <w:r w:rsidR="007B2FF5" w:rsidRPr="007B2FF5">
        <w:rPr>
          <w:rFonts w:asciiTheme="majorHAnsi" w:hAnsiTheme="majorHAnsi" w:cstheme="majorHAnsi"/>
          <w:szCs w:val="20"/>
        </w:rPr>
        <w:tab/>
      </w:r>
      <w:r w:rsidR="00C761AF">
        <w:rPr>
          <w:rFonts w:asciiTheme="majorHAnsi" w:hAnsiTheme="majorHAnsi" w:cstheme="majorHAnsi"/>
          <w:szCs w:val="20"/>
        </w:rPr>
        <w:tab/>
      </w:r>
      <w:r w:rsidR="007B2FF5" w:rsidRPr="007B2FF5">
        <w:rPr>
          <w:rFonts w:asciiTheme="majorHAnsi" w:hAnsiTheme="majorHAnsi" w:cstheme="majorHAnsi"/>
          <w:szCs w:val="20"/>
        </w:rPr>
        <w:t>(S17)</w:t>
      </w:r>
    </w:p>
    <w:p w14:paraId="3FAE41D6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szCs w:val="20"/>
        </w:rPr>
      </w:pPr>
      <w:r w:rsidRPr="007B2FF5">
        <w:rPr>
          <w:rFonts w:asciiTheme="majorHAnsi" w:hAnsiTheme="majorHAnsi" w:cstheme="majorHAnsi"/>
          <w:szCs w:val="20"/>
        </w:rPr>
        <w:t xml:space="preserve">where </w:t>
      </w:r>
      <m:oMath>
        <m:sSubSup>
          <m:sSubSupPr>
            <m:ctrlPr>
              <w:rPr>
                <w:rFonts w:ascii="Cambria Math" w:eastAsia="Cambria Math" w:hAnsi="Cambria Math" w:cstheme="majorHAnsi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szCs w:val="20"/>
              </w:rPr>
              <m:t>x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k</m:t>
            </m:r>
          </m:sub>
          <m:sup>
            <m:r>
              <w:rPr>
                <w:rFonts w:ascii="Cambria Math" w:eastAsia="Cambria Math" w:hAnsi="Cambria Math" w:cstheme="majorHAnsi"/>
                <w:szCs w:val="20"/>
              </w:rPr>
              <m:t>obs</m:t>
            </m:r>
          </m:sup>
        </m:sSubSup>
      </m:oMath>
      <w:r w:rsidRPr="007B2FF5">
        <w:rPr>
          <w:rFonts w:asciiTheme="majorHAnsi" w:hAnsiTheme="majorHAnsi" w:cstheme="majorHAnsi"/>
          <w:szCs w:val="20"/>
        </w:rPr>
        <w:t xml:space="preserve"> and  </w:t>
      </w:r>
      <m:oMath>
        <m:sSubSup>
          <m:sSubSupPr>
            <m:ctrlPr>
              <w:rPr>
                <w:rFonts w:ascii="Cambria Math" w:eastAsia="Cambria Math" w:hAnsi="Cambria Math" w:cstheme="majorHAnsi"/>
                <w:szCs w:val="20"/>
              </w:rPr>
            </m:ctrlPr>
          </m:sSubSupPr>
          <m:e>
            <m:r>
              <w:rPr>
                <w:rFonts w:ascii="Cambria Math" w:eastAsia="Cambria Math" w:hAnsi="Cambria Math" w:cstheme="majorHAnsi"/>
                <w:szCs w:val="20"/>
              </w:rPr>
              <m:t>x</m:t>
            </m:r>
          </m:e>
          <m:sub>
            <m:r>
              <w:rPr>
                <w:rFonts w:ascii="Cambria Math" w:eastAsia="Cambria Math" w:hAnsi="Cambria Math" w:cstheme="majorHAnsi"/>
                <w:szCs w:val="20"/>
              </w:rPr>
              <m:t>k</m:t>
            </m:r>
          </m:sub>
          <m:sup>
            <m:r>
              <w:rPr>
                <w:rFonts w:ascii="Cambria Math" w:eastAsia="Cambria Math" w:hAnsi="Cambria Math" w:cstheme="majorHAnsi"/>
                <w:szCs w:val="20"/>
              </w:rPr>
              <m:t>sim</m:t>
            </m:r>
          </m:sup>
        </m:sSubSup>
      </m:oMath>
      <w:r w:rsidRPr="007B2FF5">
        <w:rPr>
          <w:rFonts w:asciiTheme="majorHAnsi" w:hAnsiTheme="majorHAnsi" w:cstheme="majorHAnsi"/>
          <w:szCs w:val="20"/>
        </w:rPr>
        <w:t xml:space="preserve"> the observed and simulated streamflow (or stream DOC concentration), respectively, k is the index, n is the number of observations, </w:t>
      </w:r>
      <m:oMath>
        <m:sSup>
          <m:sSupPr>
            <m:ctrlPr>
              <w:rPr>
                <w:rFonts w:ascii="Cambria Math" w:eastAsia="Cambria Math" w:hAnsi="Cambria Math" w:cstheme="majorHAnsi"/>
                <w:szCs w:val="20"/>
              </w:rPr>
            </m:ctrlPr>
          </m:sSupPr>
          <m:e>
            <m:bar>
              <m:barPr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barPr>
              <m:e>
                <m:r>
                  <w:rPr>
                    <w:rFonts w:ascii="Cambria Math" w:eastAsia="Cambria Math" w:hAnsi="Cambria Math" w:cstheme="majorHAnsi"/>
                    <w:szCs w:val="20"/>
                  </w:rPr>
                  <m:t>x</m:t>
                </m:r>
              </m:e>
            </m:bar>
          </m:e>
          <m:sup>
            <m:r>
              <w:rPr>
                <w:rFonts w:ascii="Cambria Math" w:eastAsia="Cambria Math" w:hAnsi="Cambria Math" w:cstheme="majorHAnsi"/>
                <w:szCs w:val="20"/>
              </w:rPr>
              <m:t>obs</m:t>
            </m:r>
          </m:sup>
        </m:sSup>
      </m:oMath>
      <w:r w:rsidRPr="007B2FF5">
        <w:rPr>
          <w:rFonts w:asciiTheme="majorHAnsi" w:hAnsiTheme="majorHAnsi" w:cstheme="majorHAnsi"/>
          <w:szCs w:val="20"/>
        </w:rPr>
        <w:t xml:space="preserve"> and </w:t>
      </w:r>
      <m:oMath>
        <m:sSup>
          <m:sSupPr>
            <m:ctrlPr>
              <w:rPr>
                <w:rFonts w:ascii="Cambria Math" w:eastAsia="Cambria Math" w:hAnsi="Cambria Math" w:cstheme="majorHAnsi"/>
                <w:szCs w:val="20"/>
              </w:rPr>
            </m:ctrlPr>
          </m:sSupPr>
          <m:e>
            <m:bar>
              <m:barPr>
                <m:ctrlPr>
                  <w:rPr>
                    <w:rFonts w:ascii="Cambria Math" w:eastAsia="Cambria Math" w:hAnsi="Cambria Math" w:cstheme="majorHAnsi"/>
                    <w:szCs w:val="20"/>
                  </w:rPr>
                </m:ctrlPr>
              </m:barPr>
              <m:e>
                <m:r>
                  <w:rPr>
                    <w:rFonts w:ascii="Cambria Math" w:eastAsia="Cambria Math" w:hAnsi="Cambria Math" w:cstheme="majorHAnsi"/>
                    <w:szCs w:val="20"/>
                  </w:rPr>
                  <m:t>x</m:t>
                </m:r>
              </m:e>
            </m:bar>
          </m:e>
          <m:sup>
            <m:r>
              <w:rPr>
                <w:rFonts w:ascii="Cambria Math" w:eastAsia="Cambria Math" w:hAnsi="Cambria Math" w:cstheme="majorHAnsi"/>
                <w:szCs w:val="20"/>
              </w:rPr>
              <m:t>sim</m:t>
            </m:r>
          </m:sup>
        </m:sSup>
      </m:oMath>
      <w:r w:rsidRPr="007B2FF5">
        <w:rPr>
          <w:rFonts w:asciiTheme="majorHAnsi" w:hAnsiTheme="majorHAnsi" w:cstheme="majorHAnsi"/>
          <w:szCs w:val="20"/>
        </w:rPr>
        <w:t xml:space="preserve"> are the mean of observed and simulated values, respectively.</w:t>
      </w:r>
    </w:p>
    <w:p w14:paraId="1B207301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szCs w:val="20"/>
        </w:rPr>
      </w:pPr>
    </w:p>
    <w:p w14:paraId="46E8B30C" w14:textId="77777777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</w:p>
    <w:p w14:paraId="6829AA59" w14:textId="77777777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  <w:r w:rsidRPr="007B2FF5">
        <w:rPr>
          <w:rFonts w:asciiTheme="majorHAnsi" w:hAnsiTheme="majorHAnsi" w:cstheme="majorHAnsi"/>
          <w:szCs w:val="20"/>
        </w:rPr>
        <w:br w:type="page"/>
      </w:r>
    </w:p>
    <w:p w14:paraId="2179141E" w14:textId="77777777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  <w:r w:rsidRPr="007B2FF5">
        <w:rPr>
          <w:rFonts w:asciiTheme="majorHAnsi" w:hAnsiTheme="majorHAnsi" w:cstheme="majorHAnsi"/>
          <w:noProof/>
          <w:szCs w:val="20"/>
        </w:rPr>
        <w:lastRenderedPageBreak/>
        <w:drawing>
          <wp:inline distT="0" distB="0" distL="0" distR="0" wp14:anchorId="72AC5680" wp14:editId="587F5BFE">
            <wp:extent cx="5943600" cy="1778000"/>
            <wp:effectExtent l="0" t="0" r="0" b="0"/>
            <wp:docPr id="1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7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057912" w14:textId="7B456994" w:rsidR="007B2FF5" w:rsidRPr="007B2FF5" w:rsidRDefault="007B2FF5" w:rsidP="000A2DD2">
      <w:pPr>
        <w:pStyle w:val="Caption"/>
      </w:pPr>
      <w:r w:rsidRPr="007B2FF5">
        <w:t xml:space="preserve">Figure S1. Measured soil temperature (at a 50 cm depth near the study area (Station ID 00656; German Weather Service) was compared with the calculated temperature using Equation (3) (with n = 35) and air temperature data from the Hassel catchment as an example. Measured soil temperature can be obtain at </w:t>
      </w:r>
      <w:hyperlink r:id="rId9">
        <w:r w:rsidRPr="007B2FF5">
          <w:rPr>
            <w:color w:val="0000FF"/>
            <w:u w:val="single"/>
          </w:rPr>
          <w:t>https://opendata.dwd.de/climate_environment/CDC/observations_germany/climate/daily/soil_temperature/</w:t>
        </w:r>
      </w:hyperlink>
      <w:r w:rsidRPr="007B2FF5">
        <w:t xml:space="preserve"> (last accessed</w:t>
      </w:r>
      <w:r w:rsidR="00294DF4">
        <w:t>: 7</w:t>
      </w:r>
      <w:r w:rsidRPr="007B2FF5">
        <w:t xml:space="preserve"> June 2025). </w:t>
      </w:r>
      <w:r w:rsidRPr="007B2FF5">
        <w:br w:type="page"/>
      </w:r>
    </w:p>
    <w:p w14:paraId="16028DE5" w14:textId="77777777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</w:p>
    <w:p w14:paraId="7B0A424F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center"/>
        <w:rPr>
          <w:rFonts w:asciiTheme="majorHAnsi" w:hAnsiTheme="majorHAnsi" w:cstheme="majorHAnsi"/>
          <w:szCs w:val="20"/>
        </w:rPr>
      </w:pPr>
      <w:r w:rsidRPr="007B2FF5">
        <w:rPr>
          <w:rFonts w:asciiTheme="majorHAnsi" w:hAnsiTheme="majorHAnsi" w:cstheme="majorHAnsi"/>
          <w:noProof/>
          <w:szCs w:val="20"/>
        </w:rPr>
        <w:drawing>
          <wp:inline distT="0" distB="0" distL="0" distR="0" wp14:anchorId="28F903E7" wp14:editId="74178C95">
            <wp:extent cx="5943600" cy="3853180"/>
            <wp:effectExtent l="0" t="0" r="0" b="0"/>
            <wp:docPr id="1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531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39ED2C6" w14:textId="77777777" w:rsidR="007B2FF5" w:rsidRPr="007B2FF5" w:rsidRDefault="007B2FF5" w:rsidP="000A2DD2">
      <w:pPr>
        <w:pStyle w:val="Caption"/>
      </w:pPr>
      <w:r w:rsidRPr="007B2FF5">
        <w:t>Figure S2. Boxplots of observed (</w:t>
      </w:r>
      <w:proofErr w:type="spellStart"/>
      <w:r w:rsidRPr="007B2FF5">
        <w:t>obs</w:t>
      </w:r>
      <w:proofErr w:type="spellEnd"/>
      <w:r w:rsidRPr="007B2FF5">
        <w:t xml:space="preserve">) and simulated (sim) (a) streamflow and (b-c) stream DOC concentrations by seasons (Winter: December to February; Spring: March to May; Summer: June to August; Fall: September to November) in the four catchments and with lumped and landscape-explicit model structures under the baseline and constrained calibrations. Data were taken from both calibration and validation periods. </w:t>
      </w:r>
    </w:p>
    <w:p w14:paraId="0F08DC5C" w14:textId="77777777" w:rsidR="007B2FF5" w:rsidRPr="007B2FF5" w:rsidRDefault="007B2FF5" w:rsidP="007B2FF5">
      <w:pPr>
        <w:rPr>
          <w:rFonts w:asciiTheme="majorHAnsi" w:hAnsiTheme="majorHAnsi" w:cstheme="majorHAnsi"/>
          <w:b/>
          <w:color w:val="000000"/>
          <w:szCs w:val="20"/>
        </w:rPr>
      </w:pPr>
      <w:r w:rsidRPr="007B2FF5">
        <w:rPr>
          <w:rFonts w:asciiTheme="majorHAnsi" w:hAnsiTheme="majorHAnsi" w:cstheme="majorHAnsi"/>
          <w:szCs w:val="20"/>
        </w:rPr>
        <w:br w:type="page"/>
      </w:r>
    </w:p>
    <w:p w14:paraId="61FA7482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szCs w:val="20"/>
        </w:rPr>
      </w:pPr>
      <w:r w:rsidRPr="007B2FF5">
        <w:rPr>
          <w:rFonts w:asciiTheme="majorHAnsi" w:hAnsiTheme="majorHAnsi" w:cstheme="majorHAnsi"/>
          <w:noProof/>
          <w:szCs w:val="20"/>
        </w:rPr>
        <w:lastRenderedPageBreak/>
        <w:drawing>
          <wp:inline distT="0" distB="0" distL="0" distR="0" wp14:anchorId="46791DE6" wp14:editId="2F7CDE71">
            <wp:extent cx="5943600" cy="32359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49D2E" w14:textId="341416BC" w:rsidR="007B2FF5" w:rsidRPr="007B2FF5" w:rsidRDefault="007B2FF5" w:rsidP="000A2DD2">
      <w:pPr>
        <w:pStyle w:val="Caption"/>
      </w:pPr>
      <w:r w:rsidRPr="007B2FF5">
        <w:t xml:space="preserve">Figure S3. Boxplots of annual average hydrological fluxes (in percentage of streamflow) for both calibration and validation periods from 30 </w:t>
      </w:r>
      <w:r w:rsidR="000A2DD2" w:rsidRPr="007B2FF5">
        <w:t>behavioural</w:t>
      </w:r>
      <w:r w:rsidRPr="007B2FF5">
        <w:t xml:space="preserve"> models of each catchment (baseline calibration). Q</w:t>
      </w:r>
      <w:r w:rsidRPr="007B2FF5">
        <w:rPr>
          <w:vertAlign w:val="subscript"/>
        </w:rPr>
        <w:t>UL</w:t>
      </w:r>
      <w:r w:rsidRPr="007B2FF5">
        <w:t xml:space="preserve"> (or Q</w:t>
      </w:r>
      <w:r w:rsidRPr="007B2FF5">
        <w:rPr>
          <w:vertAlign w:val="subscript"/>
        </w:rPr>
        <w:t>HS</w:t>
      </w:r>
      <w:r w:rsidRPr="007B2FF5">
        <w:t>) and Q</w:t>
      </w:r>
      <w:r w:rsidRPr="007B2FF5">
        <w:rPr>
          <w:vertAlign w:val="subscript"/>
        </w:rPr>
        <w:t>GW</w:t>
      </w:r>
      <w:r w:rsidRPr="007B2FF5">
        <w:t xml:space="preserve"> (mm/year) are outflows from the upland (or hillslope when referring to the lumped model structure) and from groundwater to stream, respectively. Q</w:t>
      </w:r>
      <w:r w:rsidRPr="007B2FF5">
        <w:rPr>
          <w:vertAlign w:val="subscript"/>
        </w:rPr>
        <w:t xml:space="preserve">RCH </w:t>
      </w:r>
      <w:r w:rsidRPr="007B2FF5">
        <w:t>(mm/year) is the groundwater recharge. The sum of Q</w:t>
      </w:r>
      <w:r w:rsidRPr="007B2FF5">
        <w:rPr>
          <w:vertAlign w:val="subscript"/>
        </w:rPr>
        <w:t>GW</w:t>
      </w:r>
      <w:r w:rsidRPr="007B2FF5">
        <w:t xml:space="preserve"> and Q</w:t>
      </w:r>
      <w:r w:rsidRPr="007B2FF5">
        <w:rPr>
          <w:vertAlign w:val="subscript"/>
        </w:rPr>
        <w:t xml:space="preserve">GW_RZ </w:t>
      </w:r>
      <w:r w:rsidRPr="007B2FF5">
        <w:t>is the total outflow from groundwater to stream and groundwater to riparian zone in the landscape-explicit model.</w:t>
      </w:r>
    </w:p>
    <w:p w14:paraId="291ED484" w14:textId="77777777" w:rsidR="007B2FF5" w:rsidRPr="007B2FF5" w:rsidRDefault="007B2FF5" w:rsidP="007B2FF5">
      <w:pPr>
        <w:rPr>
          <w:rFonts w:asciiTheme="majorHAnsi" w:hAnsiTheme="majorHAnsi" w:cstheme="majorHAnsi"/>
          <w:b/>
          <w:color w:val="000000"/>
          <w:szCs w:val="20"/>
        </w:rPr>
      </w:pPr>
    </w:p>
    <w:p w14:paraId="1ECB8786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center"/>
        <w:rPr>
          <w:rFonts w:asciiTheme="majorHAnsi" w:hAnsiTheme="majorHAnsi" w:cstheme="majorHAnsi"/>
          <w:color w:val="000000"/>
          <w:szCs w:val="20"/>
        </w:rPr>
      </w:pPr>
      <w:r w:rsidRPr="007B2FF5">
        <w:rPr>
          <w:rFonts w:asciiTheme="majorHAnsi" w:hAnsiTheme="majorHAnsi" w:cstheme="majorHAnsi"/>
          <w:noProof/>
          <w:szCs w:val="20"/>
        </w:rPr>
        <w:lastRenderedPageBreak/>
        <w:drawing>
          <wp:inline distT="0" distB="0" distL="0" distR="0" wp14:anchorId="646E5F61" wp14:editId="794DED44">
            <wp:extent cx="4754181" cy="4205113"/>
            <wp:effectExtent l="0" t="0" r="0" b="0"/>
            <wp:docPr id="1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4181" cy="42051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11AE2AB" w14:textId="52A9CBB9" w:rsidR="007B2FF5" w:rsidRPr="007B2FF5" w:rsidRDefault="007B2FF5" w:rsidP="000A2DD2">
      <w:pPr>
        <w:pStyle w:val="Caption"/>
      </w:pPr>
      <w:r w:rsidRPr="007B2FF5">
        <w:rPr>
          <w:color w:val="000000"/>
        </w:rPr>
        <w:t xml:space="preserve">Figure S4. </w:t>
      </w:r>
      <w:r w:rsidRPr="007B2FF5">
        <w:t xml:space="preserve">Boxplots of the NSE from the 30 </w:t>
      </w:r>
      <w:r w:rsidR="00B32ABA" w:rsidRPr="007B2FF5">
        <w:t>behavioural</w:t>
      </w:r>
      <w:r w:rsidRPr="007B2FF5">
        <w:t xml:space="preserve"> simulations for streamflow and stream DOC under the baseline calibration. The dot represents the mean value. Note that streamflow results are identical because hydrological </w:t>
      </w:r>
      <w:r w:rsidR="00B32ABA" w:rsidRPr="007B2FF5">
        <w:t>modelling</w:t>
      </w:r>
      <w:r w:rsidRPr="007B2FF5">
        <w:t xml:space="preserve"> preceded the differentiation of model structures in DOC </w:t>
      </w:r>
      <w:r w:rsidR="00B32ABA" w:rsidRPr="007B2FF5">
        <w:t>modelling</w:t>
      </w:r>
      <w:r w:rsidRPr="007B2FF5">
        <w:t>.</w:t>
      </w:r>
    </w:p>
    <w:p w14:paraId="7F767C6E" w14:textId="77777777" w:rsidR="007B2FF5" w:rsidRPr="007B2FF5" w:rsidRDefault="007B2FF5" w:rsidP="007B2FF5">
      <w:pPr>
        <w:rPr>
          <w:rFonts w:asciiTheme="majorHAnsi" w:hAnsiTheme="majorHAnsi" w:cstheme="majorHAnsi"/>
          <w:color w:val="262626"/>
          <w:szCs w:val="20"/>
        </w:rPr>
      </w:pPr>
      <w:r w:rsidRPr="007B2FF5">
        <w:rPr>
          <w:rFonts w:asciiTheme="majorHAnsi" w:hAnsiTheme="majorHAnsi" w:cstheme="majorHAnsi"/>
          <w:szCs w:val="20"/>
        </w:rPr>
        <w:br w:type="page"/>
      </w:r>
    </w:p>
    <w:p w14:paraId="7F907EA5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000000"/>
          <w:szCs w:val="20"/>
        </w:rPr>
      </w:pPr>
    </w:p>
    <w:p w14:paraId="655780E4" w14:textId="77777777" w:rsidR="007B2FF5" w:rsidRPr="007B2FF5" w:rsidRDefault="007B2FF5" w:rsidP="007B2FF5">
      <w:pPr>
        <w:rPr>
          <w:rFonts w:asciiTheme="majorHAnsi" w:hAnsiTheme="majorHAnsi" w:cstheme="majorHAnsi"/>
          <w:color w:val="262626"/>
          <w:szCs w:val="20"/>
        </w:rPr>
      </w:pPr>
    </w:p>
    <w:p w14:paraId="68F89BE5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center"/>
        <w:rPr>
          <w:rFonts w:asciiTheme="majorHAnsi" w:hAnsiTheme="majorHAnsi" w:cstheme="majorHAnsi"/>
          <w:b/>
          <w:color w:val="000000"/>
          <w:szCs w:val="20"/>
        </w:rPr>
      </w:pPr>
      <w:r w:rsidRPr="007B2FF5">
        <w:rPr>
          <w:rFonts w:asciiTheme="majorHAnsi" w:hAnsiTheme="majorHAnsi" w:cstheme="majorHAnsi"/>
          <w:noProof/>
          <w:szCs w:val="20"/>
        </w:rPr>
        <w:drawing>
          <wp:inline distT="0" distB="0" distL="0" distR="0" wp14:anchorId="3D945286" wp14:editId="7E2EAC3A">
            <wp:extent cx="4655968" cy="4059349"/>
            <wp:effectExtent l="0" t="0" r="0" b="0"/>
            <wp:docPr id="1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 b="1251"/>
                    <a:stretch>
                      <a:fillRect/>
                    </a:stretch>
                  </pic:blipFill>
                  <pic:spPr>
                    <a:xfrm>
                      <a:off x="0" y="0"/>
                      <a:ext cx="4655968" cy="40593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817DB4" w14:textId="16DAB129" w:rsidR="007B2FF5" w:rsidRPr="007B2FF5" w:rsidRDefault="007B2FF5" w:rsidP="000A2DD2">
      <w:pPr>
        <w:pStyle w:val="Caption"/>
        <w:rPr>
          <w:color w:val="000000"/>
        </w:rPr>
      </w:pPr>
      <w:r w:rsidRPr="007B2FF5">
        <w:rPr>
          <w:color w:val="000000"/>
        </w:rPr>
        <w:t xml:space="preserve">Figure S5. </w:t>
      </w:r>
      <w:r w:rsidRPr="007B2FF5">
        <w:t xml:space="preserve">Boxplots of the BIAS from the 30 </w:t>
      </w:r>
      <w:r w:rsidR="000A2DD2" w:rsidRPr="007B2FF5">
        <w:t>behavioural</w:t>
      </w:r>
      <w:r w:rsidRPr="007B2FF5">
        <w:t xml:space="preserve"> simulations for streamflow and stream DOC under the baseline calibration. The dot represents the mean value. Note that streamflow results are identical because hydrological </w:t>
      </w:r>
      <w:r w:rsidR="000A2DD2" w:rsidRPr="007B2FF5">
        <w:t>modelling</w:t>
      </w:r>
      <w:r w:rsidRPr="007B2FF5">
        <w:t xml:space="preserve"> preceded the differentiation of model structures in DOC </w:t>
      </w:r>
      <w:r w:rsidR="000A2DD2" w:rsidRPr="007B2FF5">
        <w:t>modelling</w:t>
      </w:r>
      <w:r w:rsidRPr="007B2FF5">
        <w:t>.</w:t>
      </w:r>
    </w:p>
    <w:p w14:paraId="16C0303E" w14:textId="77777777" w:rsidR="007B2FF5" w:rsidRPr="007B2FF5" w:rsidRDefault="007B2FF5" w:rsidP="007B2FF5">
      <w:pPr>
        <w:rPr>
          <w:rFonts w:asciiTheme="majorHAnsi" w:hAnsiTheme="majorHAnsi" w:cstheme="majorHAnsi"/>
          <w:color w:val="262626"/>
          <w:szCs w:val="20"/>
        </w:rPr>
      </w:pPr>
    </w:p>
    <w:p w14:paraId="660789CC" w14:textId="77777777" w:rsidR="007B2FF5" w:rsidRPr="007B2FF5" w:rsidRDefault="007B2FF5" w:rsidP="007B2FF5">
      <w:pPr>
        <w:jc w:val="center"/>
        <w:rPr>
          <w:rFonts w:asciiTheme="majorHAnsi" w:hAnsiTheme="majorHAnsi" w:cstheme="majorHAnsi"/>
          <w:color w:val="262626"/>
          <w:szCs w:val="20"/>
        </w:rPr>
      </w:pPr>
      <w:r w:rsidRPr="007B2FF5">
        <w:rPr>
          <w:rFonts w:asciiTheme="majorHAnsi" w:hAnsiTheme="majorHAnsi" w:cstheme="majorHAnsi"/>
          <w:noProof/>
          <w:szCs w:val="20"/>
        </w:rPr>
        <w:lastRenderedPageBreak/>
        <w:drawing>
          <wp:inline distT="0" distB="0" distL="0" distR="0" wp14:anchorId="5F922D32" wp14:editId="05DCC862">
            <wp:extent cx="4881863" cy="4340476"/>
            <wp:effectExtent l="0" t="0" r="0" b="0"/>
            <wp:docPr id="1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1863" cy="43404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A3E37B1" w14:textId="06ECE170" w:rsidR="007B2FF5" w:rsidRPr="007B2FF5" w:rsidRDefault="007B2FF5" w:rsidP="000A2DD2">
      <w:pPr>
        <w:pStyle w:val="Caption"/>
      </w:pPr>
      <w:bookmarkStart w:id="3" w:name="_heading=h.2et92p0" w:colFirst="0" w:colLast="0"/>
      <w:bookmarkEnd w:id="3"/>
      <w:r w:rsidRPr="007B2FF5">
        <w:rPr>
          <w:color w:val="000000"/>
        </w:rPr>
        <w:t xml:space="preserve">Figure S6. </w:t>
      </w:r>
      <w:r w:rsidRPr="007B2FF5">
        <w:t>Boxplots of the R</w:t>
      </w:r>
      <w:r w:rsidRPr="007B2FF5">
        <w:rPr>
          <w:vertAlign w:val="superscript"/>
        </w:rPr>
        <w:t>2</w:t>
      </w:r>
      <w:r w:rsidRPr="007B2FF5">
        <w:t xml:space="preserve"> from the 30 </w:t>
      </w:r>
      <w:r w:rsidR="000A2DD2" w:rsidRPr="007B2FF5">
        <w:t>behavioural</w:t>
      </w:r>
      <w:r w:rsidRPr="007B2FF5">
        <w:t xml:space="preserve"> simulations for streamflow and stream DOC under the baseline calibration. The dot represents the mean value. Note that streamflow results are identical because hydrological </w:t>
      </w:r>
      <w:r w:rsidR="000A2DD2" w:rsidRPr="007B2FF5">
        <w:t>modelling</w:t>
      </w:r>
      <w:r w:rsidRPr="007B2FF5">
        <w:t xml:space="preserve"> preceded the differentiation of model structures in DOC </w:t>
      </w:r>
      <w:r w:rsidR="000A2DD2" w:rsidRPr="007B2FF5">
        <w:t>modelling</w:t>
      </w:r>
      <w:r w:rsidRPr="007B2FF5">
        <w:t>.</w:t>
      </w:r>
    </w:p>
    <w:p w14:paraId="4FEB604F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262626"/>
          <w:szCs w:val="20"/>
        </w:rPr>
      </w:pPr>
      <w:bookmarkStart w:id="4" w:name="_heading=h.7c4fk1n7pvhj" w:colFirst="0" w:colLast="0"/>
      <w:bookmarkEnd w:id="4"/>
    </w:p>
    <w:p w14:paraId="13DA9CD4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262626"/>
          <w:szCs w:val="20"/>
        </w:rPr>
      </w:pPr>
      <w:bookmarkStart w:id="5" w:name="_heading=h.tcid991oray9" w:colFirst="0" w:colLast="0"/>
      <w:bookmarkEnd w:id="5"/>
    </w:p>
    <w:p w14:paraId="44BF3A98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262626"/>
          <w:szCs w:val="20"/>
        </w:rPr>
      </w:pPr>
      <w:bookmarkStart w:id="6" w:name="_heading=h.lmmilbrqvw6y" w:colFirst="0" w:colLast="0"/>
      <w:bookmarkEnd w:id="6"/>
      <w:r w:rsidRPr="007B2FF5">
        <w:rPr>
          <w:rFonts w:asciiTheme="majorHAnsi" w:hAnsiTheme="majorHAnsi" w:cstheme="majorHAnsi"/>
          <w:szCs w:val="20"/>
        </w:rPr>
        <w:br w:type="page"/>
      </w:r>
    </w:p>
    <w:p w14:paraId="7737C14B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jc w:val="center"/>
        <w:rPr>
          <w:rFonts w:asciiTheme="majorHAnsi" w:hAnsiTheme="majorHAnsi" w:cstheme="majorHAnsi"/>
          <w:color w:val="262626"/>
          <w:szCs w:val="20"/>
        </w:rPr>
      </w:pPr>
      <w:bookmarkStart w:id="7" w:name="_heading=h.mvj1zfqcth8u" w:colFirst="0" w:colLast="0"/>
      <w:bookmarkEnd w:id="7"/>
      <w:r w:rsidRPr="007B2FF5">
        <w:rPr>
          <w:rFonts w:asciiTheme="majorHAnsi" w:hAnsiTheme="majorHAnsi" w:cstheme="majorHAnsi"/>
          <w:noProof/>
          <w:color w:val="262626"/>
          <w:szCs w:val="20"/>
        </w:rPr>
        <w:lastRenderedPageBreak/>
        <w:drawing>
          <wp:inline distT="0" distB="0" distL="0" distR="0" wp14:anchorId="02001CB1" wp14:editId="035D9EAA">
            <wp:extent cx="4289160" cy="3562184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175" cy="3569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F3F8D" w14:textId="4E31B66C" w:rsidR="007B2FF5" w:rsidRPr="007B2FF5" w:rsidRDefault="007B2FF5" w:rsidP="000A2DD2">
      <w:pPr>
        <w:pStyle w:val="Caption"/>
      </w:pPr>
      <w:bookmarkStart w:id="8" w:name="_heading=h.xy1xobhmge0a" w:colFirst="0" w:colLast="0"/>
      <w:bookmarkEnd w:id="8"/>
      <w:r w:rsidRPr="007B2FF5">
        <w:t xml:space="preserve">Figure S7. Boxplots of the NSE, BIAS, and R2 from 30 </w:t>
      </w:r>
      <w:r w:rsidR="000A2DD2" w:rsidRPr="007B2FF5">
        <w:t>behavioural</w:t>
      </w:r>
      <w:r w:rsidRPr="007B2FF5">
        <w:t xml:space="preserve"> simulations for stream DOC under the baseline calibration and constrained calibration. The dot represents the mean value. The NSE, BIAS, and R2 were calculated for both calibration and validation periods.</w:t>
      </w:r>
    </w:p>
    <w:p w14:paraId="4B35CDE0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262626"/>
          <w:szCs w:val="20"/>
        </w:rPr>
      </w:pPr>
    </w:p>
    <w:p w14:paraId="6A27F96B" w14:textId="77777777" w:rsidR="007B2FF5" w:rsidRPr="007B2FF5" w:rsidRDefault="007B2FF5" w:rsidP="007B2FF5">
      <w:pPr>
        <w:pBdr>
          <w:top w:val="nil"/>
          <w:left w:val="nil"/>
          <w:bottom w:val="nil"/>
          <w:right w:val="nil"/>
          <w:between w:val="nil"/>
        </w:pBdr>
        <w:spacing w:before="120" w:line="300" w:lineRule="auto"/>
        <w:rPr>
          <w:rFonts w:asciiTheme="majorHAnsi" w:hAnsiTheme="majorHAnsi" w:cstheme="majorHAnsi"/>
          <w:color w:val="262626" w:themeColor="text1" w:themeTint="D9"/>
          <w:szCs w:val="20"/>
        </w:rPr>
      </w:pPr>
      <w:r w:rsidRPr="007B2FF5">
        <w:rPr>
          <w:rFonts w:asciiTheme="majorHAnsi" w:hAnsiTheme="majorHAnsi" w:cstheme="majorHAnsi"/>
          <w:noProof/>
          <w:color w:val="262626" w:themeColor="text1" w:themeTint="D9"/>
          <w:szCs w:val="20"/>
        </w:rPr>
        <w:lastRenderedPageBreak/>
        <w:drawing>
          <wp:inline distT="0" distB="0" distL="0" distR="0" wp14:anchorId="529A37E2" wp14:editId="52A5FA03">
            <wp:extent cx="5944919" cy="686714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4919" cy="6867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85F0E" w14:textId="77777777" w:rsidR="007B2FF5" w:rsidRPr="007B2FF5" w:rsidRDefault="007B2FF5" w:rsidP="000A2DD2">
      <w:pPr>
        <w:pStyle w:val="Caption"/>
      </w:pPr>
      <w:r w:rsidRPr="007B2FF5">
        <w:t xml:space="preserve">Figure S8.  Simulated stream DOC concentrations in the </w:t>
      </w:r>
      <w:proofErr w:type="spellStart"/>
      <w:r w:rsidRPr="007B2FF5">
        <w:t>Kalte</w:t>
      </w:r>
      <w:proofErr w:type="spellEnd"/>
      <w:r w:rsidRPr="007B2FF5">
        <w:t xml:space="preserve"> Bode, </w:t>
      </w:r>
      <w:proofErr w:type="spellStart"/>
      <w:r w:rsidRPr="007B2FF5">
        <w:t>Warme</w:t>
      </w:r>
      <w:proofErr w:type="spellEnd"/>
      <w:r w:rsidRPr="007B2FF5">
        <w:t xml:space="preserve"> Bode, and </w:t>
      </w:r>
      <w:proofErr w:type="spellStart"/>
      <w:r w:rsidRPr="007B2FF5">
        <w:t>Rappbode</w:t>
      </w:r>
      <w:proofErr w:type="spellEnd"/>
      <w:r w:rsidRPr="007B2FF5">
        <w:t xml:space="preserve"> catchments with increasing C input by 5 kg/ha for the period 2015-2018 (a) in the hillslope of the lumped model structure and (b) in the upland of the landscape-explicit model structure and (b). </w:t>
      </w:r>
    </w:p>
    <w:p w14:paraId="6F6F4C18" w14:textId="172FB8C2" w:rsidR="007B2FF5" w:rsidRPr="000A2DD2" w:rsidRDefault="007B2FF5" w:rsidP="000B3762">
      <w:pPr>
        <w:rPr>
          <w:rFonts w:asciiTheme="majorHAnsi" w:hAnsiTheme="majorHAnsi" w:cstheme="majorHAnsi"/>
          <w:b/>
          <w:szCs w:val="20"/>
        </w:rPr>
      </w:pPr>
      <w:bookmarkStart w:id="9" w:name="_heading=h.1fob9te" w:colFirst="0" w:colLast="0"/>
      <w:bookmarkEnd w:id="9"/>
    </w:p>
    <w:p w14:paraId="5300A154" w14:textId="73EBA10C" w:rsidR="00C26311" w:rsidRDefault="00F5258E" w:rsidP="00F5258E">
      <w:pPr>
        <w:pStyle w:val="Heading1"/>
      </w:pPr>
      <w:r>
        <w:t>Reference</w:t>
      </w:r>
      <w:r w:rsidR="000A2DD2">
        <w:t>s</w:t>
      </w:r>
    </w:p>
    <w:p w14:paraId="5C76E934" w14:textId="01B35021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  <w:proofErr w:type="spellStart"/>
      <w:r w:rsidRPr="007B2FF5">
        <w:rPr>
          <w:rFonts w:asciiTheme="majorHAnsi" w:hAnsiTheme="majorHAnsi" w:cstheme="majorHAnsi"/>
          <w:szCs w:val="20"/>
        </w:rPr>
        <w:t>Bergström</w:t>
      </w:r>
      <w:proofErr w:type="spellEnd"/>
      <w:r w:rsidRPr="007B2FF5">
        <w:rPr>
          <w:rFonts w:asciiTheme="majorHAnsi" w:hAnsiTheme="majorHAnsi" w:cstheme="majorHAnsi"/>
          <w:szCs w:val="20"/>
        </w:rPr>
        <w:t>, S</w:t>
      </w:r>
      <w:r>
        <w:rPr>
          <w:rFonts w:asciiTheme="majorHAnsi" w:hAnsiTheme="majorHAnsi" w:cstheme="majorHAnsi"/>
          <w:szCs w:val="20"/>
        </w:rPr>
        <w:t>.:</w:t>
      </w:r>
      <w:r w:rsidRPr="007B2FF5">
        <w:rPr>
          <w:rFonts w:asciiTheme="majorHAnsi" w:hAnsiTheme="majorHAnsi" w:cstheme="majorHAnsi"/>
          <w:szCs w:val="20"/>
        </w:rPr>
        <w:t xml:space="preserve"> The HBV Model: Its Structure and Applications, Swedish Meteorological and Hydrological Institute (SMHI), Hydrology, </w:t>
      </w:r>
      <w:proofErr w:type="spellStart"/>
      <w:r w:rsidRPr="007B2FF5">
        <w:rPr>
          <w:rFonts w:asciiTheme="majorHAnsi" w:hAnsiTheme="majorHAnsi" w:cstheme="majorHAnsi"/>
          <w:szCs w:val="20"/>
        </w:rPr>
        <w:t>Norrköping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. </w:t>
      </w:r>
      <w:hyperlink r:id="rId17">
        <w:r w:rsidRPr="007B2FF5">
          <w:rPr>
            <w:rFonts w:asciiTheme="majorHAnsi" w:hAnsiTheme="majorHAnsi" w:cstheme="majorHAnsi"/>
            <w:color w:val="0000FF"/>
            <w:szCs w:val="20"/>
            <w:u w:val="single"/>
          </w:rPr>
          <w:t>https://urn.kb.se/resolve?urn=urn:nbn:se:smhi:diva-2672</w:t>
        </w:r>
      </w:hyperlink>
      <w:r>
        <w:rPr>
          <w:rFonts w:asciiTheme="majorHAnsi" w:hAnsiTheme="majorHAnsi" w:cstheme="majorHAnsi"/>
          <w:color w:val="0000FF"/>
          <w:szCs w:val="20"/>
          <w:u w:val="single"/>
        </w:rPr>
        <w:t>, 1992.</w:t>
      </w:r>
    </w:p>
    <w:p w14:paraId="58DD4ED3" w14:textId="7A78946B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  <w:r w:rsidRPr="007B2FF5">
        <w:rPr>
          <w:rFonts w:asciiTheme="majorHAnsi" w:hAnsiTheme="majorHAnsi" w:cstheme="majorHAnsi"/>
          <w:szCs w:val="20"/>
        </w:rPr>
        <w:t xml:space="preserve">Samaniego L., R. Kumar, </w:t>
      </w:r>
      <w:r>
        <w:rPr>
          <w:rFonts w:asciiTheme="majorHAnsi" w:hAnsiTheme="majorHAnsi" w:cstheme="majorHAnsi"/>
          <w:szCs w:val="20"/>
        </w:rPr>
        <w:t xml:space="preserve">and </w:t>
      </w:r>
      <w:proofErr w:type="spellStart"/>
      <w:r w:rsidRPr="007B2FF5">
        <w:rPr>
          <w:rFonts w:asciiTheme="majorHAnsi" w:hAnsiTheme="majorHAnsi" w:cstheme="majorHAnsi"/>
          <w:szCs w:val="20"/>
        </w:rPr>
        <w:t>Attinger</w:t>
      </w:r>
      <w:proofErr w:type="spellEnd"/>
      <w:r>
        <w:rPr>
          <w:rFonts w:asciiTheme="majorHAnsi" w:hAnsiTheme="majorHAnsi" w:cstheme="majorHAnsi"/>
          <w:szCs w:val="20"/>
        </w:rPr>
        <w:t xml:space="preserve">, </w:t>
      </w:r>
      <w:r w:rsidRPr="007B2FF5">
        <w:rPr>
          <w:rFonts w:asciiTheme="majorHAnsi" w:hAnsiTheme="majorHAnsi" w:cstheme="majorHAnsi"/>
          <w:szCs w:val="20"/>
        </w:rPr>
        <w:t>S.</w:t>
      </w:r>
      <w:r>
        <w:rPr>
          <w:rFonts w:asciiTheme="majorHAnsi" w:hAnsiTheme="majorHAnsi" w:cstheme="majorHAnsi"/>
          <w:szCs w:val="20"/>
        </w:rPr>
        <w:t>:</w:t>
      </w:r>
      <w:r w:rsidRPr="007B2FF5">
        <w:rPr>
          <w:rFonts w:asciiTheme="majorHAnsi" w:hAnsiTheme="majorHAnsi" w:cstheme="majorHAnsi"/>
          <w:szCs w:val="20"/>
        </w:rPr>
        <w:t xml:space="preserve"> Multiscale parameter regionalization of a grid-based hydrologic model at the mesoscale</w:t>
      </w:r>
      <w:r>
        <w:rPr>
          <w:rFonts w:asciiTheme="majorHAnsi" w:hAnsiTheme="majorHAnsi" w:cstheme="majorHAnsi"/>
          <w:szCs w:val="20"/>
        </w:rPr>
        <w:t>,</w:t>
      </w:r>
      <w:r w:rsidRPr="007B2FF5">
        <w:rPr>
          <w:rFonts w:asciiTheme="majorHAnsi" w:hAnsiTheme="majorHAnsi" w:cstheme="majorHAnsi"/>
          <w:szCs w:val="20"/>
        </w:rPr>
        <w:t xml:space="preserve"> Water </w:t>
      </w:r>
      <w:proofErr w:type="spellStart"/>
      <w:r w:rsidRPr="007B2FF5">
        <w:rPr>
          <w:rFonts w:asciiTheme="majorHAnsi" w:hAnsiTheme="majorHAnsi" w:cstheme="majorHAnsi"/>
          <w:szCs w:val="20"/>
        </w:rPr>
        <w:t>Resour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. Res., 46, W05523, </w:t>
      </w:r>
      <w:hyperlink r:id="rId18" w:history="1">
        <w:r w:rsidR="005A397E" w:rsidRPr="00AA3C73">
          <w:rPr>
            <w:rStyle w:val="Hyperlink"/>
            <w:rFonts w:asciiTheme="majorHAnsi" w:hAnsiTheme="majorHAnsi" w:cstheme="majorHAnsi"/>
            <w:szCs w:val="20"/>
          </w:rPr>
          <w:t>https://doi.org/10.1029/2008WR007327</w:t>
        </w:r>
      </w:hyperlink>
      <w:r w:rsidR="005A397E">
        <w:rPr>
          <w:rFonts w:asciiTheme="majorHAnsi" w:hAnsiTheme="majorHAnsi" w:cstheme="majorHAnsi"/>
          <w:szCs w:val="20"/>
        </w:rPr>
        <w:t>,</w:t>
      </w:r>
      <w:r>
        <w:rPr>
          <w:rFonts w:asciiTheme="majorHAnsi" w:hAnsiTheme="majorHAnsi" w:cstheme="majorHAnsi"/>
          <w:szCs w:val="20"/>
        </w:rPr>
        <w:t xml:space="preserve"> 2010.</w:t>
      </w:r>
    </w:p>
    <w:p w14:paraId="3D25D3D0" w14:textId="54334713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  <w:r w:rsidRPr="007B2FF5">
        <w:rPr>
          <w:rFonts w:asciiTheme="majorHAnsi" w:hAnsiTheme="majorHAnsi" w:cstheme="majorHAnsi"/>
          <w:szCs w:val="20"/>
        </w:rPr>
        <w:t xml:space="preserve">Kumar, R., L. Samaniego, and S. </w:t>
      </w:r>
      <w:proofErr w:type="spellStart"/>
      <w:r w:rsidRPr="007B2FF5">
        <w:rPr>
          <w:rFonts w:asciiTheme="majorHAnsi" w:hAnsiTheme="majorHAnsi" w:cstheme="majorHAnsi"/>
          <w:szCs w:val="20"/>
        </w:rPr>
        <w:t>Attinger</w:t>
      </w:r>
      <w:proofErr w:type="spellEnd"/>
      <w:r>
        <w:rPr>
          <w:rFonts w:asciiTheme="majorHAnsi" w:hAnsiTheme="majorHAnsi" w:cstheme="majorHAnsi"/>
          <w:szCs w:val="20"/>
        </w:rPr>
        <w:t xml:space="preserve">: </w:t>
      </w:r>
      <w:r w:rsidRPr="007B2FF5">
        <w:rPr>
          <w:rFonts w:asciiTheme="majorHAnsi" w:hAnsiTheme="majorHAnsi" w:cstheme="majorHAnsi"/>
          <w:szCs w:val="20"/>
        </w:rPr>
        <w:t xml:space="preserve">Implications of distributed hydrologic model parameterization on water fluxes at multiple scales and locations, Water </w:t>
      </w:r>
      <w:proofErr w:type="spellStart"/>
      <w:r w:rsidRPr="007B2FF5">
        <w:rPr>
          <w:rFonts w:asciiTheme="majorHAnsi" w:hAnsiTheme="majorHAnsi" w:cstheme="majorHAnsi"/>
          <w:szCs w:val="20"/>
        </w:rPr>
        <w:t>Resour</w:t>
      </w:r>
      <w:proofErr w:type="spellEnd"/>
      <w:r w:rsidRPr="007B2FF5">
        <w:rPr>
          <w:rFonts w:asciiTheme="majorHAnsi" w:hAnsiTheme="majorHAnsi" w:cstheme="majorHAnsi"/>
          <w:szCs w:val="20"/>
        </w:rPr>
        <w:t>. Res., 49</w:t>
      </w:r>
      <w:r>
        <w:rPr>
          <w:rFonts w:asciiTheme="majorHAnsi" w:hAnsiTheme="majorHAnsi" w:cstheme="majorHAnsi"/>
          <w:szCs w:val="20"/>
        </w:rPr>
        <w:t xml:space="preserve">, </w:t>
      </w:r>
      <w:hyperlink r:id="rId19" w:history="1">
        <w:r w:rsidR="005A397E" w:rsidRPr="00AA3C73">
          <w:rPr>
            <w:rStyle w:val="Hyperlink"/>
            <w:rFonts w:asciiTheme="majorHAnsi" w:hAnsiTheme="majorHAnsi" w:cstheme="majorHAnsi"/>
            <w:szCs w:val="20"/>
          </w:rPr>
          <w:t>https://doi.org/10.1029/2012WR012195</w:t>
        </w:r>
      </w:hyperlink>
      <w:r w:rsidR="005A397E">
        <w:rPr>
          <w:rFonts w:asciiTheme="majorHAnsi" w:hAnsiTheme="majorHAnsi" w:cstheme="majorHAnsi"/>
          <w:szCs w:val="20"/>
        </w:rPr>
        <w:t xml:space="preserve">, </w:t>
      </w:r>
      <w:r>
        <w:rPr>
          <w:rFonts w:asciiTheme="majorHAnsi" w:hAnsiTheme="majorHAnsi" w:cstheme="majorHAnsi"/>
          <w:szCs w:val="20"/>
        </w:rPr>
        <w:t>2013.</w:t>
      </w:r>
    </w:p>
    <w:p w14:paraId="6F3BA043" w14:textId="59A7F1C5" w:rsidR="007B2FF5" w:rsidRPr="007B2FF5" w:rsidRDefault="007B2FF5" w:rsidP="007B2FF5">
      <w:pPr>
        <w:rPr>
          <w:rFonts w:asciiTheme="majorHAnsi" w:hAnsiTheme="majorHAnsi" w:cstheme="majorHAnsi"/>
          <w:szCs w:val="20"/>
        </w:rPr>
      </w:pPr>
      <w:proofErr w:type="spellStart"/>
      <w:r w:rsidRPr="007B2FF5">
        <w:rPr>
          <w:rFonts w:asciiTheme="majorHAnsi" w:hAnsiTheme="majorHAnsi" w:cstheme="majorHAnsi"/>
          <w:szCs w:val="20"/>
        </w:rPr>
        <w:t>Thober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, S., </w:t>
      </w:r>
      <w:proofErr w:type="spellStart"/>
      <w:r w:rsidRPr="007B2FF5">
        <w:rPr>
          <w:rFonts w:asciiTheme="majorHAnsi" w:hAnsiTheme="majorHAnsi" w:cstheme="majorHAnsi"/>
          <w:szCs w:val="20"/>
        </w:rPr>
        <w:t>Cuntz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, M., </w:t>
      </w:r>
      <w:proofErr w:type="spellStart"/>
      <w:r w:rsidRPr="007B2FF5">
        <w:rPr>
          <w:rFonts w:asciiTheme="majorHAnsi" w:hAnsiTheme="majorHAnsi" w:cstheme="majorHAnsi"/>
          <w:szCs w:val="20"/>
        </w:rPr>
        <w:t>Kelbling</w:t>
      </w:r>
      <w:proofErr w:type="spellEnd"/>
      <w:r w:rsidRPr="007B2FF5">
        <w:rPr>
          <w:rFonts w:asciiTheme="majorHAnsi" w:hAnsiTheme="majorHAnsi" w:cstheme="majorHAnsi"/>
          <w:szCs w:val="20"/>
        </w:rPr>
        <w:t>, M., Kumar, R., Mai, J.,</w:t>
      </w:r>
      <w:r w:rsidR="00A31BB6">
        <w:rPr>
          <w:rFonts w:asciiTheme="majorHAnsi" w:hAnsiTheme="majorHAnsi" w:cstheme="majorHAnsi"/>
          <w:szCs w:val="20"/>
        </w:rPr>
        <w:t xml:space="preserve"> and</w:t>
      </w:r>
      <w:r w:rsidRPr="007B2FF5">
        <w:rPr>
          <w:rFonts w:asciiTheme="majorHAnsi" w:hAnsiTheme="majorHAnsi" w:cstheme="majorHAnsi"/>
          <w:szCs w:val="20"/>
        </w:rPr>
        <w:t xml:space="preserve"> Samaniego, L.</w:t>
      </w:r>
      <w:r>
        <w:rPr>
          <w:rFonts w:asciiTheme="majorHAnsi" w:hAnsiTheme="majorHAnsi" w:cstheme="majorHAnsi"/>
          <w:szCs w:val="20"/>
        </w:rPr>
        <w:t xml:space="preserve">: </w:t>
      </w:r>
      <w:r w:rsidRPr="007B2FF5">
        <w:rPr>
          <w:rFonts w:asciiTheme="majorHAnsi" w:hAnsiTheme="majorHAnsi" w:cstheme="majorHAnsi"/>
          <w:szCs w:val="20"/>
        </w:rPr>
        <w:t xml:space="preserve">The multiscale routing model </w:t>
      </w:r>
      <w:proofErr w:type="spellStart"/>
      <w:r w:rsidRPr="007B2FF5">
        <w:rPr>
          <w:rFonts w:asciiTheme="majorHAnsi" w:hAnsiTheme="majorHAnsi" w:cstheme="majorHAnsi"/>
          <w:szCs w:val="20"/>
        </w:rPr>
        <w:t>mRM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 v1.0: simple river routing at resolutions from 1 to 50 km</w:t>
      </w:r>
      <w:r>
        <w:rPr>
          <w:rFonts w:asciiTheme="majorHAnsi" w:hAnsiTheme="majorHAnsi" w:cstheme="majorHAnsi"/>
          <w:szCs w:val="20"/>
        </w:rPr>
        <w:t>,</w:t>
      </w:r>
      <w:r w:rsidRPr="007B2FF5">
        <w:rPr>
          <w:rFonts w:asciiTheme="majorHAnsi" w:hAnsiTheme="majorHAnsi" w:cstheme="majorHAnsi"/>
          <w:szCs w:val="20"/>
        </w:rPr>
        <w:t xml:space="preserve"> </w:t>
      </w:r>
      <w:proofErr w:type="spellStart"/>
      <w:r w:rsidRPr="007B2FF5">
        <w:rPr>
          <w:rFonts w:asciiTheme="majorHAnsi" w:hAnsiTheme="majorHAnsi" w:cstheme="majorHAnsi"/>
          <w:szCs w:val="20"/>
        </w:rPr>
        <w:t>Geosci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. Model Dev. 12 (6), 2501 - 2521, </w:t>
      </w:r>
      <w:hyperlink r:id="rId20" w:history="1">
        <w:r w:rsidR="00A31BB6" w:rsidRPr="00AA3C73">
          <w:rPr>
            <w:rStyle w:val="Hyperlink"/>
            <w:rFonts w:asciiTheme="majorHAnsi" w:hAnsiTheme="majorHAnsi" w:cstheme="majorHAnsi"/>
            <w:szCs w:val="20"/>
          </w:rPr>
          <w:t>https://doi.org/10.5194/gmd-12-2501-2019</w:t>
        </w:r>
      </w:hyperlink>
      <w:r w:rsidR="00A31BB6">
        <w:rPr>
          <w:rFonts w:asciiTheme="majorHAnsi" w:hAnsiTheme="majorHAnsi" w:cstheme="majorHAnsi"/>
          <w:szCs w:val="20"/>
        </w:rPr>
        <w:t>,</w:t>
      </w:r>
      <w:r>
        <w:rPr>
          <w:rFonts w:asciiTheme="majorHAnsi" w:hAnsiTheme="majorHAnsi" w:cstheme="majorHAnsi"/>
          <w:szCs w:val="20"/>
        </w:rPr>
        <w:t xml:space="preserve"> 2019.</w:t>
      </w:r>
    </w:p>
    <w:p w14:paraId="5D80120A" w14:textId="030243D2" w:rsidR="007B2FF5" w:rsidRPr="007B2FF5" w:rsidRDefault="007B2FF5" w:rsidP="007B2FF5">
      <w:pPr>
        <w:rPr>
          <w:rFonts w:asciiTheme="majorHAnsi" w:hAnsiTheme="majorHAnsi" w:cstheme="majorHAnsi"/>
          <w:b/>
          <w:szCs w:val="20"/>
        </w:rPr>
      </w:pPr>
      <w:r w:rsidRPr="007B2FF5">
        <w:rPr>
          <w:rFonts w:asciiTheme="majorHAnsi" w:hAnsiTheme="majorHAnsi" w:cstheme="majorHAnsi"/>
          <w:szCs w:val="20"/>
        </w:rPr>
        <w:t xml:space="preserve">Gao, H., Tang, Q., Shi, X., Zhu, C., Bohn, T. J., </w:t>
      </w:r>
      <w:proofErr w:type="spellStart"/>
      <w:r w:rsidRPr="007B2FF5">
        <w:rPr>
          <w:rFonts w:asciiTheme="majorHAnsi" w:hAnsiTheme="majorHAnsi" w:cstheme="majorHAnsi"/>
          <w:szCs w:val="20"/>
        </w:rPr>
        <w:t>Su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, F., </w:t>
      </w:r>
      <w:proofErr w:type="spellStart"/>
      <w:r w:rsidRPr="007B2FF5">
        <w:rPr>
          <w:rFonts w:asciiTheme="majorHAnsi" w:hAnsiTheme="majorHAnsi" w:cstheme="majorHAnsi"/>
          <w:szCs w:val="20"/>
        </w:rPr>
        <w:t>Sheffieldm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 J., Pan, M., </w:t>
      </w:r>
      <w:proofErr w:type="spellStart"/>
      <w:r w:rsidRPr="007B2FF5">
        <w:rPr>
          <w:rFonts w:asciiTheme="majorHAnsi" w:hAnsiTheme="majorHAnsi" w:cstheme="majorHAnsi"/>
          <w:szCs w:val="20"/>
        </w:rPr>
        <w:t>Lettenmaier</w:t>
      </w:r>
      <w:proofErr w:type="spellEnd"/>
      <w:r w:rsidRPr="007B2FF5">
        <w:rPr>
          <w:rFonts w:asciiTheme="majorHAnsi" w:hAnsiTheme="majorHAnsi" w:cstheme="majorHAnsi"/>
          <w:szCs w:val="20"/>
        </w:rPr>
        <w:t xml:space="preserve">, D., </w:t>
      </w:r>
      <w:r w:rsidR="00A31BB6">
        <w:rPr>
          <w:rFonts w:asciiTheme="majorHAnsi" w:hAnsiTheme="majorHAnsi" w:cstheme="majorHAnsi"/>
          <w:szCs w:val="20"/>
        </w:rPr>
        <w:t xml:space="preserve">and </w:t>
      </w:r>
      <w:r w:rsidRPr="007B2FF5">
        <w:rPr>
          <w:rFonts w:asciiTheme="majorHAnsi" w:hAnsiTheme="majorHAnsi" w:cstheme="majorHAnsi"/>
          <w:szCs w:val="20"/>
        </w:rPr>
        <w:t>Wood, E. F.</w:t>
      </w:r>
      <w:r>
        <w:rPr>
          <w:rFonts w:asciiTheme="majorHAnsi" w:hAnsiTheme="majorHAnsi" w:cstheme="majorHAnsi"/>
          <w:szCs w:val="20"/>
        </w:rPr>
        <w:t xml:space="preserve">: </w:t>
      </w:r>
      <w:r w:rsidRPr="007B2FF5">
        <w:rPr>
          <w:rFonts w:asciiTheme="majorHAnsi" w:hAnsiTheme="majorHAnsi" w:cstheme="majorHAnsi"/>
          <w:szCs w:val="20"/>
        </w:rPr>
        <w:t>Water budget record from variable infiltration capacity (VIC) Model</w:t>
      </w:r>
      <w:r>
        <w:rPr>
          <w:rFonts w:asciiTheme="majorHAnsi" w:hAnsiTheme="majorHAnsi" w:cstheme="majorHAnsi"/>
          <w:szCs w:val="20"/>
        </w:rPr>
        <w:t>,</w:t>
      </w:r>
      <w:r w:rsidRPr="007B2FF5">
        <w:rPr>
          <w:rFonts w:asciiTheme="majorHAnsi" w:hAnsiTheme="majorHAnsi" w:cstheme="majorHAnsi"/>
          <w:szCs w:val="20"/>
        </w:rPr>
        <w:t xml:space="preserve"> Algorithm Theoretical Basis Document, Version 1.2.</w:t>
      </w:r>
      <w:r>
        <w:rPr>
          <w:rFonts w:asciiTheme="majorHAnsi" w:hAnsiTheme="majorHAnsi" w:cstheme="majorHAnsi"/>
          <w:szCs w:val="20"/>
        </w:rPr>
        <w:t>, 2009.</w:t>
      </w:r>
    </w:p>
    <w:p w14:paraId="4EF8C980" w14:textId="77777777" w:rsidR="007B2FF5" w:rsidRDefault="007B2FF5" w:rsidP="00883990"/>
    <w:p w14:paraId="17D7AE6D" w14:textId="5BC7740A" w:rsidR="005F7A54" w:rsidRDefault="005F7A54" w:rsidP="003D5288"/>
    <w:sectPr w:rsidR="005F7A54" w:rsidSect="009B6D36">
      <w:footerReference w:type="default" r:id="rId21"/>
      <w:pgSz w:w="11907" w:h="13608"/>
      <w:pgMar w:top="567" w:right="936" w:bottom="1338" w:left="936" w:header="0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3DF073" w14:textId="77777777" w:rsidR="001A0FCE" w:rsidRDefault="001A0FCE" w:rsidP="006D0C96">
      <w:pPr>
        <w:spacing w:line="240" w:lineRule="auto"/>
      </w:pPr>
      <w:r>
        <w:separator/>
      </w:r>
    </w:p>
  </w:endnote>
  <w:endnote w:type="continuationSeparator" w:id="0">
    <w:p w14:paraId="3B810F71" w14:textId="77777777" w:rsidR="001A0FCE" w:rsidRDefault="001A0FCE" w:rsidP="006D0C9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0677881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576ABD1" w14:textId="77777777" w:rsidR="005A397E" w:rsidRDefault="005A397E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4AA5123" w14:textId="77777777" w:rsidR="005A397E" w:rsidRDefault="005A397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0B3BE3" w14:textId="77777777" w:rsidR="001A0FCE" w:rsidRDefault="001A0FCE" w:rsidP="006D0C96">
      <w:pPr>
        <w:spacing w:line="240" w:lineRule="auto"/>
      </w:pPr>
      <w:r>
        <w:separator/>
      </w:r>
    </w:p>
  </w:footnote>
  <w:footnote w:type="continuationSeparator" w:id="0">
    <w:p w14:paraId="654376C1" w14:textId="77777777" w:rsidR="001A0FCE" w:rsidRDefault="001A0FCE" w:rsidP="006D0C9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294403"/>
    <w:multiLevelType w:val="hybridMultilevel"/>
    <w:tmpl w:val="E6ECA0A2"/>
    <w:lvl w:ilvl="0" w:tplc="35A460C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621EB8"/>
    <w:multiLevelType w:val="hybridMultilevel"/>
    <w:tmpl w:val="B3626938"/>
    <w:lvl w:ilvl="0" w:tplc="F29A847E">
      <w:start w:val="1"/>
      <w:numFmt w:val="bullet"/>
      <w:pStyle w:val="Bullet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BD4613"/>
    <w:multiLevelType w:val="hybridMultilevel"/>
    <w:tmpl w:val="318AE1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EDB76EC"/>
    <w:multiLevelType w:val="hybridMultilevel"/>
    <w:tmpl w:val="40D6A2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4213"/>
    <w:rsid w:val="00005816"/>
    <w:rsid w:val="00005FA1"/>
    <w:rsid w:val="00041A84"/>
    <w:rsid w:val="0005690A"/>
    <w:rsid w:val="00075F28"/>
    <w:rsid w:val="00084789"/>
    <w:rsid w:val="000A1B66"/>
    <w:rsid w:val="000A2DD2"/>
    <w:rsid w:val="000B3762"/>
    <w:rsid w:val="000C3A9F"/>
    <w:rsid w:val="000E5B54"/>
    <w:rsid w:val="000E7ECC"/>
    <w:rsid w:val="00135329"/>
    <w:rsid w:val="00180482"/>
    <w:rsid w:val="00186FEA"/>
    <w:rsid w:val="001A0FCE"/>
    <w:rsid w:val="001C5EB9"/>
    <w:rsid w:val="001D0A35"/>
    <w:rsid w:val="00200B97"/>
    <w:rsid w:val="00203F92"/>
    <w:rsid w:val="0023286C"/>
    <w:rsid w:val="00236725"/>
    <w:rsid w:val="00294DF4"/>
    <w:rsid w:val="00296CD2"/>
    <w:rsid w:val="002A72F0"/>
    <w:rsid w:val="002B37D7"/>
    <w:rsid w:val="002B714F"/>
    <w:rsid w:val="002D7ECA"/>
    <w:rsid w:val="003118C8"/>
    <w:rsid w:val="00330F18"/>
    <w:rsid w:val="00335619"/>
    <w:rsid w:val="0034653A"/>
    <w:rsid w:val="003A4FB4"/>
    <w:rsid w:val="003D5288"/>
    <w:rsid w:val="003E18BA"/>
    <w:rsid w:val="0040376B"/>
    <w:rsid w:val="00450DB9"/>
    <w:rsid w:val="00457B30"/>
    <w:rsid w:val="00463568"/>
    <w:rsid w:val="00467261"/>
    <w:rsid w:val="004A7123"/>
    <w:rsid w:val="004C6E10"/>
    <w:rsid w:val="004D0F1A"/>
    <w:rsid w:val="00524510"/>
    <w:rsid w:val="00542A82"/>
    <w:rsid w:val="0055217B"/>
    <w:rsid w:val="00564213"/>
    <w:rsid w:val="00581C89"/>
    <w:rsid w:val="005A18B8"/>
    <w:rsid w:val="005A397E"/>
    <w:rsid w:val="005A4F32"/>
    <w:rsid w:val="005E2090"/>
    <w:rsid w:val="005F3D1F"/>
    <w:rsid w:val="005F7A54"/>
    <w:rsid w:val="006040C2"/>
    <w:rsid w:val="006326D7"/>
    <w:rsid w:val="00670F05"/>
    <w:rsid w:val="0067309B"/>
    <w:rsid w:val="00692B0B"/>
    <w:rsid w:val="006C582A"/>
    <w:rsid w:val="006D0C96"/>
    <w:rsid w:val="006E7F6B"/>
    <w:rsid w:val="006F4C65"/>
    <w:rsid w:val="0070537F"/>
    <w:rsid w:val="0071021B"/>
    <w:rsid w:val="007149DB"/>
    <w:rsid w:val="0072316C"/>
    <w:rsid w:val="0072369B"/>
    <w:rsid w:val="00733CBB"/>
    <w:rsid w:val="007438BB"/>
    <w:rsid w:val="00744C1E"/>
    <w:rsid w:val="00751A44"/>
    <w:rsid w:val="00796A7F"/>
    <w:rsid w:val="007B2FF5"/>
    <w:rsid w:val="007E74FB"/>
    <w:rsid w:val="00823258"/>
    <w:rsid w:val="00855006"/>
    <w:rsid w:val="00877B28"/>
    <w:rsid w:val="00883829"/>
    <w:rsid w:val="00883990"/>
    <w:rsid w:val="008B325C"/>
    <w:rsid w:val="008B525C"/>
    <w:rsid w:val="008B719F"/>
    <w:rsid w:val="008E213F"/>
    <w:rsid w:val="008E3110"/>
    <w:rsid w:val="00910BCA"/>
    <w:rsid w:val="009150E4"/>
    <w:rsid w:val="0091791F"/>
    <w:rsid w:val="00932F15"/>
    <w:rsid w:val="00943440"/>
    <w:rsid w:val="0094538A"/>
    <w:rsid w:val="00972047"/>
    <w:rsid w:val="009B6D36"/>
    <w:rsid w:val="009D38E2"/>
    <w:rsid w:val="009F2C0A"/>
    <w:rsid w:val="00A17EED"/>
    <w:rsid w:val="00A31BB6"/>
    <w:rsid w:val="00A668E5"/>
    <w:rsid w:val="00AD4101"/>
    <w:rsid w:val="00AE4157"/>
    <w:rsid w:val="00B32ABA"/>
    <w:rsid w:val="00B4015F"/>
    <w:rsid w:val="00B5719D"/>
    <w:rsid w:val="00B618AA"/>
    <w:rsid w:val="00B62878"/>
    <w:rsid w:val="00B75342"/>
    <w:rsid w:val="00B91DDE"/>
    <w:rsid w:val="00B94A58"/>
    <w:rsid w:val="00BA0F08"/>
    <w:rsid w:val="00BA610A"/>
    <w:rsid w:val="00BC7AD4"/>
    <w:rsid w:val="00BD0523"/>
    <w:rsid w:val="00BD2E53"/>
    <w:rsid w:val="00C1589F"/>
    <w:rsid w:val="00C16E92"/>
    <w:rsid w:val="00C20D95"/>
    <w:rsid w:val="00C26311"/>
    <w:rsid w:val="00C35812"/>
    <w:rsid w:val="00C63056"/>
    <w:rsid w:val="00C65DA8"/>
    <w:rsid w:val="00C761AF"/>
    <w:rsid w:val="00C826DF"/>
    <w:rsid w:val="00C82F79"/>
    <w:rsid w:val="00CA0445"/>
    <w:rsid w:val="00CC51D0"/>
    <w:rsid w:val="00CD1736"/>
    <w:rsid w:val="00CD59BA"/>
    <w:rsid w:val="00CE76DB"/>
    <w:rsid w:val="00D3707C"/>
    <w:rsid w:val="00D40CE0"/>
    <w:rsid w:val="00D47F65"/>
    <w:rsid w:val="00D80C2E"/>
    <w:rsid w:val="00D81433"/>
    <w:rsid w:val="00D977F2"/>
    <w:rsid w:val="00DA5890"/>
    <w:rsid w:val="00DB4E53"/>
    <w:rsid w:val="00DC1769"/>
    <w:rsid w:val="00DD7DAB"/>
    <w:rsid w:val="00DF0D6C"/>
    <w:rsid w:val="00E00253"/>
    <w:rsid w:val="00E00339"/>
    <w:rsid w:val="00E142A8"/>
    <w:rsid w:val="00E224DA"/>
    <w:rsid w:val="00E861A5"/>
    <w:rsid w:val="00EA20E5"/>
    <w:rsid w:val="00EB3C2A"/>
    <w:rsid w:val="00EC4D21"/>
    <w:rsid w:val="00ED040A"/>
    <w:rsid w:val="00ED6B96"/>
    <w:rsid w:val="00EE58C0"/>
    <w:rsid w:val="00EF58EA"/>
    <w:rsid w:val="00F20B17"/>
    <w:rsid w:val="00F35903"/>
    <w:rsid w:val="00F512A5"/>
    <w:rsid w:val="00F5258E"/>
    <w:rsid w:val="00F64C9C"/>
    <w:rsid w:val="00FF3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DBE553"/>
  <w15:docId w15:val="{D2CFD17B-36C5-4048-BB43-0059F9DAD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40CE0"/>
    <w:pPr>
      <w:spacing w:line="360" w:lineRule="auto"/>
      <w:jc w:val="both"/>
    </w:pPr>
    <w:rPr>
      <w:rFonts w:ascii="Times New Roman" w:eastAsia="Times New Roman" w:hAnsi="Times New Roman"/>
      <w:szCs w:val="24"/>
      <w:lang w:eastAsia="de-DE"/>
    </w:rPr>
  </w:style>
  <w:style w:type="paragraph" w:styleId="Heading1">
    <w:name w:val="heading 1"/>
    <w:basedOn w:val="Normal"/>
    <w:next w:val="Normal"/>
    <w:link w:val="Heading1Char"/>
    <w:qFormat/>
    <w:rsid w:val="00075F28"/>
    <w:pPr>
      <w:keepNext/>
      <w:spacing w:before="480" w:after="240" w:line="240" w:lineRule="auto"/>
      <w:outlineLvl w:val="0"/>
    </w:pPr>
    <w:rPr>
      <w:rFonts w:cs="Arial"/>
      <w:b/>
      <w:bCs/>
      <w:color w:val="000000"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00339"/>
    <w:pPr>
      <w:keepNext/>
      <w:spacing w:before="240" w:after="240" w:line="240" w:lineRule="auto"/>
      <w:outlineLvl w:val="1"/>
    </w:pPr>
    <w:rPr>
      <w:rFonts w:cs="Arial"/>
      <w:b/>
      <w:bCs/>
      <w:iCs/>
      <w:szCs w:val="28"/>
    </w:rPr>
  </w:style>
  <w:style w:type="paragraph" w:styleId="Heading3">
    <w:name w:val="heading 3"/>
    <w:basedOn w:val="Normal"/>
    <w:next w:val="Normal"/>
    <w:link w:val="Heading3Char"/>
    <w:qFormat/>
    <w:rsid w:val="005A4F32"/>
    <w:pPr>
      <w:keepNext/>
      <w:spacing w:before="240" w:after="240" w:line="240" w:lineRule="auto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rsid w:val="00ED6B96"/>
    <w:pPr>
      <w:keepNext/>
      <w:outlineLvl w:val="3"/>
    </w:pPr>
    <w:rPr>
      <w:b/>
      <w:bCs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etreff">
    <w:name w:val="Betreff"/>
    <w:basedOn w:val="Normal"/>
    <w:next w:val="Normal"/>
    <w:rsid w:val="00ED6B96"/>
    <w:rPr>
      <w:b/>
    </w:rPr>
  </w:style>
  <w:style w:type="paragraph" w:customStyle="1" w:styleId="Bullets">
    <w:name w:val="Bullets"/>
    <w:basedOn w:val="Normal"/>
    <w:link w:val="BulletsChar"/>
    <w:rsid w:val="00ED6B96"/>
    <w:pPr>
      <w:numPr>
        <w:numId w:val="2"/>
      </w:numPr>
    </w:pPr>
  </w:style>
  <w:style w:type="character" w:customStyle="1" w:styleId="BulletsChar">
    <w:name w:val="Bullets Char"/>
    <w:link w:val="Bullets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table" w:customStyle="1" w:styleId="Copernicus">
    <w:name w:val="Copernicus"/>
    <w:basedOn w:val="TableNormal"/>
    <w:rsid w:val="00ED6B96"/>
    <w:rPr>
      <w:rFonts w:ascii="Verdana" w:eastAsia="Times New Roman" w:hAnsi="Verdana"/>
      <w:sz w:val="19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cPr>
      <w:shd w:val="clear" w:color="auto" w:fill="auto"/>
      <w:vAlign w:val="center"/>
    </w:tcPr>
    <w:tblStylePr w:type="firstRow">
      <w:pPr>
        <w:jc w:val="left"/>
      </w:pPr>
      <w:rPr>
        <w:rFonts w:ascii="Verdana" w:hAnsi="Verdana"/>
        <w:b/>
        <w:i w:val="0"/>
        <w:sz w:val="19"/>
      </w:rPr>
      <w:tblPr/>
      <w:tcPr>
        <w:shd w:val="clear" w:color="auto" w:fill="BFBFBF"/>
      </w:tcPr>
    </w:tblStylePr>
    <w:tblStylePr w:type="lastRow">
      <w:pPr>
        <w:jc w:val="left"/>
      </w:pPr>
      <w:rPr>
        <w:rFonts w:ascii="Verdana" w:hAnsi="Verdana"/>
        <w:sz w:val="19"/>
      </w:rPr>
    </w:tblStylePr>
    <w:tblStylePr w:type="firstCol">
      <w:rPr>
        <w:rFonts w:ascii="Verdana" w:hAnsi="Verdana"/>
        <w:sz w:val="19"/>
      </w:rPr>
    </w:tblStylePr>
    <w:tblStylePr w:type="lastCol">
      <w:rPr>
        <w:rFonts w:ascii="Verdana" w:hAnsi="Verdana"/>
        <w:sz w:val="19"/>
      </w:rPr>
      <w:tblPr/>
      <w:tcPr>
        <w:tc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cBorders>
      </w:tcPr>
    </w:tblStylePr>
  </w:style>
  <w:style w:type="paragraph" w:styleId="Header">
    <w:name w:val="header"/>
    <w:basedOn w:val="Normal"/>
    <w:link w:val="HeaderChar"/>
    <w:rsid w:val="00ED6B96"/>
    <w:pPr>
      <w:tabs>
        <w:tab w:val="center" w:pos="4536"/>
        <w:tab w:val="right" w:pos="9072"/>
      </w:tabs>
    </w:pPr>
  </w:style>
  <w:style w:type="character" w:customStyle="1" w:styleId="Heading1Char">
    <w:name w:val="Heading 1 Char"/>
    <w:link w:val="Heading1"/>
    <w:rsid w:val="00075F28"/>
    <w:rPr>
      <w:rFonts w:ascii="Times New Roman" w:eastAsia="Times New Roman" w:hAnsi="Times New Roman" w:cs="Arial"/>
      <w:b/>
      <w:bCs/>
      <w:color w:val="000000"/>
      <w:kern w:val="32"/>
      <w:szCs w:val="32"/>
      <w:lang w:eastAsia="de-DE"/>
    </w:rPr>
  </w:style>
  <w:style w:type="character" w:customStyle="1" w:styleId="Heading3Char">
    <w:name w:val="Heading 3 Char"/>
    <w:link w:val="Heading3"/>
    <w:rsid w:val="005A4F32"/>
    <w:rPr>
      <w:rFonts w:ascii="Times New Roman" w:eastAsia="Times New Roman" w:hAnsi="Times New Roman" w:cs="Arial"/>
      <w:b/>
      <w:bCs/>
      <w:szCs w:val="26"/>
      <w:lang w:eastAsia="de-DE"/>
    </w:rPr>
  </w:style>
  <w:style w:type="character" w:customStyle="1" w:styleId="Heading4Char">
    <w:name w:val="Heading 4 Char"/>
    <w:link w:val="Heading4"/>
    <w:rsid w:val="00796A7F"/>
    <w:rPr>
      <w:rFonts w:ascii="Verdana" w:eastAsia="Times New Roman" w:hAnsi="Verdana" w:cs="Times New Roman"/>
      <w:b/>
      <w:bCs/>
      <w:sz w:val="19"/>
      <w:szCs w:val="28"/>
      <w:lang w:eastAsia="de-DE"/>
    </w:rPr>
  </w:style>
  <w:style w:type="character" w:customStyle="1" w:styleId="HeaderChar">
    <w:name w:val="Header Char"/>
    <w:link w:val="Header"/>
    <w:rsid w:val="00ED6B96"/>
    <w:rPr>
      <w:rFonts w:ascii="Verdana" w:eastAsia="Times New Roman" w:hAnsi="Verdana" w:cs="Times New Roman"/>
      <w:sz w:val="19"/>
      <w:szCs w:val="24"/>
      <w:lang w:eastAsia="de-DE"/>
    </w:rPr>
  </w:style>
  <w:style w:type="character" w:customStyle="1" w:styleId="Heading2Char">
    <w:name w:val="Heading 2 Char"/>
    <w:link w:val="Heading2"/>
    <w:rsid w:val="00E00339"/>
    <w:rPr>
      <w:rFonts w:ascii="Times New Roman" w:eastAsia="Times New Roman" w:hAnsi="Times New Roman" w:cs="Arial"/>
      <w:b/>
      <w:bCs/>
      <w:iCs/>
      <w:szCs w:val="28"/>
      <w:lang w:eastAsia="de-DE"/>
    </w:rPr>
  </w:style>
  <w:style w:type="character" w:styleId="Hyperlink">
    <w:name w:val="Hyperlink"/>
    <w:rsid w:val="00ED6B96"/>
    <w:rPr>
      <w:color w:val="0000FF"/>
      <w:u w:val="single"/>
    </w:rPr>
  </w:style>
  <w:style w:type="paragraph" w:customStyle="1" w:styleId="Kontakt">
    <w:name w:val="Kontakt"/>
    <w:basedOn w:val="Normal"/>
    <w:rsid w:val="00ED6B96"/>
    <w:pPr>
      <w:spacing w:line="160" w:lineRule="exact"/>
    </w:pPr>
    <w:rPr>
      <w:color w:val="808080"/>
      <w:sz w:val="13"/>
    </w:rPr>
  </w:style>
  <w:style w:type="paragraph" w:customStyle="1" w:styleId="Name">
    <w:name w:val="Name"/>
    <w:basedOn w:val="Normal"/>
    <w:rsid w:val="00ED6B96"/>
    <w:pPr>
      <w:spacing w:before="160" w:after="80"/>
    </w:pPr>
    <w:rPr>
      <w:rFonts w:ascii="Book Antiqua" w:hAnsi="Book Antiqua"/>
      <w:color w:val="808080"/>
      <w:sz w:val="22"/>
    </w:rPr>
  </w:style>
  <w:style w:type="paragraph" w:customStyle="1" w:styleId="CopernicusWordtemplate">
    <w:name w:val="Copernicus_Word_template"/>
    <w:basedOn w:val="Normal"/>
    <w:link w:val="CopernicusWordtemplateChar"/>
    <w:rsid w:val="00B5719D"/>
  </w:style>
  <w:style w:type="character" w:customStyle="1" w:styleId="CopernicusWordtemplateChar">
    <w:name w:val="Copernicus_Word_template Char"/>
    <w:basedOn w:val="DefaultParagraphFont"/>
    <w:link w:val="CopernicusWordtemplate"/>
    <w:rsid w:val="00B5719D"/>
    <w:rPr>
      <w:rFonts w:ascii="Times New Roman" w:eastAsia="Times New Roman" w:hAnsi="Times New Roman"/>
      <w:sz w:val="24"/>
      <w:szCs w:val="24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D40CE0"/>
  </w:style>
  <w:style w:type="paragraph" w:customStyle="1" w:styleId="MStitle">
    <w:name w:val="MS title"/>
    <w:basedOn w:val="Normal"/>
    <w:link w:val="MStitleChar"/>
    <w:qFormat/>
    <w:rsid w:val="0091791F"/>
    <w:pPr>
      <w:spacing w:before="360" w:line="440" w:lineRule="exact"/>
      <w:contextualSpacing/>
    </w:pPr>
    <w:rPr>
      <w:b/>
      <w:sz w:val="34"/>
    </w:rPr>
  </w:style>
  <w:style w:type="paragraph" w:styleId="ListParagraph">
    <w:name w:val="List Paragraph"/>
    <w:basedOn w:val="Normal"/>
    <w:uiPriority w:val="34"/>
    <w:rsid w:val="00B4015F"/>
    <w:pPr>
      <w:ind w:left="720"/>
      <w:contextualSpacing/>
    </w:pPr>
  </w:style>
  <w:style w:type="character" w:customStyle="1" w:styleId="MStitleChar">
    <w:name w:val="MS title Char"/>
    <w:basedOn w:val="DefaultParagraphFont"/>
    <w:link w:val="MStitle"/>
    <w:rsid w:val="0091791F"/>
    <w:rPr>
      <w:rFonts w:ascii="Times New Roman" w:eastAsia="Times New Roman" w:hAnsi="Times New Roman"/>
      <w:b/>
      <w:sz w:val="34"/>
      <w:szCs w:val="24"/>
      <w:lang w:eastAsia="de-DE"/>
    </w:rPr>
  </w:style>
  <w:style w:type="paragraph" w:customStyle="1" w:styleId="Affiliation">
    <w:name w:val="Affiliation"/>
    <w:basedOn w:val="Normal"/>
    <w:link w:val="AffiliationChar"/>
    <w:qFormat/>
    <w:rsid w:val="00450DB9"/>
    <w:pPr>
      <w:spacing w:before="120" w:line="240" w:lineRule="auto"/>
      <w:contextualSpacing/>
    </w:pPr>
  </w:style>
  <w:style w:type="character" w:styleId="PlaceholderText">
    <w:name w:val="Placeholder Text"/>
    <w:basedOn w:val="DefaultParagraphFont"/>
    <w:uiPriority w:val="99"/>
    <w:semiHidden/>
    <w:rsid w:val="003D5288"/>
    <w:rPr>
      <w:color w:val="808080"/>
    </w:rPr>
  </w:style>
  <w:style w:type="character" w:customStyle="1" w:styleId="AffiliationChar">
    <w:name w:val="Affiliation Char"/>
    <w:basedOn w:val="DefaultParagraphFont"/>
    <w:link w:val="Affiliation"/>
    <w:rsid w:val="00450DB9"/>
    <w:rPr>
      <w:rFonts w:ascii="Times New Roman" w:eastAsia="Times New Roman" w:hAnsi="Times New Roman"/>
      <w:szCs w:val="24"/>
      <w:lang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52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5288"/>
    <w:rPr>
      <w:rFonts w:ascii="Tahoma" w:eastAsia="Times New Roman" w:hAnsi="Tahoma" w:cs="Tahoma"/>
      <w:sz w:val="16"/>
      <w:szCs w:val="16"/>
      <w:lang w:eastAsia="de-DE"/>
    </w:rPr>
  </w:style>
  <w:style w:type="paragraph" w:customStyle="1" w:styleId="Equation">
    <w:name w:val="Equation"/>
    <w:basedOn w:val="Normal"/>
    <w:link w:val="EquationChar"/>
    <w:rsid w:val="00C35812"/>
    <w:pPr>
      <w:spacing w:before="120" w:after="120"/>
    </w:pPr>
    <w:rPr>
      <w:rFonts w:ascii="Cambria Math" w:hAnsi="Cambria Math"/>
    </w:rPr>
  </w:style>
  <w:style w:type="paragraph" w:styleId="Caption">
    <w:name w:val="caption"/>
    <w:basedOn w:val="Normal"/>
    <w:next w:val="Normal"/>
    <w:uiPriority w:val="35"/>
    <w:unhideWhenUsed/>
    <w:qFormat/>
    <w:rsid w:val="003A4FB4"/>
    <w:pPr>
      <w:spacing w:after="200" w:line="240" w:lineRule="auto"/>
    </w:pPr>
    <w:rPr>
      <w:b/>
      <w:bCs/>
      <w:sz w:val="18"/>
      <w:szCs w:val="18"/>
    </w:rPr>
  </w:style>
  <w:style w:type="character" w:customStyle="1" w:styleId="EquationChar">
    <w:name w:val="Equation Char"/>
    <w:basedOn w:val="DefaultParagraphFont"/>
    <w:link w:val="Equation"/>
    <w:rsid w:val="00C35812"/>
    <w:rPr>
      <w:rFonts w:ascii="Cambria Math" w:eastAsia="Times New Roman" w:hAnsi="Cambria Math"/>
      <w:szCs w:val="24"/>
      <w:lang w:eastAsia="de-DE"/>
    </w:rPr>
  </w:style>
  <w:style w:type="paragraph" w:styleId="Footer">
    <w:name w:val="footer"/>
    <w:basedOn w:val="Normal"/>
    <w:link w:val="FooterChar"/>
    <w:uiPriority w:val="99"/>
    <w:unhideWhenUsed/>
    <w:rsid w:val="006D0C9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0C96"/>
    <w:rPr>
      <w:rFonts w:ascii="Times New Roman" w:eastAsia="Times New Roman" w:hAnsi="Times New Roman"/>
      <w:szCs w:val="24"/>
      <w:lang w:eastAsia="de-DE"/>
    </w:rPr>
  </w:style>
  <w:style w:type="paragraph" w:customStyle="1" w:styleId="Correspondence">
    <w:name w:val="Correspondence"/>
    <w:basedOn w:val="Normal"/>
    <w:link w:val="CorrespondenceChar"/>
    <w:qFormat/>
    <w:rsid w:val="008E213F"/>
    <w:pPr>
      <w:spacing w:before="120" w:after="360" w:line="240" w:lineRule="auto"/>
    </w:pPr>
  </w:style>
  <w:style w:type="character" w:customStyle="1" w:styleId="CorrespondenceChar">
    <w:name w:val="Correspondence Char"/>
    <w:basedOn w:val="DefaultParagraphFont"/>
    <w:link w:val="Correspondence"/>
    <w:rsid w:val="008E213F"/>
    <w:rPr>
      <w:rFonts w:ascii="Times New Roman" w:eastAsia="Times New Roman" w:hAnsi="Times New Roman"/>
      <w:szCs w:val="24"/>
      <w:lang w:eastAsia="de-DE"/>
    </w:rPr>
  </w:style>
  <w:style w:type="paragraph" w:customStyle="1" w:styleId="Authors">
    <w:name w:val="Authors"/>
    <w:basedOn w:val="Normal"/>
    <w:link w:val="AuthorsChar"/>
    <w:qFormat/>
    <w:rsid w:val="00BD0523"/>
    <w:pPr>
      <w:spacing w:before="180" w:line="240" w:lineRule="auto"/>
      <w:contextualSpacing/>
    </w:pPr>
    <w:rPr>
      <w:sz w:val="24"/>
    </w:rPr>
  </w:style>
  <w:style w:type="character" w:customStyle="1" w:styleId="AuthorsChar">
    <w:name w:val="Authors Char"/>
    <w:basedOn w:val="DefaultParagraphFont"/>
    <w:link w:val="Authors"/>
    <w:rsid w:val="00BD0523"/>
    <w:rPr>
      <w:rFonts w:ascii="Times New Roman" w:eastAsia="Times New Roman" w:hAnsi="Times New Roman"/>
      <w:sz w:val="24"/>
      <w:szCs w:val="24"/>
      <w:lang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0E5B54"/>
    <w:rPr>
      <w:color w:val="605E5C"/>
      <w:shd w:val="clear" w:color="auto" w:fill="E1DFDD"/>
    </w:rPr>
  </w:style>
  <w:style w:type="table" w:customStyle="1" w:styleId="1">
    <w:name w:val="1"/>
    <w:basedOn w:val="TableNormal"/>
    <w:rsid w:val="00DD7DAB"/>
    <w:rPr>
      <w:rFonts w:ascii="Times New Roman" w:eastAsia="Times New Roman" w:hAnsi="Times New Roman"/>
      <w:lang w:val="en-US" w:eastAsia="en-US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rsid w:val="00744C1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4859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1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yperlink" Target="https://doi.org/10.1029/2008WR007327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urn.kb.se/resolve?urn=urn:nbn:se:smhi:diva-2672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doi.org/10.5194/gmd-12-2501-2019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s://doi.org/10.1029/2012WR012195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opendata.dwd.de/climate_environment/CDC/observations_germany/climate/daily/soil_temperature/" TargetMode="External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opernicusTemplates\Free-Forms\Blank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opernicus_Word_template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11CB29-8DA4-420F-A526-34CEF3FF46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Blank.dotm</Template>
  <TotalTime>0</TotalTime>
  <Pages>13</Pages>
  <Words>1615</Words>
  <Characters>9208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Blank</vt:lpstr>
    </vt:vector>
  </TitlesOfParts>
  <Company>Copernicus Gesellschaft mbH</Company>
  <LinksUpToDate>false</LinksUpToDate>
  <CharactersWithSpaces>10802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Blank</dc:title>
  <dc:creator>Martin Rasmussen</dc:creator>
  <cp:lastModifiedBy>Tam Nguyen</cp:lastModifiedBy>
  <cp:revision>62</cp:revision>
  <cp:lastPrinted>2016-02-01T07:21:00Z</cp:lastPrinted>
  <dcterms:created xsi:type="dcterms:W3CDTF">2025-12-10T08:45:00Z</dcterms:created>
  <dcterms:modified xsi:type="dcterms:W3CDTF">2025-12-15T07:34:00Z</dcterms:modified>
</cp:coreProperties>
</file>