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7E0283" w14:textId="4DF13833" w:rsidR="005F41ED" w:rsidRPr="00EA688C" w:rsidRDefault="005F41ED" w:rsidP="00DF0492">
      <w:pPr>
        <w:suppressAutoHyphens w:val="0"/>
        <w:spacing w:line="360" w:lineRule="auto"/>
        <w:jc w:val="both"/>
        <w:rPr>
          <w:rFonts w:ascii="Times New Roman" w:hAnsi="Times New Roman" w:cs="Times New Roman"/>
          <w:b/>
          <w:color w:val="FF0000"/>
          <w:sz w:val="34"/>
          <w:szCs w:val="34"/>
        </w:rPr>
      </w:pPr>
      <w:r w:rsidRPr="00EA688C">
        <w:rPr>
          <w:rFonts w:ascii="Times New Roman" w:hAnsi="Times New Roman" w:cs="Times New Roman"/>
          <w:b/>
          <w:color w:val="FF0000"/>
          <w:sz w:val="34"/>
          <w:szCs w:val="34"/>
        </w:rPr>
        <w:t>Impact of wheat cultivar development on biomass and subsoil carbon input</w:t>
      </w:r>
      <w:r w:rsidR="008F6E86" w:rsidRPr="00EA688C">
        <w:rPr>
          <w:rFonts w:ascii="Times New Roman" w:hAnsi="Times New Roman" w:cs="Times New Roman"/>
          <w:b/>
          <w:color w:val="FF0000"/>
          <w:sz w:val="34"/>
          <w:szCs w:val="34"/>
        </w:rPr>
        <w:t>: A</w:t>
      </w:r>
      <w:r w:rsidRPr="00EA688C">
        <w:rPr>
          <w:rFonts w:ascii="Times New Roman" w:hAnsi="Times New Roman" w:cs="Times New Roman"/>
          <w:b/>
          <w:color w:val="FF0000"/>
          <w:sz w:val="34"/>
          <w:szCs w:val="34"/>
        </w:rPr>
        <w:t xml:space="preserve"> case study along an erosion</w:t>
      </w:r>
      <w:r w:rsidR="008F6E86" w:rsidRPr="00EA688C">
        <w:rPr>
          <w:rFonts w:ascii="Times New Roman" w:hAnsi="Times New Roman" w:cs="Times New Roman"/>
          <w:b/>
          <w:color w:val="FF0000"/>
          <w:sz w:val="34"/>
          <w:szCs w:val="34"/>
        </w:rPr>
        <w:t>-</w:t>
      </w:r>
      <w:r w:rsidRPr="00EA688C">
        <w:rPr>
          <w:rFonts w:ascii="Times New Roman" w:hAnsi="Times New Roman" w:cs="Times New Roman"/>
          <w:b/>
          <w:color w:val="FF0000"/>
          <w:sz w:val="34"/>
          <w:szCs w:val="34"/>
        </w:rPr>
        <w:t>deposition gradient</w:t>
      </w:r>
    </w:p>
    <w:p w14:paraId="381B10E1" w14:textId="77777777" w:rsidR="00D044BB" w:rsidRPr="00DF0492" w:rsidRDefault="00D044BB" w:rsidP="00DF0492">
      <w:pPr>
        <w:suppressAutoHyphens w:val="0"/>
        <w:spacing w:line="360" w:lineRule="auto"/>
        <w:jc w:val="both"/>
        <w:rPr>
          <w:rFonts w:ascii="Times New Roman" w:eastAsia="Times New Roman" w:hAnsi="Times New Roman" w:cs="Times New Roman"/>
          <w:b/>
          <w:kern w:val="0"/>
          <w:sz w:val="20"/>
          <w:szCs w:val="20"/>
          <w:lang w:eastAsia="de-DE" w:bidi="ar-SA"/>
        </w:rPr>
      </w:pPr>
    </w:p>
    <w:p w14:paraId="01636C25" w14:textId="237C15D6" w:rsidR="00D044BB" w:rsidRPr="00DF0492" w:rsidRDefault="00FD72EA" w:rsidP="00DF0492">
      <w:pPr>
        <w:pStyle w:val="StandardWeb"/>
        <w:spacing w:beforeAutospacing="0" w:afterAutospacing="0" w:line="360" w:lineRule="auto"/>
        <w:jc w:val="both"/>
        <w:rPr>
          <w:sz w:val="20"/>
          <w:szCs w:val="20"/>
          <w:lang w:val="fr-FR"/>
        </w:rPr>
      </w:pPr>
      <w:r w:rsidRPr="00DF0492">
        <w:rPr>
          <w:sz w:val="20"/>
          <w:szCs w:val="20"/>
          <w:lang w:val="fr-FR"/>
        </w:rPr>
        <w:t>Luis A</w:t>
      </w:r>
      <w:r w:rsidR="00DF0492" w:rsidRPr="00DF0492">
        <w:rPr>
          <w:sz w:val="20"/>
          <w:szCs w:val="20"/>
          <w:lang w:val="fr-FR"/>
        </w:rPr>
        <w:t>.</w:t>
      </w:r>
      <w:r w:rsidRPr="00DF0492">
        <w:rPr>
          <w:sz w:val="20"/>
          <w:szCs w:val="20"/>
          <w:lang w:val="fr-FR"/>
        </w:rPr>
        <w:t xml:space="preserve"> Pires Barbosa</w:t>
      </w:r>
      <w:r w:rsidRPr="00DF0492">
        <w:rPr>
          <w:sz w:val="20"/>
          <w:szCs w:val="20"/>
          <w:vertAlign w:val="superscript"/>
          <w:lang w:val="fr-FR"/>
        </w:rPr>
        <w:t>1,</w:t>
      </w:r>
      <w:r w:rsidRPr="00DF0492">
        <w:rPr>
          <w:sz w:val="20"/>
          <w:szCs w:val="20"/>
          <w:lang w:val="fr-FR"/>
        </w:rPr>
        <w:t xml:space="preserve"> </w:t>
      </w:r>
      <w:r w:rsidRPr="00DF0492">
        <w:rPr>
          <w:sz w:val="20"/>
          <w:szCs w:val="20"/>
          <w:vertAlign w:val="superscript"/>
          <w:lang w:val="fr-FR"/>
        </w:rPr>
        <w:t>*</w:t>
      </w:r>
      <w:r w:rsidRPr="00DF0492">
        <w:rPr>
          <w:sz w:val="20"/>
          <w:szCs w:val="20"/>
          <w:lang w:val="fr-FR"/>
        </w:rPr>
        <w:t>, Martin Leue</w:t>
      </w:r>
      <w:r w:rsidRPr="00DF0492">
        <w:rPr>
          <w:sz w:val="20"/>
          <w:szCs w:val="20"/>
          <w:vertAlign w:val="superscript"/>
          <w:lang w:val="fr-FR"/>
        </w:rPr>
        <w:t>1</w:t>
      </w:r>
      <w:r w:rsidRPr="00DF0492">
        <w:rPr>
          <w:sz w:val="20"/>
          <w:szCs w:val="20"/>
          <w:lang w:val="fr-FR"/>
        </w:rPr>
        <w:t>, Marc Wehrhan</w:t>
      </w:r>
      <w:r w:rsidRPr="00DF0492">
        <w:rPr>
          <w:sz w:val="20"/>
          <w:szCs w:val="20"/>
          <w:vertAlign w:val="superscript"/>
          <w:lang w:val="fr-FR"/>
        </w:rPr>
        <w:t>1</w:t>
      </w:r>
      <w:r w:rsidRPr="00DF0492">
        <w:rPr>
          <w:sz w:val="20"/>
          <w:szCs w:val="20"/>
          <w:lang w:val="fr-FR"/>
        </w:rPr>
        <w:t>, Michael Sommer</w:t>
      </w:r>
      <w:r w:rsidRPr="00DF0492">
        <w:rPr>
          <w:sz w:val="20"/>
          <w:szCs w:val="20"/>
          <w:vertAlign w:val="superscript"/>
          <w:lang w:val="fr-FR"/>
        </w:rPr>
        <w:t>1</w:t>
      </w:r>
      <w:proofErr w:type="gramStart"/>
      <w:r w:rsidRPr="00DF0492">
        <w:rPr>
          <w:sz w:val="20"/>
          <w:szCs w:val="20"/>
          <w:vertAlign w:val="superscript"/>
          <w:lang w:val="fr-FR"/>
        </w:rPr>
        <w:t>,2</w:t>
      </w:r>
      <w:proofErr w:type="gramEnd"/>
    </w:p>
    <w:p w14:paraId="3A1AC0AA" w14:textId="2D9CB07D" w:rsidR="00D044BB" w:rsidRPr="00DF0492" w:rsidRDefault="00FD72EA" w:rsidP="00DF0492">
      <w:pPr>
        <w:pStyle w:val="StandardWeb"/>
        <w:spacing w:beforeAutospacing="0" w:afterAutospacing="0" w:line="360" w:lineRule="auto"/>
        <w:jc w:val="both"/>
        <w:rPr>
          <w:sz w:val="20"/>
          <w:szCs w:val="20"/>
          <w:lang w:val="en-GB"/>
        </w:rPr>
      </w:pPr>
      <w:r w:rsidRPr="00DF0492">
        <w:rPr>
          <w:sz w:val="20"/>
          <w:szCs w:val="20"/>
          <w:vertAlign w:val="superscript"/>
          <w:lang w:val="en-GB"/>
        </w:rPr>
        <w:t>1</w:t>
      </w:r>
      <w:r w:rsidRPr="00DF0492">
        <w:rPr>
          <w:sz w:val="20"/>
          <w:szCs w:val="20"/>
          <w:lang w:val="en-GB"/>
        </w:rPr>
        <w:t xml:space="preserve">Working Group “Landscape </w:t>
      </w:r>
      <w:proofErr w:type="spellStart"/>
      <w:r w:rsidRPr="00DF0492">
        <w:rPr>
          <w:sz w:val="20"/>
          <w:szCs w:val="20"/>
          <w:lang w:val="en-GB"/>
        </w:rPr>
        <w:t>Pedology</w:t>
      </w:r>
      <w:proofErr w:type="spellEnd"/>
      <w:r w:rsidRPr="00DF0492">
        <w:rPr>
          <w:sz w:val="20"/>
          <w:szCs w:val="20"/>
          <w:lang w:val="en-GB"/>
        </w:rPr>
        <w:t xml:space="preserve">”, Research Area 1 “Landscape Functioning”, Leibniz Centre for Agricultural Landscape Research (ZALF), </w:t>
      </w:r>
      <w:proofErr w:type="spellStart"/>
      <w:r w:rsidRPr="00DF0492">
        <w:rPr>
          <w:sz w:val="20"/>
          <w:szCs w:val="20"/>
          <w:lang w:val="en-GB"/>
        </w:rPr>
        <w:t>Müncheberg</w:t>
      </w:r>
      <w:proofErr w:type="spellEnd"/>
      <w:r w:rsidRPr="00DF0492">
        <w:rPr>
          <w:sz w:val="20"/>
          <w:szCs w:val="20"/>
          <w:lang w:val="en-GB"/>
        </w:rPr>
        <w:t>,</w:t>
      </w:r>
      <w:r w:rsidR="00DF0492" w:rsidRPr="00DF0492">
        <w:rPr>
          <w:sz w:val="20"/>
          <w:szCs w:val="20"/>
          <w:lang w:val="en-GB"/>
        </w:rPr>
        <w:t xml:space="preserve"> 15374, </w:t>
      </w:r>
      <w:r w:rsidRPr="00DF0492">
        <w:rPr>
          <w:sz w:val="20"/>
          <w:szCs w:val="20"/>
          <w:lang w:val="en-GB"/>
        </w:rPr>
        <w:t>Germany.</w:t>
      </w:r>
    </w:p>
    <w:p w14:paraId="2F5DFB8C" w14:textId="438D8134" w:rsidR="00D044BB" w:rsidRPr="00DF0492" w:rsidRDefault="00FD72EA" w:rsidP="00DF0492">
      <w:pPr>
        <w:spacing w:line="360" w:lineRule="auto"/>
        <w:jc w:val="both"/>
        <w:rPr>
          <w:rFonts w:ascii="Times New Roman" w:hAnsi="Times New Roman" w:cs="Times New Roman"/>
          <w:sz w:val="20"/>
          <w:szCs w:val="20"/>
          <w:lang w:val="en-GB"/>
        </w:rPr>
      </w:pPr>
      <w:r w:rsidRPr="00DF0492">
        <w:rPr>
          <w:rFonts w:ascii="Times New Roman" w:hAnsi="Times New Roman" w:cs="Times New Roman"/>
          <w:sz w:val="20"/>
          <w:szCs w:val="20"/>
          <w:vertAlign w:val="superscript"/>
          <w:lang w:val="en-GB"/>
        </w:rPr>
        <w:t>2</w:t>
      </w:r>
      <w:r w:rsidRPr="00DF0492">
        <w:rPr>
          <w:rFonts w:ascii="Times New Roman" w:eastAsiaTheme="minorEastAsia" w:hAnsi="Times New Roman" w:cs="Times New Roman"/>
          <w:sz w:val="20"/>
          <w:szCs w:val="20"/>
          <w:lang w:val="en-GB" w:eastAsia="de-DE"/>
        </w:rPr>
        <w:t>Institute of Environmental Science &amp; G</w:t>
      </w:r>
      <w:r w:rsidR="00DF0492" w:rsidRPr="00DF0492">
        <w:rPr>
          <w:rFonts w:ascii="Times New Roman" w:eastAsiaTheme="minorEastAsia" w:hAnsi="Times New Roman" w:cs="Times New Roman"/>
          <w:sz w:val="20"/>
          <w:szCs w:val="20"/>
          <w:lang w:val="en-GB" w:eastAsia="de-DE"/>
        </w:rPr>
        <w:t>eography, University of Potsdam</w:t>
      </w:r>
      <w:r w:rsidRPr="00DF0492">
        <w:rPr>
          <w:rFonts w:ascii="Times New Roman" w:eastAsiaTheme="minorEastAsia" w:hAnsi="Times New Roman" w:cs="Times New Roman"/>
          <w:sz w:val="20"/>
          <w:szCs w:val="20"/>
          <w:lang w:eastAsia="de-DE"/>
        </w:rPr>
        <w:t>, Potsdam,</w:t>
      </w:r>
      <w:r w:rsidR="00DF0492" w:rsidRPr="00DF0492">
        <w:rPr>
          <w:rFonts w:ascii="Times New Roman" w:eastAsiaTheme="minorEastAsia" w:hAnsi="Times New Roman" w:cs="Times New Roman"/>
          <w:sz w:val="20"/>
          <w:szCs w:val="20"/>
          <w:lang w:eastAsia="de-DE"/>
        </w:rPr>
        <w:t xml:space="preserve"> 14476,</w:t>
      </w:r>
      <w:r w:rsidRPr="00DF0492">
        <w:rPr>
          <w:rFonts w:ascii="Times New Roman" w:eastAsiaTheme="minorEastAsia" w:hAnsi="Times New Roman" w:cs="Times New Roman"/>
          <w:sz w:val="20"/>
          <w:szCs w:val="20"/>
          <w:lang w:eastAsia="de-DE"/>
        </w:rPr>
        <w:t xml:space="preserve"> Germany.</w:t>
      </w:r>
    </w:p>
    <w:p w14:paraId="4A048AED" w14:textId="274D8B81" w:rsidR="00DF0492" w:rsidRPr="00DF0492" w:rsidRDefault="00DF0492" w:rsidP="00DF0492">
      <w:pPr>
        <w:pStyle w:val="StandardWeb"/>
        <w:spacing w:beforeAutospacing="0" w:afterAutospacing="0" w:line="360" w:lineRule="auto"/>
        <w:jc w:val="both"/>
        <w:rPr>
          <w:sz w:val="20"/>
          <w:szCs w:val="20"/>
          <w:lang w:val="en-GB"/>
        </w:rPr>
      </w:pPr>
      <w:r w:rsidRPr="00DF0492">
        <w:rPr>
          <w:sz w:val="20"/>
          <w:szCs w:val="20"/>
          <w:lang w:val="en-GB"/>
        </w:rPr>
        <w:t>*Correspondence to: luis.pires@zalf.de</w:t>
      </w:r>
    </w:p>
    <w:p w14:paraId="5700FE50" w14:textId="77777777" w:rsidR="00DF0492" w:rsidRPr="00DF0492" w:rsidRDefault="00DF0492" w:rsidP="00DF0492">
      <w:pPr>
        <w:spacing w:line="360" w:lineRule="auto"/>
        <w:jc w:val="both"/>
        <w:rPr>
          <w:rFonts w:ascii="Times New Roman" w:hAnsi="Times New Roman" w:cs="Times New Roman"/>
          <w:sz w:val="20"/>
          <w:szCs w:val="20"/>
          <w:lang w:val="en-GB"/>
        </w:rPr>
      </w:pPr>
    </w:p>
    <w:p w14:paraId="3201E595" w14:textId="799DA698" w:rsidR="002B37AE" w:rsidRPr="00C76E2A" w:rsidRDefault="00FD72EA" w:rsidP="002B37AE">
      <w:pPr>
        <w:spacing w:line="360" w:lineRule="auto"/>
        <w:jc w:val="both"/>
        <w:rPr>
          <w:rFonts w:ascii="Times New Roman" w:hAnsi="Times New Roman" w:cs="Times New Roman"/>
          <w:sz w:val="20"/>
          <w:szCs w:val="20"/>
          <w:lang w:val="en-GB"/>
        </w:rPr>
      </w:pPr>
      <w:r w:rsidRPr="00DF0492">
        <w:rPr>
          <w:rFonts w:ascii="Times New Roman" w:hAnsi="Times New Roman" w:cs="Times New Roman"/>
          <w:b/>
          <w:sz w:val="20"/>
          <w:szCs w:val="20"/>
          <w:lang w:val="en-GB"/>
        </w:rPr>
        <w:t>Abstract</w:t>
      </w:r>
      <w:r w:rsidR="00DF0492">
        <w:rPr>
          <w:rFonts w:ascii="Times New Roman" w:hAnsi="Times New Roman" w:cs="Times New Roman"/>
          <w:b/>
          <w:sz w:val="20"/>
          <w:szCs w:val="20"/>
          <w:lang w:val="en-GB"/>
        </w:rPr>
        <w:t xml:space="preserve">. </w:t>
      </w:r>
      <w:r w:rsidR="00734DD3" w:rsidRPr="00DF0492">
        <w:rPr>
          <w:rFonts w:ascii="Times New Roman" w:hAnsi="Times New Roman" w:cs="Times New Roman"/>
          <w:sz w:val="20"/>
          <w:szCs w:val="20"/>
          <w:lang w:val="en-GB"/>
        </w:rPr>
        <w:t>Crop biomass, especially from belowground, improves soil health and recovery. However, the effects of cultivar traits and erosion on biomass</w:t>
      </w:r>
      <w:r w:rsidR="00C87114" w:rsidRPr="00DF0492">
        <w:rPr>
          <w:rFonts w:ascii="Times New Roman" w:hAnsi="Times New Roman" w:cs="Times New Roman"/>
          <w:sz w:val="20"/>
          <w:szCs w:val="20"/>
          <w:lang w:val="en-GB"/>
        </w:rPr>
        <w:t xml:space="preserve"> production</w:t>
      </w:r>
      <w:r w:rsidR="00734DD3" w:rsidRPr="00DF0492">
        <w:rPr>
          <w:rFonts w:ascii="Times New Roman" w:hAnsi="Times New Roman" w:cs="Times New Roman"/>
          <w:sz w:val="20"/>
          <w:szCs w:val="20"/>
          <w:lang w:val="en-GB"/>
        </w:rPr>
        <w:t xml:space="preserve">, particularly root biomass, remain unclear. We quantified root system characteristics throughout the wheat growing season, considering different cultivars and varying soil erosion </w:t>
      </w:r>
      <w:r w:rsidR="00CA5A3C">
        <w:rPr>
          <w:rFonts w:ascii="Times New Roman" w:hAnsi="Times New Roman" w:cs="Times New Roman"/>
          <w:sz w:val="20"/>
          <w:szCs w:val="20"/>
          <w:lang w:val="en-GB"/>
        </w:rPr>
        <w:t>states</w:t>
      </w:r>
      <w:r w:rsidR="00734DD3" w:rsidRPr="00DF0492">
        <w:rPr>
          <w:rFonts w:ascii="Times New Roman" w:hAnsi="Times New Roman" w:cs="Times New Roman"/>
          <w:sz w:val="20"/>
          <w:szCs w:val="20"/>
          <w:lang w:val="en-GB"/>
        </w:rPr>
        <w:t xml:space="preserve">. This data informed a model assessing cultivar performance </w:t>
      </w:r>
      <w:r w:rsidR="00C87114" w:rsidRPr="00DF0492">
        <w:rPr>
          <w:rFonts w:ascii="Times New Roman" w:hAnsi="Times New Roman" w:cs="Times New Roman"/>
          <w:sz w:val="20"/>
          <w:szCs w:val="20"/>
          <w:lang w:val="en-GB"/>
        </w:rPr>
        <w:t xml:space="preserve">on root biomass production </w:t>
      </w:r>
      <w:r w:rsidR="00734DD3" w:rsidRPr="00DF0492">
        <w:rPr>
          <w:rFonts w:ascii="Times New Roman" w:hAnsi="Times New Roman" w:cs="Times New Roman"/>
          <w:sz w:val="20"/>
          <w:szCs w:val="20"/>
          <w:lang w:val="en-GB"/>
        </w:rPr>
        <w:t xml:space="preserve">under </w:t>
      </w:r>
      <w:r w:rsidR="00C87114" w:rsidRPr="00DF0492">
        <w:rPr>
          <w:rFonts w:ascii="Times New Roman" w:hAnsi="Times New Roman" w:cs="Times New Roman"/>
          <w:sz w:val="20"/>
          <w:szCs w:val="20"/>
          <w:lang w:val="en-GB"/>
        </w:rPr>
        <w:t xml:space="preserve">different </w:t>
      </w:r>
      <w:r w:rsidR="00734DD3" w:rsidRPr="00DF0492">
        <w:rPr>
          <w:rFonts w:ascii="Times New Roman" w:hAnsi="Times New Roman" w:cs="Times New Roman"/>
          <w:sz w:val="20"/>
          <w:szCs w:val="20"/>
          <w:lang w:val="en-GB"/>
        </w:rPr>
        <w:t xml:space="preserve">soil water and erosion </w:t>
      </w:r>
      <w:r w:rsidR="00C87114" w:rsidRPr="00DF0492">
        <w:rPr>
          <w:rFonts w:ascii="Times New Roman" w:hAnsi="Times New Roman" w:cs="Times New Roman"/>
          <w:sz w:val="20"/>
          <w:szCs w:val="20"/>
          <w:lang w:val="en-GB"/>
        </w:rPr>
        <w:t>scenarios</w:t>
      </w:r>
      <w:r w:rsidR="00734DD3" w:rsidRPr="00DF0492">
        <w:rPr>
          <w:rFonts w:ascii="Times New Roman" w:hAnsi="Times New Roman" w:cs="Times New Roman"/>
          <w:sz w:val="20"/>
          <w:szCs w:val="20"/>
          <w:lang w:val="en-GB"/>
        </w:rPr>
        <w:t xml:space="preserve">. </w:t>
      </w:r>
      <w:r w:rsidR="00CA5A3C">
        <w:rPr>
          <w:rFonts w:ascii="Times New Roman" w:hAnsi="Times New Roman" w:cs="Times New Roman"/>
          <w:sz w:val="20"/>
          <w:szCs w:val="20"/>
          <w:lang w:val="en-GB"/>
        </w:rPr>
        <w:t>E</w:t>
      </w:r>
      <w:r w:rsidR="00734DD3" w:rsidRPr="00DF0492">
        <w:rPr>
          <w:rFonts w:ascii="Times New Roman" w:hAnsi="Times New Roman" w:cs="Times New Roman"/>
          <w:sz w:val="20"/>
          <w:szCs w:val="20"/>
          <w:lang w:val="en-GB"/>
        </w:rPr>
        <w:t>rosion</w:t>
      </w:r>
      <w:r w:rsidR="00CA5A3C">
        <w:rPr>
          <w:rFonts w:ascii="Times New Roman" w:hAnsi="Times New Roman" w:cs="Times New Roman"/>
          <w:sz w:val="20"/>
          <w:szCs w:val="20"/>
          <w:lang w:val="en-GB"/>
        </w:rPr>
        <w:t>, mainly by tillage,</w:t>
      </w:r>
      <w:r w:rsidR="009E4A35">
        <w:rPr>
          <w:rFonts w:ascii="Times New Roman" w:hAnsi="Times New Roman" w:cs="Times New Roman"/>
          <w:sz w:val="20"/>
          <w:szCs w:val="20"/>
          <w:lang w:val="en-GB"/>
        </w:rPr>
        <w:t xml:space="preserve"> combined to</w:t>
      </w:r>
      <w:r w:rsidR="009E4A35" w:rsidRPr="009E4A35">
        <w:rPr>
          <w:rFonts w:ascii="Times New Roman" w:hAnsi="Times New Roman" w:cs="Times New Roman"/>
          <w:sz w:val="20"/>
          <w:szCs w:val="20"/>
          <w:lang w:val="en-GB"/>
        </w:rPr>
        <w:t xml:space="preserve"> </w:t>
      </w:r>
      <w:r w:rsidR="009E4A35">
        <w:rPr>
          <w:rFonts w:ascii="Times New Roman" w:hAnsi="Times New Roman" w:cs="Times New Roman"/>
          <w:sz w:val="20"/>
          <w:szCs w:val="20"/>
          <w:lang w:val="en-GB"/>
        </w:rPr>
        <w:t xml:space="preserve">a modern cultivar </w:t>
      </w:r>
      <w:r w:rsidR="00734DD3" w:rsidRPr="00DF0492">
        <w:rPr>
          <w:rFonts w:ascii="Times New Roman" w:hAnsi="Times New Roman" w:cs="Times New Roman"/>
          <w:sz w:val="20"/>
          <w:szCs w:val="20"/>
          <w:lang w:val="en-GB"/>
        </w:rPr>
        <w:t>reduced total wheat biomass, leaving 3.2 tons less carbon per hectare annually</w:t>
      </w:r>
      <w:r w:rsidR="009E4A35" w:rsidRPr="009E4A35">
        <w:rPr>
          <w:rFonts w:ascii="Times New Roman" w:eastAsia="Times New Roman" w:hAnsi="Times New Roman" w:cs="Times New Roman"/>
          <w:kern w:val="0"/>
          <w:sz w:val="20"/>
          <w:szCs w:val="20"/>
          <w:lang w:val="en-GB" w:eastAsia="de-DE" w:bidi="ar-SA"/>
        </w:rPr>
        <w:t xml:space="preserve"> </w:t>
      </w:r>
      <w:r w:rsidR="009E4A35" w:rsidRPr="007E6207">
        <w:rPr>
          <w:rFonts w:ascii="Times New Roman" w:eastAsia="Times New Roman" w:hAnsi="Times New Roman" w:cs="Times New Roman"/>
          <w:kern w:val="0"/>
          <w:sz w:val="20"/>
          <w:szCs w:val="20"/>
          <w:lang w:val="en-GB" w:eastAsia="de-DE" w:bidi="ar-SA"/>
        </w:rPr>
        <w:t>—</w:t>
      </w:r>
      <w:r w:rsidR="009E4A35" w:rsidRPr="00EA688C">
        <w:rPr>
          <w:rFonts w:ascii="Times New Roman" w:eastAsia="Times New Roman" w:hAnsi="Times New Roman" w:cs="Times New Roman"/>
          <w:color w:val="FF0000"/>
          <w:kern w:val="0"/>
          <w:sz w:val="20"/>
          <w:szCs w:val="20"/>
          <w:lang w:val="en-GB" w:eastAsia="de-DE" w:bidi="ar-SA"/>
        </w:rPr>
        <w:t>of which 0.6 tons come from roots in the subsoil</w:t>
      </w:r>
      <w:r w:rsidR="00734DD3" w:rsidRPr="00EA688C">
        <w:rPr>
          <w:rFonts w:ascii="Times New Roman" w:hAnsi="Times New Roman" w:cs="Times New Roman"/>
          <w:color w:val="FF0000"/>
          <w:sz w:val="20"/>
          <w:szCs w:val="20"/>
          <w:lang w:val="en-GB"/>
        </w:rPr>
        <w:t xml:space="preserve">. </w:t>
      </w:r>
      <w:r w:rsidR="00CA5A3C">
        <w:rPr>
          <w:rFonts w:ascii="Times New Roman" w:hAnsi="Times New Roman" w:cs="Times New Roman"/>
          <w:sz w:val="20"/>
          <w:szCs w:val="20"/>
          <w:lang w:val="en-GB"/>
        </w:rPr>
        <w:t>The modern</w:t>
      </w:r>
      <w:r w:rsidR="00734DD3" w:rsidRPr="00DF0492">
        <w:rPr>
          <w:rFonts w:ascii="Times New Roman" w:hAnsi="Times New Roman" w:cs="Times New Roman"/>
          <w:sz w:val="20"/>
          <w:szCs w:val="20"/>
          <w:lang w:val="en-GB"/>
        </w:rPr>
        <w:t xml:space="preserve"> cultivar produced 70% more grain in depositional soils and 30% more in highly eroded soils than </w:t>
      </w:r>
      <w:r w:rsidR="00CA5A3C">
        <w:rPr>
          <w:rFonts w:ascii="Times New Roman" w:hAnsi="Times New Roman" w:cs="Times New Roman"/>
          <w:sz w:val="20"/>
          <w:szCs w:val="20"/>
          <w:lang w:val="en-GB"/>
        </w:rPr>
        <w:t>older</w:t>
      </w:r>
      <w:r w:rsidR="00CA5A3C" w:rsidRPr="00DF0492">
        <w:rPr>
          <w:rFonts w:ascii="Times New Roman" w:hAnsi="Times New Roman" w:cs="Times New Roman"/>
          <w:sz w:val="20"/>
          <w:szCs w:val="20"/>
          <w:lang w:val="en-GB"/>
        </w:rPr>
        <w:t xml:space="preserve"> </w:t>
      </w:r>
      <w:r w:rsidR="00734DD3" w:rsidRPr="00DF0492">
        <w:rPr>
          <w:rFonts w:ascii="Times New Roman" w:hAnsi="Times New Roman" w:cs="Times New Roman"/>
          <w:sz w:val="20"/>
          <w:szCs w:val="20"/>
          <w:lang w:val="en-GB"/>
        </w:rPr>
        <w:t>cultivars. However, this increased grain yield came with a trade-off: carbon input into soil</w:t>
      </w:r>
      <w:r w:rsidR="00CA5A3C">
        <w:rPr>
          <w:rFonts w:ascii="Times New Roman" w:hAnsi="Times New Roman" w:cs="Times New Roman"/>
          <w:sz w:val="20"/>
          <w:szCs w:val="20"/>
          <w:lang w:val="en-GB"/>
        </w:rPr>
        <w:t>s</w:t>
      </w:r>
      <w:r w:rsidR="00734DD3" w:rsidRPr="00DF0492">
        <w:rPr>
          <w:rFonts w:ascii="Times New Roman" w:hAnsi="Times New Roman" w:cs="Times New Roman"/>
          <w:sz w:val="20"/>
          <w:szCs w:val="20"/>
          <w:lang w:val="en-GB"/>
        </w:rPr>
        <w:t xml:space="preserve"> decreased by 32% in eroded soils and 43% in depositional soils.</w:t>
      </w:r>
      <w:r w:rsidR="00734DD3" w:rsidRPr="00EA688C">
        <w:rPr>
          <w:rFonts w:ascii="Times New Roman" w:hAnsi="Times New Roman" w:cs="Times New Roman"/>
          <w:color w:val="FF0000"/>
          <w:sz w:val="20"/>
          <w:szCs w:val="20"/>
          <w:lang w:val="en-GB"/>
        </w:rPr>
        <w:t xml:space="preserve"> </w:t>
      </w:r>
      <w:r w:rsidR="002B37AE" w:rsidRPr="00EA688C">
        <w:rPr>
          <w:rFonts w:ascii="Times New Roman" w:hAnsi="Times New Roman" w:cs="Times New Roman"/>
          <w:color w:val="FF0000"/>
          <w:sz w:val="20"/>
          <w:szCs w:val="20"/>
          <w:lang w:val="en-GB"/>
        </w:rPr>
        <w:t>Simulations reveal modern cultivars to be more sensitive to dry soil conditions, contributing 12 kg less root carbon per hectare to subsoils</w:t>
      </w:r>
      <w:r w:rsidR="00D47013" w:rsidRPr="00EA688C">
        <w:rPr>
          <w:rFonts w:ascii="Times New Roman" w:hAnsi="Times New Roman" w:cs="Times New Roman"/>
          <w:color w:val="FF0000"/>
          <w:sz w:val="20"/>
          <w:szCs w:val="20"/>
          <w:lang w:val="en-GB"/>
        </w:rPr>
        <w:t xml:space="preserve"> of extremely eroded areas</w:t>
      </w:r>
      <w:r w:rsidR="002B37AE" w:rsidRPr="00EA688C">
        <w:rPr>
          <w:rFonts w:ascii="Times New Roman" w:hAnsi="Times New Roman" w:cs="Times New Roman"/>
          <w:color w:val="FF0000"/>
          <w:sz w:val="20"/>
          <w:szCs w:val="20"/>
          <w:lang w:val="en-GB"/>
        </w:rPr>
        <w:t xml:space="preserve"> compared to older cultivars in recent years.</w:t>
      </w:r>
    </w:p>
    <w:p w14:paraId="6DF6D028" w14:textId="77777777" w:rsidR="00D044BB" w:rsidRPr="00DF0492" w:rsidRDefault="00D044BB" w:rsidP="00DF0492">
      <w:pPr>
        <w:spacing w:line="360" w:lineRule="auto"/>
        <w:jc w:val="both"/>
        <w:rPr>
          <w:rFonts w:ascii="Times New Roman" w:hAnsi="Times New Roman" w:cs="Times New Roman"/>
          <w:sz w:val="20"/>
          <w:szCs w:val="20"/>
          <w:lang w:val="en-GB"/>
        </w:rPr>
      </w:pPr>
    </w:p>
    <w:p w14:paraId="7C3DC07F" w14:textId="62CD9E17" w:rsidR="008663E1" w:rsidRPr="008663E1" w:rsidRDefault="007163EA" w:rsidP="008663E1">
      <w:pPr>
        <w:spacing w:line="360" w:lineRule="auto"/>
        <w:jc w:val="both"/>
        <w:rPr>
          <w:rFonts w:ascii="Times New Roman" w:hAnsi="Times New Roman" w:cs="Times New Roman"/>
          <w:b/>
          <w:bCs/>
          <w:sz w:val="20"/>
          <w:szCs w:val="20"/>
        </w:rPr>
      </w:pPr>
      <w:r>
        <w:rPr>
          <w:rFonts w:ascii="Times New Roman" w:hAnsi="Times New Roman" w:cs="Times New Roman"/>
          <w:b/>
          <w:bCs/>
          <w:sz w:val="20"/>
          <w:szCs w:val="20"/>
        </w:rPr>
        <w:t xml:space="preserve">1 </w:t>
      </w:r>
      <w:r w:rsidR="00FD72EA" w:rsidRPr="00DF0492">
        <w:rPr>
          <w:rFonts w:ascii="Times New Roman" w:hAnsi="Times New Roman" w:cs="Times New Roman"/>
          <w:b/>
          <w:bCs/>
          <w:sz w:val="20"/>
          <w:szCs w:val="20"/>
        </w:rPr>
        <w:t>Introduction</w:t>
      </w:r>
    </w:p>
    <w:p w14:paraId="033760EB" w14:textId="54D42A7F" w:rsidR="008663E1" w:rsidRPr="00EA688C" w:rsidRDefault="008663E1" w:rsidP="008663E1">
      <w:pPr>
        <w:spacing w:line="360" w:lineRule="auto"/>
        <w:ind w:firstLine="708"/>
        <w:jc w:val="both"/>
        <w:rPr>
          <w:rFonts w:ascii="Times New Roman" w:hAnsi="Times New Roman" w:cs="Times New Roman"/>
          <w:color w:val="FF0000"/>
          <w:sz w:val="20"/>
          <w:szCs w:val="20"/>
        </w:rPr>
      </w:pPr>
      <w:r w:rsidRPr="00EA688C">
        <w:rPr>
          <w:rFonts w:ascii="Times New Roman" w:hAnsi="Times New Roman" w:cs="Times New Roman"/>
          <w:color w:val="FF0000"/>
          <w:sz w:val="20"/>
          <w:szCs w:val="20"/>
        </w:rPr>
        <w:t>Long-term soil erosion exerts a major global threa</w:t>
      </w:r>
      <w:r w:rsidR="00E53F13" w:rsidRPr="00EA688C">
        <w:rPr>
          <w:rFonts w:ascii="Times New Roman" w:hAnsi="Times New Roman" w:cs="Times New Roman"/>
          <w:color w:val="FF0000"/>
          <w:sz w:val="20"/>
          <w:szCs w:val="20"/>
        </w:rPr>
        <w:t>t</w:t>
      </w:r>
      <w:r w:rsidRPr="00EA688C">
        <w:rPr>
          <w:rFonts w:ascii="Times New Roman" w:hAnsi="Times New Roman" w:cs="Times New Roman"/>
          <w:color w:val="FF0000"/>
          <w:sz w:val="20"/>
          <w:szCs w:val="20"/>
        </w:rPr>
        <w:t xml:space="preserve"> to soil health and food security</w:t>
      </w:r>
      <w:r w:rsidR="00DE4B28" w:rsidRPr="00EA688C">
        <w:rPr>
          <w:rFonts w:ascii="Times New Roman" w:hAnsi="Times New Roman" w:cs="Times New Roman"/>
          <w:color w:val="FF0000"/>
          <w:sz w:val="20"/>
          <w:szCs w:val="20"/>
        </w:rPr>
        <w:t xml:space="preserve"> </w:t>
      </w:r>
      <w:r w:rsidR="00DE4B28" w:rsidRPr="00EA688C">
        <w:rPr>
          <w:rFonts w:ascii="Times New Roman" w:hAnsi="Times New Roman" w:cs="Times New Roman"/>
          <w:color w:val="FF0000"/>
          <w:sz w:val="20"/>
          <w:szCs w:val="20"/>
        </w:rPr>
        <w:fldChar w:fldCharType="begin" w:fldLock="1"/>
      </w:r>
      <w:r w:rsidR="00DE4B28" w:rsidRPr="00EA688C">
        <w:rPr>
          <w:rFonts w:ascii="Times New Roman" w:hAnsi="Times New Roman" w:cs="Times New Roman"/>
          <w:color w:val="FF0000"/>
          <w:sz w:val="20"/>
          <w:szCs w:val="20"/>
        </w:rPr>
        <w:instrText>ADDIN CSL_CITATION {"citationItems":[{"id":"ITEM-1","itemData":{"DOI":"10.1038/s43016-022-00533-8","ISSN":"26621355","abstract":"Soils used for crop production cover 15.5 million km2 and almost all have been tilled at some point in their history. However, it is unclear how the changes in soil depth and soil properties associated with tillage affect crop yields. Here we show that tillage on slopes thins soils and reduces wheat and maize yields. At the landscape scale, tillage erosion gradually reduces crop yields as the duration and intensity of tillage increase. Over the next 50–100 yr, the overall yields are likely to further decline as modern mechanized agriculture accelerates the process of tillage erosion compared with centuries of non-mechanized tillage. Arresting this downward trend will require more widespread adoption of no-tillage practices and avoidance of down-slope cultivation. The downward pressure on landscape-scale yields due to tillage erosion is expected to be amplified by climate-change-induced increases in dry spells during crop growth.","author":[{"dropping-particle":"","family":"Quinton","given":"John N.","non-dropping-particle":"","parse-names":false,"suffix":""},{"dropping-particle":"","family":"Öttl","given":"Lena K.","non-dropping-particle":"","parse-names":false,"suffix":""},{"dropping-particle":"","family":"Fiener","given":"Peter","non-dropping-particle":"","parse-names":false,"suffix":""}],"container-title":"Nature Food","id":"ITEM-1","issue":"6","issued":{"date-parts":[["2022"]]},"page":"472-479","publisher":"Springer US","title":"Tillage exacerbates the vulnerability of cereal crops to drought","type":"article-journal","volume":"3"},"uris":["http://www.mendeley.com/documents/?uuid=900ca38d-536a-43f5-88cf-01dda774e40a"]}],"mendeley":{"formattedCitation":"(Quinton et al., 2022)","plainTextFormattedCitation":"(Quinton et al., 2022)","previouslyFormattedCitation":"(Quinton et al., 2022)"},"properties":{"noteIndex":0},"schema":"https://github.com/citation-style-language/schema/raw/master/csl-citation.json"}</w:instrText>
      </w:r>
      <w:r w:rsidR="00DE4B28" w:rsidRPr="00EA688C">
        <w:rPr>
          <w:rFonts w:ascii="Times New Roman" w:hAnsi="Times New Roman" w:cs="Times New Roman"/>
          <w:color w:val="FF0000"/>
          <w:sz w:val="20"/>
          <w:szCs w:val="20"/>
        </w:rPr>
        <w:fldChar w:fldCharType="separate"/>
      </w:r>
      <w:r w:rsidR="00DE4B28" w:rsidRPr="00EA688C">
        <w:rPr>
          <w:rFonts w:ascii="Times New Roman" w:hAnsi="Times New Roman" w:cs="Times New Roman"/>
          <w:noProof/>
          <w:color w:val="FF0000"/>
          <w:sz w:val="20"/>
          <w:szCs w:val="20"/>
        </w:rPr>
        <w:t>(Quinton et al., 2022)</w:t>
      </w:r>
      <w:r w:rsidR="00DE4B2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Beyond the significant impact of nutrient losses through lateral movement</w:t>
      </w:r>
      <w:r w:rsidR="00DE4B28" w:rsidRPr="00EA688C">
        <w:rPr>
          <w:rFonts w:ascii="Times New Roman" w:hAnsi="Times New Roman" w:cs="Times New Roman"/>
          <w:color w:val="FF0000"/>
          <w:sz w:val="20"/>
          <w:szCs w:val="20"/>
        </w:rPr>
        <w:t xml:space="preserve"> </w:t>
      </w:r>
      <w:r w:rsidR="00DE4B28" w:rsidRPr="00EA688C">
        <w:rPr>
          <w:rFonts w:ascii="Times New Roman" w:hAnsi="Times New Roman" w:cs="Times New Roman"/>
          <w:color w:val="FF0000"/>
          <w:sz w:val="20"/>
          <w:szCs w:val="20"/>
        </w:rPr>
        <w:fldChar w:fldCharType="begin" w:fldLock="1"/>
      </w:r>
      <w:r w:rsidR="00DE4B28" w:rsidRPr="00EA688C">
        <w:rPr>
          <w:rFonts w:ascii="Times New Roman" w:hAnsi="Times New Roman" w:cs="Times New Roman"/>
          <w:color w:val="FF0000"/>
          <w:sz w:val="20"/>
          <w:szCs w:val="20"/>
        </w:rPr>
        <w:instrText>ADDIN CSL_CITATION {"citationItems":[{"id":"ITEM-1","itemData":{"DOI":"10.1038/s41467-020-18326-7","ISSN":"20411723","PMID":"32917863","abstract":"Soil phosphorus (P) loss from agricultural systems will limit food and feed production in the future. Here, we combine spatially distributed global soil erosion estimates (only considering sheet and rill erosion by water) with spatially distributed global P content for cropland soils to assess global soil P loss. The world’s soils are currently being depleted in P in spite of high chemical fertilizer input. Africa (not being able to afford the high costs of chemical fertilizer) as well as South America (due to non-efficient organic P management) and Eastern Europe (for a combination of the two previous reasons) have the highest P depletion rates. In a future world, with an assumed absolute shortage of mineral P fertilizer, agricultural soils worldwide will be depleted by between 4–19 kg ha−1 yr−1, with average losses of P due to erosion by water contributing over 50% of total P losses.","author":[{"dropping-particle":"","family":"Alewell","given":"Christine","non-dropping-particle":"","parse-names":false,"suffix":""},{"dropping-particle":"","family":"Ringeval","given":"Bruno","non-dropping-particle":"","parse-names":false,"suffix":""},{"dropping-particle":"","family":"Ballabio","given":"Cristiano","non-dropping-particle":"","parse-names":false,"suffix":""},{"dropping-particle":"","family":"Robinson","given":"David A.","non-dropping-particle":"","parse-names":false,"suffix":""},{"dropping-particle":"","family":"Panagos","given":"Panos","non-dropping-particle":"","parse-names":false,"suffix":""},{"dropping-particle":"","family":"Borrelli","given":"Pasquale","non-dropping-particle":"","parse-names":false,"suffix":""}],"container-title":"Nature Communications","id":"ITEM-1","issue":"1","issued":{"date-parts":[["2020"]]},"publisher":"Springer US","title":"Global phosphorus shortage will be aggravated by soil erosion","type":"article-journal","volume":"11"},"uris":["http://www.mendeley.com/documents/?uuid=308d35e9-2c33-4ab7-8b38-129a35ecacf2"]},{"id":"ITEM-2","itemData":{"DOI":"10.1038/ngeo838","ISSN":"17520894","abstract":"Soils are the main terrestrial reservoir of nutrients, such as nitrogen and phosphorus, and of organic carbon. Synthesizing earlier studies, we find that the mobilization and deposition of agricultural soils can significantly alter nutrient and carbon cycling. Specifically, erosion can result in lateral fluxes of nitrogen and phosphorus that are similar in magnitude to those induced by fertilizer application and crop removal. Furthermore, the translocation and burial of soil reduces decomposition of soil organic carbon, and could lead to long-term carbon storage. The cycling of carbon, nitr</w:instrText>
      </w:r>
      <w:r w:rsidR="00DE4B28" w:rsidRPr="00EA688C">
        <w:rPr>
          <w:rFonts w:ascii="Times New Roman" w:hAnsi="Times New Roman" w:cs="Times New Roman"/>
          <w:color w:val="FF0000"/>
          <w:sz w:val="20"/>
          <w:szCs w:val="20"/>
          <w:lang w:val="fr-FR"/>
        </w:rPr>
        <w:instrText>ogen and phosphorus are strongly interrelated. For example, erosion-induced burial of soils stabilizes soil nutrient and carbon pools, thereby increasing primary productivity and carbon uptake, and potentially reducing erosion. Our analysis shows soils as dynamic systems in time and space. © 2010 Macmillan Publishers Limited.","author":[{"dropping-particle":"","family":"Quinton","given":"John N.","non-dropping-particle":"","parse-names":false,"suffix":""},{"dropping-particle":"","family":"Govers","given":"Gerard","non-dropping-particle":"","parse-names":false,"suffix":""},{"dropping-particle":"","family":"Oost","given":"Kristof","non-dropping-particle":"Van","parse-names":false,"suffix":""},{"dropping-particle":"","family":"Bardgett","given":"Richard D.","non-dropping-particle":"","parse-names":false,"suffix":""}],"container-title":"Nature Geoscience","id":"ITEM-2","issue":"5","issued":{"date-parts":[["2010"]]},"page":"311-314","title":"The impact of agricultural soil erosion on biogeochemical cycling","type":"article-journal","volume":"3"},"uris":["http://www.mendeley.com/documents/?uuid=4bd366df-bdda-4118-ab61-626a43944112"]}],"mendeley":{"formattedCitation":"(Alewell et al., 2020; Quinton et al., 2010)","plainTextFormattedCitation":"(Alewell et al., 2020; Quinton et al., 2010)","previouslyFormattedCitation":"(Alewell et al., 2020; Quinton et al., 2010)"},"properties":{"noteIndex":0},"schema":"https://github.com/citation-style-language/schema/raw/master/csl-citation.json"}</w:instrText>
      </w:r>
      <w:r w:rsidR="00DE4B28" w:rsidRPr="00EA688C">
        <w:rPr>
          <w:rFonts w:ascii="Times New Roman" w:hAnsi="Times New Roman" w:cs="Times New Roman"/>
          <w:color w:val="FF0000"/>
          <w:sz w:val="20"/>
          <w:szCs w:val="20"/>
        </w:rPr>
        <w:fldChar w:fldCharType="separate"/>
      </w:r>
      <w:r w:rsidR="00DE4B28" w:rsidRPr="00EA688C">
        <w:rPr>
          <w:rFonts w:ascii="Times New Roman" w:hAnsi="Times New Roman" w:cs="Times New Roman"/>
          <w:noProof/>
          <w:color w:val="FF0000"/>
          <w:sz w:val="20"/>
          <w:szCs w:val="20"/>
          <w:lang w:val="fr-FR"/>
        </w:rPr>
        <w:t>(Alewell et al., 2020; Quinton et al., 2010)</w:t>
      </w:r>
      <w:r w:rsidR="00DE4B2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lang w:val="fr-FR"/>
        </w:rPr>
        <w:t xml:space="preserve">, </w:t>
      </w:r>
      <w:proofErr w:type="spellStart"/>
      <w:r w:rsidRPr="00EA688C">
        <w:rPr>
          <w:rFonts w:ascii="Times New Roman" w:hAnsi="Times New Roman" w:cs="Times New Roman"/>
          <w:color w:val="FF0000"/>
          <w:sz w:val="20"/>
          <w:szCs w:val="20"/>
          <w:lang w:val="fr-FR"/>
        </w:rPr>
        <w:t>erosion</w:t>
      </w:r>
      <w:proofErr w:type="spellEnd"/>
      <w:r w:rsidRPr="00EA688C">
        <w:rPr>
          <w:rFonts w:ascii="Times New Roman" w:hAnsi="Times New Roman" w:cs="Times New Roman"/>
          <w:color w:val="FF0000"/>
          <w:sz w:val="20"/>
          <w:szCs w:val="20"/>
          <w:lang w:val="fr-FR"/>
        </w:rPr>
        <w:t xml:space="preserve"> </w:t>
      </w:r>
      <w:proofErr w:type="spellStart"/>
      <w:r w:rsidRPr="00EA688C">
        <w:rPr>
          <w:rFonts w:ascii="Times New Roman" w:hAnsi="Times New Roman" w:cs="Times New Roman"/>
          <w:color w:val="FF0000"/>
          <w:sz w:val="20"/>
          <w:szCs w:val="20"/>
          <w:lang w:val="fr-FR"/>
        </w:rPr>
        <w:t>disrupts</w:t>
      </w:r>
      <w:proofErr w:type="spellEnd"/>
      <w:r w:rsidRPr="00EA688C">
        <w:rPr>
          <w:rFonts w:ascii="Times New Roman" w:hAnsi="Times New Roman" w:cs="Times New Roman"/>
          <w:color w:val="FF0000"/>
          <w:sz w:val="20"/>
          <w:szCs w:val="20"/>
          <w:lang w:val="fr-FR"/>
        </w:rPr>
        <w:t xml:space="preserve"> </w:t>
      </w:r>
      <w:proofErr w:type="spellStart"/>
      <w:r w:rsidRPr="00EA688C">
        <w:rPr>
          <w:rFonts w:ascii="Times New Roman" w:hAnsi="Times New Roman" w:cs="Times New Roman"/>
          <w:color w:val="FF0000"/>
          <w:sz w:val="20"/>
          <w:szCs w:val="20"/>
          <w:lang w:val="fr-FR"/>
        </w:rPr>
        <w:t>soil</w:t>
      </w:r>
      <w:proofErr w:type="spellEnd"/>
      <w:r w:rsidRPr="00EA688C">
        <w:rPr>
          <w:rFonts w:ascii="Times New Roman" w:hAnsi="Times New Roman" w:cs="Times New Roman"/>
          <w:color w:val="FF0000"/>
          <w:sz w:val="20"/>
          <w:szCs w:val="20"/>
          <w:lang w:val="fr-FR"/>
        </w:rPr>
        <w:t xml:space="preserve"> structure and </w:t>
      </w:r>
      <w:proofErr w:type="spellStart"/>
      <w:r w:rsidRPr="00EA688C">
        <w:rPr>
          <w:rFonts w:ascii="Times New Roman" w:hAnsi="Times New Roman" w:cs="Times New Roman"/>
          <w:color w:val="FF0000"/>
          <w:sz w:val="20"/>
          <w:szCs w:val="20"/>
          <w:lang w:val="fr-FR"/>
        </w:rPr>
        <w:t>alters</w:t>
      </w:r>
      <w:proofErr w:type="spellEnd"/>
      <w:r w:rsidRPr="00EA688C">
        <w:rPr>
          <w:rFonts w:ascii="Times New Roman" w:hAnsi="Times New Roman" w:cs="Times New Roman"/>
          <w:color w:val="FF0000"/>
          <w:sz w:val="20"/>
          <w:szCs w:val="20"/>
          <w:lang w:val="fr-FR"/>
        </w:rPr>
        <w:t xml:space="preserve"> </w:t>
      </w:r>
      <w:proofErr w:type="spellStart"/>
      <w:r w:rsidRPr="00EA688C">
        <w:rPr>
          <w:rFonts w:ascii="Times New Roman" w:hAnsi="Times New Roman" w:cs="Times New Roman"/>
          <w:color w:val="FF0000"/>
          <w:sz w:val="20"/>
          <w:szCs w:val="20"/>
          <w:lang w:val="fr-FR"/>
        </w:rPr>
        <w:t>microbial</w:t>
      </w:r>
      <w:proofErr w:type="spellEnd"/>
      <w:r w:rsidRPr="00EA688C">
        <w:rPr>
          <w:rFonts w:ascii="Times New Roman" w:hAnsi="Times New Roman" w:cs="Times New Roman"/>
          <w:color w:val="FF0000"/>
          <w:sz w:val="20"/>
          <w:szCs w:val="20"/>
          <w:lang w:val="fr-FR"/>
        </w:rPr>
        <w:t xml:space="preserve"> </w:t>
      </w:r>
      <w:proofErr w:type="spellStart"/>
      <w:r w:rsidRPr="00EA688C">
        <w:rPr>
          <w:rFonts w:ascii="Times New Roman" w:hAnsi="Times New Roman" w:cs="Times New Roman"/>
          <w:color w:val="FF0000"/>
          <w:sz w:val="20"/>
          <w:szCs w:val="20"/>
          <w:lang w:val="fr-FR"/>
        </w:rPr>
        <w:t>processes</w:t>
      </w:r>
      <w:proofErr w:type="spellEnd"/>
      <w:r w:rsidRPr="00EA688C">
        <w:rPr>
          <w:rFonts w:ascii="Times New Roman" w:hAnsi="Times New Roman" w:cs="Times New Roman"/>
          <w:color w:val="FF0000"/>
          <w:sz w:val="20"/>
          <w:szCs w:val="20"/>
          <w:lang w:val="fr-FR"/>
        </w:rPr>
        <w:t xml:space="preserve"> </w:t>
      </w:r>
      <w:r w:rsidRPr="00EA688C">
        <w:rPr>
          <w:rFonts w:ascii="Times New Roman" w:hAnsi="Times New Roman" w:cs="Times New Roman"/>
          <w:color w:val="FF0000"/>
          <w:sz w:val="20"/>
          <w:szCs w:val="20"/>
        </w:rPr>
        <w:fldChar w:fldCharType="begin" w:fldLock="1"/>
      </w:r>
      <w:r w:rsidRPr="00EA688C">
        <w:rPr>
          <w:rFonts w:ascii="Times New Roman" w:hAnsi="Times New Roman" w:cs="Times New Roman"/>
          <w:color w:val="FF0000"/>
          <w:sz w:val="20"/>
          <w:szCs w:val="20"/>
          <w:lang w:val="fr-FR"/>
        </w:rPr>
        <w:instrText>ADDIN CSL_CITATION {"citationItems":[{"id":"ITEM-1","itemData":{"DOI":"10.1038/s43017-022-00366-w","ISSN":"2662138X","abstract":"Soil microbiomes drive key functions in agroecosystems, determining soil fertility, crop productivity and stress tolerance. The microbiome is intricately linked with soil structure, such as aggregation and pore connectivity, because this structure regulates the flow of water, oxygen and nutrients through the system. In this Review, we summarize the key functions of soil microbiomes in agroecosystems, highlight the dependence of these functions on the structural integrity of the soil, and discuss how agricultural practices influence the link between soil structure and microbiome functioning. System-level agricultural management practices can induce structural alterations to the soil, thereby changing the microbial processes occurring at the microscale. These changes have large-scale consequences, such as soil erosion, reduced soil fertility and increased gr</w:instrText>
      </w:r>
      <w:r w:rsidRPr="002655C8">
        <w:rPr>
          <w:rFonts w:ascii="Times New Roman" w:hAnsi="Times New Roman" w:cs="Times New Roman"/>
          <w:color w:val="FF0000"/>
          <w:sz w:val="20"/>
          <w:szCs w:val="20"/>
          <w:lang w:val="fr-FR"/>
        </w:rPr>
        <w:instrText>eenhouse gas emissions. Sustainable approaches such as integrated soil fertility management and integrated pest management seek to improve soil structure and enhance microbial biodiversity, but we lack a mechanistic understanding of how multifaceted decisions at the farm level shape these context-dependent small-scale processes in the long term. Future research needs to bridge the microsca</w:instrText>
      </w:r>
      <w:r w:rsidRPr="00EA688C">
        <w:rPr>
          <w:rFonts w:ascii="Times New Roman" w:hAnsi="Times New Roman" w:cs="Times New Roman"/>
          <w:color w:val="FF0000"/>
          <w:sz w:val="20"/>
          <w:szCs w:val="20"/>
          <w:lang w:val="en-GB"/>
        </w:rPr>
        <w:instrText>le and field scale to inform agricult</w:instrText>
      </w:r>
      <w:r w:rsidRPr="00EA688C">
        <w:rPr>
          <w:rFonts w:ascii="Times New Roman" w:hAnsi="Times New Roman" w:cs="Times New Roman"/>
          <w:color w:val="FF0000"/>
          <w:sz w:val="20"/>
          <w:szCs w:val="20"/>
        </w:rPr>
        <w:instrText>ural management decisions for building climate-smart, resource-efficient and stress-resilient agroecosystems, and to harness the soil microbiome as a nature-based solution for sustainable agriculture.","author":[{"dropping-particle":"","family":"Hartmann","given":"Martin","non-dropping-particle":"","parse-names":false,"suffix":""},{"dropping-particle":"","family":"Six","given":"Johan","non-dropping-particle":"","parse-names":false,"suffix":""}],"container-title":"Nature Reviews Earth and Environment","id":"ITEM-1","issue":"1","issued":{"date-parts":[["2023"]]},"page":"4-18","title":"Soil structure and microbiome functions in agroecosystems","type":"article-journal","volume":"4"},"uris":["http://www.mendeley.com/documents/?uuid=686541ca-0628-4def-b742-8d421595bbcc"]}],"mendeley":{"formattedCitation":"(Hartmann and Six, 2023)","plainTextFormattedCitation":"(Hartmann and Six, 2023)","previouslyFormattedCitation":"(Hartmann and Six, 2023)"},"properties":{"noteIndex":0},"schema":"https://github.com/citation-style-language/schema/raw/master/csl-citation.json"}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Pr="00EA688C">
        <w:rPr>
          <w:rFonts w:ascii="Times New Roman" w:hAnsi="Times New Roman" w:cs="Times New Roman"/>
          <w:noProof/>
          <w:color w:val="FF0000"/>
          <w:sz w:val="20"/>
          <w:szCs w:val="20"/>
        </w:rPr>
        <w:t>(Hartmann and Six, 2023)</w:t>
      </w:r>
      <w:r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It further exerts a strong impact on the global C cycle </w:t>
      </w:r>
      <w:r w:rsidRPr="00EA688C">
        <w:rPr>
          <w:rFonts w:ascii="Times New Roman" w:hAnsi="Times New Roman" w:cs="Times New Roman"/>
          <w:color w:val="FF0000"/>
          <w:sz w:val="20"/>
          <w:szCs w:val="20"/>
        </w:rPr>
        <w:fldChar w:fldCharType="begin" w:fldLock="1"/>
      </w:r>
      <w:r w:rsidR="00B10A2A" w:rsidRPr="00EA688C">
        <w:rPr>
          <w:rFonts w:ascii="Times New Roman" w:hAnsi="Times New Roman" w:cs="Times New Roman"/>
          <w:color w:val="FF0000"/>
          <w:sz w:val="20"/>
          <w:szCs w:val="20"/>
        </w:rPr>
        <w:instrText>ADDIN CSL_CITATION {"citationItems":[{"id":"ITEM-1","itemData":{"DOI":"10.1126/science.adk1637","ISSN":"0036-8075","abstract":"Terrestrial sequestration of carbon has mitigated ≈30% of anthropogenic carbon emissions. However, its distribution across different pools, live or dead biomass and soil and sedimentary organic carbon, remains uncertain. Analyzing global observational datasets of changes in terrestrial carbon pools, we found that ≈35 ± 14 gigatons of carbon (GtC) have been sequestered on land between 1992 and 2019, whereas live biomass changed by ≈1 ± 7 GtC. Global vegetation models instead imply that sequestration has been mostly in live biomass. We identify key processes not included in most models that can explain this discrepancy. Most terrestrial carbon gains are sequestered as nonliving matter and thus are more persistent than previously appreciated, with a substantial fraction linked to human activities such as river damming, wood harvest, and garbage disposal in landfills.","author":[{"dropping-particle":"","family":"Bar-On","given":"Yinon M.","non-dropping-particle":"","parse-names":false,"suffix":""},{"dropping-particle":"","family":"Li","given":"Xiaojun","non-dropping-particle":"","parse-names":false,"suffix":""},{"dropping-particle":"","family":"O’Sullivan","given":"Michael","non-dropping-particle":"","parse-names":false,"suffix":""},{"dropping-particle":"","family":"Wigneron","given":"Jean-Pierre","non-dropping-particle":"","parse-names":false,"suffix":""},{"dropping-particle":"","family":"Sitch","given":"Stephen","non-dropping-particle":"","parse-names":false,"suffix":""},{"dropping-particle":"","family":"Ciais","given":"Philippe","non-dropping-particle":"","parse-names":false,"suffix":""},{"dropping-particle":"","family":"Frankenberg","given":"Christian","non-dropping-particle":"","parse-names":false,"suffix":""},{"dropping-particle":"","family":"Fischer","given":"Woodward W.","non-dropping-particle":"","parse-names":false,"suffix":""}],"container-title":"Science","id":"ITEM-1","issue":"6740","issued":{"date-parts":[["2025","3","21"]]},"page":"1291-1295","title":"Recent gains in global terrestrial carbon stocks are mostly stored in nonliving pools","type":"article-journal","volume":"387"},"uris":["http://www.mendeley.com/documents/?uuid=ed1d736f-2b08-419f-b4b7-a27da2804d6c"]},{"id":"ITEM-2","itemData":{"DOI":"10.1016/j.earscirev.2015.12.005","ISSN":"00128252","abstract":"The role of soil erosion in terrestrial carbon (C) sequestration and release remains one of the most important uncertainties in our attempts to determine the potential of soils to mediate climate change. Despite its widely recognized importance for terrestrial C sequestration, to date, no Earth System Model (ESM) implements soil erosion effects on carbon cycling in sufficient detail. So far, available studies have mostly investigated the magnitude of erosional C transport and in-situ measurements of vertical C fluxes on the catchment or regional scale. Recognizing the need to adequately represent C erosion processes and controls in ESMs, we provide a comprehensive cross-disciplinary review on lateral C redistribution in the landscape and discuss the implications for biogeochemical cycling of carbon. We present current knowledge on the role of erosional C distribution in controlling the stabilization and release of C in soils, taking into consideration the important geomorphic, ecological, hydrologic, pedologic and micro-climatic processes and controls that affect soil organic carbon (SOC) stock, fluxes, and persistence in dynamic landscapes. Further, we provide an overview on latest experimental and modelling approaches that are being used to investigate the role of erosion in the carbon cycle. Finally, to advance our understanding of the role of soil redistribution in biogeochemical cycles of essential elements, we discuss the most promising topics for future research in this field.","author":[{"dropping-particle":"","family":"Doetterl","given":"Sebastian","non-dropping-particle":"","parse-names":false,"suffix":""},{"dropping-particle":"","family":"Berhe","given":"Asmeret Asefaw","non-dropping-particle":"","parse-names":false,"suffix":""},{"dropping-particle":"","family":"Nadeu","given":"Elisabet","non-dropping-particle":"","parse-names":false,"suffix":""},{"dropping-particle":"","family":"Wang","given":"Zhengang","non-dropping-particle":"","parse-names":false,"suffix":""},{"dropping-particle":"","family":"Sommer","given":"Michael","non-dropping-particle":"","parse-names":false,"suffix":""},{"dropping-particle":"","family":"Fiener","given":"Peter","non-dropping-particle":"","parse-names":false,"suffix":""}],"container-title":"Earth-Science Reviews","id":"ITEM-2","issued":{"date-parts":[["2016"]]},"page":"102-122","title":"Erosion, deposition and soil carbon: A review of process-level controls, experimental tools and models to address C cycling in dynamic landscapes","type":"article-journal","volume":"154"},"uris":["http://www.mendeley.com/documents/?uuid=52232f73-d755-441c-a1cc-d2c6faffa1a5"]},{"id":"ITEM-3","itemData":{"DOI":"10.1191/0309133306pp487ra","ISSN":"03091333","abstract":"Tillage erosion has been identified as an important global soil degradation process that has to be accounted for when assessing the erosional impacts on soil productivity, environmental quality or landscape evolution. In this paper, we present a summary of available data describing tillage erosion. This provides insights in the controlling factors determining soil redistribution rates and patterns by tillage for various implements used in both mechanized and non-mechanized agriculture. Variations in tillage depth and tillage direction cause the largest variations in soil redistribution rates, although other factors, such as tillage speed and implement characteristics, also play an important role. In general, decreasing tillage depth and ploughing along the contour lines substantially reduce tillage erosion rates and can be considered as effective soil conservation strategies. Implement erosivities reported in literature, characterized by the tillage transport coefficient, are very consistent and range in the order of 400-800 kg m-1 yr-1 and 70-260 kg m-1 yr-1 for mechanized and non-mechanized agriculture, respectively. Comparison of tillage erosion rates with water erosion rates using a global data set indicates that tillage erosion rates are at least in the same order of magnitude or higher than water erosion rates, in almost all cases. Finally, we discuss how tillage erosion increases the spatial variability of soil properties and affects soil nutrient cycling. Consideri</w:instrText>
      </w:r>
      <w:r w:rsidR="00B10A2A" w:rsidRPr="00EA688C">
        <w:rPr>
          <w:rFonts w:ascii="Times New Roman" w:hAnsi="Times New Roman" w:cs="Times New Roman"/>
          <w:color w:val="FF0000"/>
          <w:sz w:val="20"/>
          <w:szCs w:val="20"/>
          <w:lang w:val="fr-FR"/>
        </w:rPr>
        <w:instrText>ng the widespread use of tillage practices, the high redistribution rates associated with the process and its direct effect on soil properties, it is clear that tillage erosion should be considered in soil landscape studies. © 2006 SAGE Publications.","author":[{"dropping-particle":"","family":"Oost","given":"K.","non-dropping-particle":"Van","parse-names":false,"suffix":""},{"dropping-particle":"","family":"Govers","given":"G.","non-dropping-particle":"","parse-names":false,"suffix":""},{"dropping-particle":"","family":"Alba","given":"S.","non-dropping-particle":"de","parse-names":false,"suffix":""},{"dropping-particle":"","family":"Quine","given":"T. A.","non-dropping-particle":"","parse-names":false,"suffix":""}],"container-title":"Progress in Physical Geography","id":"ITEM-3","issue":"4","issued":{"date-parts":[["2006"]]},"page":"443-466","title":"Tillage erosion: A review of controlling factors and implications for soil quality","type":"article-journal","volume":"30"},"uris":["http://www.mendeley.com/documents/?uuid=7e5f7e50-0f1f-4ed4-b433-4de2a42234eb"]}],"mendeley":{"formattedCitation":"(Bar-On et al., 2025; Doetterl et al., 2016; Van Oost et al., 2006)","plainTextFormattedCitation":"(Bar-On et al., 2025; Doetterl et al., 2016; Van Oost et al., 2006)","previouslyFormattedCitation":"(Bar-On et al., 2025; Doetterl et al., 2016; Van Oost et al., 2006)"},"properties":{"noteIndex":0},"schema":"https://github.com/citation-style-language/schema/raw/master/csl-citation.json"}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00C4270C" w:rsidRPr="00EA688C">
        <w:rPr>
          <w:rFonts w:ascii="Times New Roman" w:hAnsi="Times New Roman" w:cs="Times New Roman"/>
          <w:noProof/>
          <w:color w:val="FF0000"/>
          <w:sz w:val="20"/>
          <w:szCs w:val="20"/>
          <w:lang w:val="fr-FR"/>
        </w:rPr>
        <w:t>(Bar-On et al., 2025; Doetterl et al., 2016; Van Oost et al., 2006)</w:t>
      </w:r>
      <w:r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lang w:val="fr-FR"/>
        </w:rPr>
        <w:t xml:space="preserve">. </w:t>
      </w:r>
      <w:r w:rsidRPr="00EA688C">
        <w:rPr>
          <w:rFonts w:ascii="Times New Roman" w:hAnsi="Times New Roman" w:cs="Times New Roman"/>
          <w:color w:val="FF0000"/>
          <w:sz w:val="20"/>
          <w:szCs w:val="20"/>
        </w:rPr>
        <w:t xml:space="preserve">Tillage erosion has been identified as a very important mode of soil erosion </w:t>
      </w:r>
      <w:r w:rsidRPr="00EA688C">
        <w:rPr>
          <w:rFonts w:ascii="Times New Roman" w:hAnsi="Times New Roman" w:cs="Times New Roman"/>
          <w:color w:val="FF0000"/>
          <w:sz w:val="20"/>
          <w:szCs w:val="20"/>
        </w:rPr>
        <w:fldChar w:fldCharType="begin" w:fldLock="1"/>
      </w:r>
      <w:r w:rsidRPr="00EA688C">
        <w:rPr>
          <w:rFonts w:ascii="Times New Roman" w:hAnsi="Times New Roman" w:cs="Times New Roman"/>
          <w:color w:val="FF0000"/>
          <w:sz w:val="20"/>
          <w:szCs w:val="20"/>
        </w:rPr>
        <w:instrText>ADDIN CSL_CITATION {"citationItems":[{"id":"ITEM-1","itemData":{"DOI":"10.1038/s41893-022-00988-4","ISSN":"23989629","abstract":"Soil erosion is a serious threat to soil functions leading to land productivity decline and multiple off-site effects. Here we show, using a multi-model approach, the spatial risk of soil erosion by water, wind, tillage and harvesting and where the co-occurrence of these different processes is observed. Moreover, we analysed where these locations of multiple erosion co-occurrence are likely to intersect with the projected increase of dry/wet climate conditions. Of the ~110 million hectares (M ha) of arable land in the European Union, our estimates show that 43 M ha are vulnerable to a single driver of erosion, 15.6 M ha to two drivers and 0.81 M ha to three or more drivers. About 3.2 M ha of arable land are vulnerable to the possible interaction of increased flood, drought, water and wind erosion. We contend that this set of predictions serves as a basis for developing an efficient stratified monitoring network and informing targeted mitigation strategies under the Common Agricultural Policy 2023–2027. The road to the sustainable, carbon-neutral and biodiversity-friendly system of agriculture advocated for in the EU Green Deal goes through a thematic strategy for soil protection from multiple concurrent erosion processes.","author":[{"dropping-particle":"","family":"Borrelli","given":"Pasquale","non-dropping-particle":"","parse-names":false,"suffix":""},{"dropping-particle":"","family":"Panagos","given":"Panos","non-dropping-particle":"","parse-names":false,"suffix":""},{"dropping-particle":"","family":"Alewell","given":"Christine","non-dropping-particle":"","parse-names":false,"suffix":""},{"dropping-particle":"","family":"Ballabio","given":"Cristiano","non-dropping-particle":"","parse-names":false,"suffix":""},{"dropping-particle":"","family":"Oliveira Fagundes","given":"Hugo","non-dropping-particle":"de","parse-names":false,"suffix":""},{"dropping-particle":"","family":"Haregeweyn","given":"Nigussie","non-dropping-particle":"","parse-names":false,"suffix":""},{"dropping-particle":"","family":"Lugato","given":"Emanuele","non-dropping-particle":"","parse-names":false,"suffix":""},{"dropping-particle":"","family":"Maerker","given":"Michael","non-dropping-particle":"","parse-names":false,"suffix":""},{"dropping-particle":"","family":"Poesen","given":"Jean","non-dropping-particle":"","parse-names":false,"suffix":""},{"dropping-particle":"","family":"Vanmaercke","given":"Matthias","non-dropping-particle":"","parse-names":false,"suffix":""},{"dropping-particle":"","family":"Robinson","given":"David A.","non-dropping-particle":"","parse-names":false,"suffix":""}],"container-title":"Nature Sustainability","id":"ITEM-1","issue":"1","issued":{"date-parts":[["2023"]]},"page":"103-112","publisher":"Springer US","title":"Policy implications of multiple concurrent soil erosion processes in European farmland","type":"article-journal","volume":"6"},"uris":["http://www.mendeley.com/documents/?uuid=c03970f9-cc50-4c61-8157-ad99dc74d8d6"]},{"id":"ITEM-2","itemData":{"author":[{"dropping-particle":"","family":"Wilken","given":"Florian","non-dropping-particle":"","parse-names":false,"suffix":""},{"dropping-particle":"","family":"Ketterer","given":"Michael","non-dropping-particle":"","parse-names":false,"suffix":""},{"dropping-particle":"","family":"Koszinski","given":"Sylvia","non-dropping-particle":"","parse-names":false,"suffix":""},{"dropping-particle":"","family":"Sommer","given":"Michael","non-dropping-particle":"","parse-names":false,"suffix":""},{"dropping-particle":"","family":"Fiener","given":"Peter","non-dropping-particle":"","parse-names":false,"suffix":""}],"container-title":"Soil","id":"ITEM-2","issued":{"date-parts":[["2020"]]},"page":"549-564","title":"Pu tracer measurements using inverse modelling","type":"article-journal","volume":"6"},"uris":["http://www.mendeley.com/documents/?uuid=d9486d51-3e6e-4e97-8366-221bc90ae0e7"]}],"mendeley":{"formattedCitation":"(Borrelli et al., 2023; Wilken et al., 2020)","plainTextFormattedCitation":"(Borrelli et al., 2023; Wilken et al., 2020)","previouslyFormattedCitation":"(Borrelli et al., 2023; Wilken et al., 2020)"},"properties":{"noteIndex":0},"schema":"https://github.com/citation-style-language/schema/raw/master/csl-citation.json"}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Pr="00EA688C">
        <w:rPr>
          <w:rFonts w:ascii="Times New Roman" w:hAnsi="Times New Roman" w:cs="Times New Roman"/>
          <w:noProof/>
          <w:color w:val="FF0000"/>
          <w:sz w:val="20"/>
          <w:szCs w:val="20"/>
        </w:rPr>
        <w:t>(Borrelli et al., 2023; Wilken et al., 2020)</w:t>
      </w:r>
      <w:r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that significantly influences the landscape-scale dynamics of carbon (C), nitrogen (N), and phosphorus (P) </w:t>
      </w:r>
      <w:r w:rsidRPr="00EA688C">
        <w:rPr>
          <w:rFonts w:ascii="Times New Roman" w:hAnsi="Times New Roman" w:cs="Times New Roman"/>
          <w:color w:val="FF0000"/>
          <w:sz w:val="20"/>
          <w:szCs w:val="20"/>
        </w:rPr>
        <w:fldChar w:fldCharType="begin" w:fldLock="1"/>
      </w:r>
      <w:r w:rsidRPr="00EA688C">
        <w:rPr>
          <w:rFonts w:ascii="Times New Roman" w:hAnsi="Times New Roman" w:cs="Times New Roman"/>
          <w:color w:val="FF0000"/>
          <w:sz w:val="20"/>
          <w:szCs w:val="20"/>
        </w:rPr>
        <w:instrText>ADDIN CSL_CITATION {"citationItems":[{"id":"ITEM-1","itemData":{"DOI":"10.1016/j.still.2024.106287","ISSN":"01671987","abstract":"Arable soils may play an important role in climate mitigation actions as soil management directly affects carbon (C) sequestration and mineralisation. To evaluate the C sequestration potential in hilly terrain it is essential that not only changes in vertical C fluxes (more C input and/or reduced mineralisation), but also lateral soil organic carbon (SOC) redistribution due to erosion processes are considered. Tillage has been identified as an important contributor to soil translocation processes and a modulator of SOC dynamics. Nevertheless, the focus of most studies dealing with SOC redistribution still lies on water erosion. Therefore, the aim of this study is to assess the impact of tillage erosion on C fluxes in the intensively cultivated loess region (200 ha) in the Czech Republic. The coupled water and tillage erosion and C turnover model SPEROS-C was used to analyse the effect of six decades of erosion/deposition upon C fluxes, whereas a specific focus was set on the importance of tillage erosion processes. The results indicate that tillage erosion (TIL) is an important driver of C dynamics in the study area, especially at slope shoulders where a substantial decline in SOC was modelled. Water erosion (WAT) is the most dominant process in the region. However, the model results reveal an increase in erosion-induced C sequestration potential by 37 % after 60 years of simulation when effect of TIL is considered. Moreover, it is interesting that TIL reduced the total sediment delivery from the monitoring site via a change in topsoil SOC patterns. In other words, tillage lowered water erosion-induced sediment transport. Overall, considering the overlooked impact of tillage erosion led to a substantial shift in the role of soil erosion on SOC dynamics. The climate mitigation measures based on adapted agricultural management to increase SOC sequestration are often in-line with soil conservation measures. Our results indicate that such an adaptation might be less effective as the erosion-induced C sink effect declines.","author":[{"dropping-particle":"","family":"Juřicová","given":"Anna","non-dropping-particle":"","parse-names":false,"suffix":""},{"dropping-particle":"","family":"Öttl","given":"Lena Katharina","non-dropping-particle":"","parse-names":false,"suffix":""},{"dropping-particle":"","family":"Wilken","given":"Florian","non-dropping-particle":"","parse-names":false,"suffix":""},{"dropping-particle":"","family":"Chuman","given":"Tomáš","non-dropping-particle":"","parse-names":false,"suffix":""},{"dropping-particle":"","family":"Žížala","given":"Daniel","non-dropping-particle":"","parse-names":false,"suffix":""},{"dropping-particle":"","family":"Minařík","given":"Robert","non-dropping-particle":"","parse-names":false,"suffix":""},{"dropping-particle":"","family":"Fiener","given":"Peter","non-dropping-particle":"","parse-names":false,"suffix":""}],"container-title":"Soil and Tillage Research","id":"ITEM-1","issue":"April 2023","issued":{"date-parts":[["2025"]]},"title":"Tillage erosion as an underestimated driver of carbon dynamics","type":"article-journal","volume":"245"},"uris":["http://www.mendeley.com/documents/?uuid=4d176c64-9164-40ad-ad30-f819b9d1faae"]},{"id":"ITEM-2","itemData":{"DOI":"10.1038/s41598-019-53077-6","ISSN":"20452322","PMID":"31719614","abstract":"Understanding the impact of tillage erosion on soil organic carbon (SOC) and nitrogen (N) fractions is essential for targeted soil conservation in mountainous and hilly areas. However, little is known about this issue. In this study, we selected a tillage erosion-dominated hillslope from the Sichuan Basin, China, to determine the effect of tillage erosion on particulate OC (POC), dissolved OC (DOC), light fraction OC (LFOC), ammonium N (NH4+-N), nitrate N (NO3−-N) and alkali-hydrolysable N (AN). Additionally, we investigated the microbial activities in relation to soil C and N dynamics, including soil microbial biomass, β-glucosidase and urease activities. Tillage erosion induced serious soil loss in upper slope positions and soil deposition in lower slope positions. The observations of the various labile OC fraction distributions across the hillslope suggest that tillage erosion exerts less impact on DOC and LFOC dynamics but a notable effect on POC. The distribution pattern in total organic carbon under tillage erosion mainly depends on POC redistribution. The POC redistribution is a major factor affecting microbial activities. The AN is more prone to the tillage erosion impact than NH4+-N and NO3−-N. Effective soil conservation measures should be taken to weaken the adverse impacts of tillage erosion on POC and AN redistribution in sloping farmlands.","author":[{"dropping-particle":"","family":"Nie","given":"Xiao Jun","non-dropping-particle":"","parse-names":false,"suffix":""},{"dropping-particle":"","family":"Zhang","given":"He Bing","non-dropping-particle":"","parse-names":false,"suffix":""},{"dropping-particle":"","family":"Su","given":"Yan Yan","non-dropping-particle":"","parse-names":false,"suffix":""}],"container-title":"Scientific Reports","id":"ITEM-2","issue":"1","issued":{"date-parts":[["2019"]]},"page":"1-8","title":"Soil carbon and nitrogen fraction dynamics affected by tillage erosion","type":"article-journal","volume":"9"},"uris":["http://www.mendeley.com/documents/?uuid=4461825c-ec39-481e-aed0-4adcf8eab402"]},{"id":"ITEM-3","itemData":{"DOI":"10.1146/annurev-earth-082517-010018","ISSN":"00846597","abstract":"Most of Earth's terrestrial surface is made up of sloping landscapes. The lateral distribution of topsoil by erosion controls the availability, stock, and persistence of essential elements in the terrestrial ecosystem. Over the last two decades, the role of soil erosion in biogeochemical cycling of essential elements has gained considerable interest from the climate, global change, and biogeochemistry communities after soil erosion and terrestrial sedimentation were found to induce a previously unaccounted terrestrial sink for atmospheric carbon dioxide. More recent studies have highlighted the role of erosion in the persistence of organic matter in soil and in the biogeochemical cycling of elements beyond carbon. Here we synthesize available knowledge and data on how erosion serves as a major driver of biogeochemical cycling of essential elements. We address implications of erosion-driven changes in biogeochemical cycles on the availability of essential elements for primary production, on the magnitude of elemental exports downstream, and on the exchange o</w:instrText>
      </w:r>
      <w:r w:rsidRPr="00EA688C">
        <w:rPr>
          <w:rFonts w:ascii="Times New Roman" w:hAnsi="Times New Roman" w:cs="Times New Roman"/>
          <w:color w:val="FF0000"/>
          <w:sz w:val="20"/>
          <w:szCs w:val="20"/>
          <w:lang w:val="fr-FR"/>
        </w:rPr>
        <w:instrText>f greenhouse gases from the terrestrial ecosystem to the atmosphere. Furthermore, we explore fates of eroded material and how terrestrial mass movement events play major roles in modifying Earth's climate.","author":[{"dropping-particle":"","family":"Berhe","given":"Asmeret Asefaw","non-dropping-particle":"","parse-names":false,"suffix":""},{"dropping-particle":"","family":"Barnes","given":"Rebecca T.","non-dropping-particle":"","parse-names":false,"suffix":""},{"dropping-particle":"","family":"Six","given":"Johan","non-dropping-particle":"","parse-names":false,"suffix":""},{"dropping-particle":"","family":"Marín-Spiotta","given":"Erika","non-dropping-particle":"","parse-names":false,"suffix":""}],"container-title":"Annual Review of Earth and Planetary Sciences","id":"ITEM-3","issue":"May","issued":{"date-parts":[["2018"]]},"page":"521-548","title":"Role of Soil Erosion in Biogeochemical Cycling of Essential Elements: Carbon, Nitrogen, and Phosphorus","type":"article-journal","volume":"46"},"uris":["http://www.mendeley.com/documents/?uuid=cfd18f7f-5471-4b10-9de1-ffb67c04a340"]}],"mendeley":{"formattedCitation":"(Berhe et al., 2018; Juřicová et al., 2025; Nie et al., 2019)","plainTextFormattedCitation":"(Berhe et al., 2018; Juřicová et al., 2025; Nie et al., 2019)","previouslyFormattedCitation":"(Berhe et al., 2018; Juřicová et al., 2025; Nie et al., 2019)"},"properties":{"noteIndex":0},"schema":"https://github.com/citation-style-language/schema/raw/master/csl-citation.json"}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Pr="00EA688C">
        <w:rPr>
          <w:rFonts w:ascii="Times New Roman" w:hAnsi="Times New Roman" w:cs="Times New Roman"/>
          <w:noProof/>
          <w:color w:val="FF0000"/>
          <w:sz w:val="20"/>
          <w:szCs w:val="20"/>
          <w:lang w:val="fr-FR"/>
        </w:rPr>
        <w:t>(Berhe et al., 2018; Juřicová et al., 2025; Nie et al., 2019)</w:t>
      </w:r>
      <w:r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lang w:val="fr-FR"/>
        </w:rPr>
        <w:t xml:space="preserve"> </w:t>
      </w:r>
      <w:proofErr w:type="spellStart"/>
      <w:r w:rsidRPr="00EA688C">
        <w:rPr>
          <w:rFonts w:ascii="Times New Roman" w:hAnsi="Times New Roman" w:cs="Times New Roman"/>
          <w:color w:val="FF0000"/>
          <w:sz w:val="20"/>
          <w:szCs w:val="20"/>
          <w:lang w:val="fr-FR"/>
        </w:rPr>
        <w:t>affecting</w:t>
      </w:r>
      <w:proofErr w:type="spellEnd"/>
      <w:r w:rsidRPr="00EA688C">
        <w:rPr>
          <w:rFonts w:ascii="Times New Roman" w:hAnsi="Times New Roman" w:cs="Times New Roman"/>
          <w:color w:val="FF0000"/>
          <w:sz w:val="20"/>
          <w:szCs w:val="20"/>
          <w:lang w:val="fr-FR"/>
        </w:rPr>
        <w:t xml:space="preserve"> </w:t>
      </w:r>
      <w:proofErr w:type="spellStart"/>
      <w:r w:rsidRPr="00EA688C">
        <w:rPr>
          <w:rFonts w:ascii="Times New Roman" w:hAnsi="Times New Roman" w:cs="Times New Roman"/>
          <w:color w:val="FF0000"/>
          <w:sz w:val="20"/>
          <w:szCs w:val="20"/>
          <w:lang w:val="fr-FR"/>
        </w:rPr>
        <w:t>crop</w:t>
      </w:r>
      <w:proofErr w:type="spellEnd"/>
      <w:r w:rsidRPr="00EA688C">
        <w:rPr>
          <w:rFonts w:ascii="Times New Roman" w:hAnsi="Times New Roman" w:cs="Times New Roman"/>
          <w:color w:val="FF0000"/>
          <w:sz w:val="20"/>
          <w:szCs w:val="20"/>
          <w:lang w:val="fr-FR"/>
        </w:rPr>
        <w:t xml:space="preserve"> </w:t>
      </w:r>
      <w:proofErr w:type="spellStart"/>
      <w:r w:rsidRPr="00EA688C">
        <w:rPr>
          <w:rFonts w:ascii="Times New Roman" w:hAnsi="Times New Roman" w:cs="Times New Roman"/>
          <w:color w:val="FF0000"/>
          <w:sz w:val="20"/>
          <w:szCs w:val="20"/>
          <w:lang w:val="fr-FR"/>
        </w:rPr>
        <w:t>biomass</w:t>
      </w:r>
      <w:proofErr w:type="spellEnd"/>
      <w:r w:rsidRPr="00EA688C">
        <w:rPr>
          <w:rFonts w:ascii="Times New Roman" w:hAnsi="Times New Roman" w:cs="Times New Roman"/>
          <w:color w:val="FF0000"/>
          <w:sz w:val="20"/>
          <w:szCs w:val="20"/>
          <w:lang w:val="fr-FR"/>
        </w:rPr>
        <w:t xml:space="preserve"> production </w:t>
      </w:r>
      <w:r w:rsidRPr="00EA688C">
        <w:rPr>
          <w:rFonts w:ascii="Times New Roman" w:hAnsi="Times New Roman" w:cs="Times New Roman"/>
          <w:color w:val="FF0000"/>
          <w:sz w:val="20"/>
          <w:szCs w:val="20"/>
        </w:rPr>
        <w:fldChar w:fldCharType="begin" w:fldLock="1"/>
      </w:r>
      <w:r w:rsidRPr="00EA688C">
        <w:rPr>
          <w:rFonts w:ascii="Times New Roman" w:hAnsi="Times New Roman" w:cs="Times New Roman"/>
          <w:color w:val="FF0000"/>
          <w:sz w:val="20"/>
          <w:szCs w:val="20"/>
          <w:lang w:val="fr-FR"/>
        </w:rPr>
        <w:instrText>ADDIN CSL_CITATION {"citationItems":[{"id":"ITEM-1","itemData":{"DOI":"10.1002/ldr.3968","ISSN":"1099145X","abstract":"Tillage erosion causes substantial soil redistribution that can exceed water erosion especially in hummocky landscapes under highly mechanized large field agriculture. Consequently, truncated soil profiles can be found on hill shoulders and top slopes, whereas colluvial material is accumulated at footslopes, in depressions, and along downslope field borders. We tested the hypothesis that soil erosion substantially affects in-field patterns of the enhanced vegetation index (EVI) of different crop types on landscape scale. The interrelation between the EVI (RAPIDEYE satellite data; 5 m spatial resolution) as a proxy for crop biomass and modeled total soil erosion (tillage and water erosion modeled using SPEROS-C) was analyzed for the Quillow catchment (size: 196 km2) in Northeast Germany in a wet versus normal year for four crop types (winter wheat, maize, winter rapeseed, winter barley). Our findings clearly indicate that eroded areas had the lowest EVI values, while the highest EVI values were found in depositional areas. The differences in the EVI between erosional and depositional sites are more pronounced in the analyzed normal year. The net effect of total erosion on the EVI compared to areas without pronounced erosion or deposition ranged from −10.2% for mai</w:instrText>
      </w:r>
      <w:r w:rsidRPr="00EA688C">
        <w:rPr>
          <w:rFonts w:ascii="Times New Roman" w:hAnsi="Times New Roman" w:cs="Times New Roman"/>
          <w:color w:val="FF0000"/>
          <w:sz w:val="20"/>
          <w:szCs w:val="20"/>
        </w:rPr>
        <w:instrText>ze in the normal year to +3.7% for winter barley in the wet year. Tillage erosion has been identified as an important driver of soil degradation affecting in-field crop biomass patterns in a hummocky ground moraine landscape. While soil erosion estimates are to be made, more attention should be given toward tillage erosion.","author":[{"dropping-particle":"","family":"Öttl","given":"Lena Katharina","non-dropping-particle":"","parse-names":false,"suffix":""},{"dropping-particle":"","family":"Wilken","given":"Florian","non-dropping-particle":"","parse-names":false,"suffix":""},{"dropping-particle":"","family":"Auerswald","given":"Karl","non-dropping-particle":"","parse-names":false,"suffix":""},{"dropping-particle":"","family":"Sommer","given":"Michael","non-dropping-particle":"","parse-names":false,"suffix":""},{"dropping-particle":"","family":"Wehrhan","given":"Marc","non-dropping-particle":"","parse-names":false,"suffix":""},{"dropping-particle":"","family":"Fiener","given":"Peter","non-dropping-particle":"","parse-names":false,"suffix":""}],"container-title":"Land Degradation and Development","id":"ITEM-1","issue":"10","issued":{"date-parts":[["2021"]]},"page":"3077-3091","title":"Tillage erosion as an important driver of in-field biomass patterns in an intensively used hummocky landscape","type":"article-journal","volume":"32"},"uris":["http://www.mendeley.com/documents/?uuid=57e124d9-e594-4064-803d-95bff20c472b"]},{"id":"ITEM-2","itemData":{"DOI":"10.1016/S0167-1987(00)00175-6","ISSN":"01671987","abstract":"Tillage operations transport large amounts of soil from convex slopes and deposit on concavities in hilly cultivated areas. Field experiment was conducted to assess tillage induced soil displacement and its effects on soil properties and wheat (Triticum aestivum L.) biomass production. The study was done on 3.5 ha fertilized and wheat seeded hillslope (14-21% slope) located 100 km north of Athens, Greece. Numbered aluminum cylinders (700), each 10 mm diameter by 10 mm height, were buried in soil as soil movement tracers (SMTs) to estimate soil displacement as a function of moldboard plowing with two depths in up-slope and down-slope directions. Furthermore, clay, organic matter, rock fragment content, phosphorus and 137Cs were determined on 81 soil bulk cores to estimate soil redistribution rates along the study hillslope. Soil depth and soil water storage were measured in 81 soil sites and related to the wheat biomass production. The mean SMT displacement distance due to 25-cm plow depth on 21% slope was 42 cm for down-slope tillage and 16 cm for up-slope tillage. Comparable values were 31 cm for down-slope and 14 cm for up-slope tillage on 14% slope gradient. The SMT distance for both tillage directions on 21% slope was about 60% less for 18-cm plow depth compared with 25-cm plow depth. Shallow soil (depth &lt;25 cm) was observed on convex slope with greater percentages of sand, rock fragments, organic matter and lower percentages of clay and available water. In contrast, deeper soil (depth &gt;70 cm) was found on lower concavities where displaced soil was deposited. The spatial pattern or 137Cs inventories suggests that tillage erosion is a major erosion process in the study area. The maximum leaf area index of wheat was 2.8 for convex slope and 3.6 for concave slope. Wheat biomass, ranging from 0.2 to 1.2 kg m-2, increased logarithmically with increased soil depth. Moldboard plowing displaced large amounts of soil from convex slope which changed soil properties to less favorable for wheat production. Application of the obtained empirical functions showed that under the existing climatic conditions and management practices, the unprofitably productive area will increase from 4.1 to 6.8% in a period of 7 years. © 2001 Elsevier Science B.V.","author":[{"dropping-particle":"","family":"Kosmas","given":"C.","non-dropping-particle":"","parse-names":false,"suffix":""},{"dropping-particle":"","family":"Gerontidis","given":"St","non-dropping-particle":"","parse-names":false,"suffix":""},{"dropping-particle":"","family":"Marathianou","given":"M.","non-dropping-particle":"","parse-names":false,"suffix":""},{"dropping-particle":"","family":"Detsis","given":"B.","non-dropping-particle":"","parse-names":false,"suffix":""},{"dropping-particle":"","family":"Zafiriou","given":"Th","non-dropping-particle":"","parse-names":false,"suffix":""},{"dropping-particle":"","family":"Nan Muysen","given":"W.","non-dropping-particle":"","parse-names":false,"suffix":""},{"dropping-particle":"","family":"Govers","given":"G.","non-dropping-particle":"","parse-names":false,"suffix":""},{"dropping-particle":"","family":"Quine","given":"T.","non-dropping-particle":"","parse-names":false,"suffix":""},{"dropping-particle":"","family":"Vanoost","given":"K.","non-dropping-particle":"","parse-names":false,"suffix":""}],"container-title":"Soil and Tillage Research","id":"ITEM-2","issue":"1-2","issued":{"date-parts":[["2001"]]},"page":"31-44","title":"The effects of tillage displaced soil on soil properties and wheat biomass","type":"article-journal","volume":"58"},"uris":["http://www.mendeley.com/documents/?uuid=bfc1a4ad-3b5b-4b54-a1a4-bc6c911af1da"]}],"mendeley":{"formattedCitation":"(Kosmas et al., 2001; Öttl et al., 2021)","plainTextFormattedCitation":"(Kosmas et al., 2001; Öttl et al., 2021)","previouslyFormattedCitation":"(Kosmas et al., 2001; Öttl et al., 2021)"},"properties":{"noteIndex":0},"schema":"https://github.com/citation-style-language/schema/raw/master/csl-citation.json"}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Pr="00EA688C">
        <w:rPr>
          <w:rFonts w:ascii="Times New Roman" w:hAnsi="Times New Roman" w:cs="Times New Roman"/>
          <w:noProof/>
          <w:color w:val="FF0000"/>
          <w:sz w:val="20"/>
          <w:szCs w:val="20"/>
        </w:rPr>
        <w:t>(Kosmas et al., 2001; Öttl et al., 2021)</w:t>
      </w:r>
      <w:r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w:t>
      </w:r>
    </w:p>
    <w:p w14:paraId="232CBBAB" w14:textId="47AB0DAC" w:rsidR="008663E1" w:rsidRPr="00EA688C" w:rsidRDefault="008663E1" w:rsidP="00CB75FE">
      <w:pPr>
        <w:spacing w:line="360" w:lineRule="auto"/>
        <w:ind w:firstLine="708"/>
        <w:jc w:val="both"/>
        <w:rPr>
          <w:rFonts w:ascii="Times New Roman" w:hAnsi="Times New Roman" w:cs="Times New Roman"/>
          <w:color w:val="FF0000"/>
          <w:sz w:val="20"/>
          <w:szCs w:val="20"/>
        </w:rPr>
      </w:pPr>
      <w:r w:rsidRPr="00EA688C">
        <w:rPr>
          <w:rFonts w:ascii="Times New Roman" w:hAnsi="Times New Roman" w:cs="Times New Roman"/>
          <w:color w:val="FF0000"/>
          <w:sz w:val="20"/>
          <w:szCs w:val="20"/>
        </w:rPr>
        <w:t xml:space="preserve">The drive for greater operational efficiency in crop production has led to machinery innovations that have accelerated the pace of tillage erosion, shortening its timeline from centuries </w:t>
      </w:r>
      <w:r w:rsidRPr="00EA688C">
        <w:rPr>
          <w:rFonts w:ascii="Times New Roman" w:hAnsi="Times New Roman" w:cs="Times New Roman"/>
          <w:color w:val="FF0000"/>
          <w:sz w:val="20"/>
          <w:szCs w:val="20"/>
        </w:rPr>
        <w:fldChar w:fldCharType="begin" w:fldLock="1"/>
      </w:r>
      <w:r w:rsidRPr="00EA688C">
        <w:rPr>
          <w:rFonts w:ascii="Times New Roman" w:hAnsi="Times New Roman" w:cs="Times New Roman"/>
          <w:color w:val="FF0000"/>
          <w:sz w:val="20"/>
          <w:szCs w:val="20"/>
        </w:rPr>
        <w:instrText>ADDIN CSL_CITATION {"citationItems":[{"id":"ITEM-1","itemData":{"DOI":"10.1002/esp.4671","ISSN":"10969837","abstract":"Humans have triggered or accelerated erosion processes since prehistoric times through agricultural practices. Optically stimulated luminescence (OSL) is widely used to quantify phases and rates of the corresponding landscape change, by measuring the last moment of daylight exposure of sediments. However, natural and anthropogenic mixing processes, such as bioturbation and tillage, complicate the use of OSL as grains of different depositional ages become mixed, and grains become exposed to light even long after the depositional event of interest. Instead, OSL determines the stabilization age, indicating when sediments were buried below the active mixing zone. These stabilization ages can cause systematic underestimation when calculating deposition rates. Our focus is on colluvial deposition in a kettle hole in the Uckermark region, northeastern Germany. We took 32 samples from five locations in the colluvium filling the kettle hole to study both spatial and temporal patterns in colluviation. We combined OSL dating with advanced age modelling to determine the stabilization age of colluvial sediments. These ages were combined with an archaeological reconstruction of historical ploughing depths to derive the levels of the soil surface at the moment of stabilization; the deposition depths, which were then used to calculate unbiased deposition rates. We identified two phases of colluvial deposition. The oldest deposits (~5 ka) were located at the fringe of the kettle hole and accumulated relatively slowly, whereas the youngest deposits (&lt;0.3 ka) rapidly filled the central kettle hole with rates of two orders of magnitude higher. We suggest that the latter phase is related to artificial drainage, facilitating accessibility in the central depression for agricultural practices. Our results show the need for numerical dating techniques that take archaeological and soil-geomorphological information into account to identify spatiotemporal patterns of landscape change, and to correctly interpret landscape dynamics in anthropogenically influenced hilly landscapes. © 2019 The Authors. Earth Surface Processes and Landforms Published by John Wiley &amp; Sons Ltd.","author":[{"dropping-particle":"","family":"Meij","given":"W. M.","non-dropping-particle":"van der","parse-names":false,"suffix":""},{"dropping-particle":"","family":"Reimann","given":"T.","non-dropping-particle":"","parse-names":false,"suffix":""},{"dropping-particle":"","family":"Vornehm","given":"V. K.","non-dropping-particle":"","parse-names":false,"suffix":""},{"dropping-particle":"","family":"Temme","given":"A. J.A.M.","non-dropping-particle":"","parse-names":false,"suffix":""},{"dropping-particle":"","family":"Wallinga","given":"J.","non-dropping-particle":"","parse-names":false,"suffix":""},{"dropping-particle":"","family":"Beek","given":"R.","non-dropping-particle":"van","parse-names":false,"suffix":""},{"dropping-particle":"","family":"Sommer","given":"M.","non-dropping-particle":"","parse-names":false,"suffix":""}],"container-title":"Earth Surface Processes and Landforms","id":"ITEM-1","issue":"12","issued":{"date-parts":[["2019"]]},"page":"2408-2422","title":"Reconstructing rates and patterns of colluvial soil redistribution in agrarian (hummocky) landscapes","type":"article-journal","volume":"44"},"uris":["http://www.mendeley.com/documents/?uuid=dde0c9a0-1ca4-431a-8e3b-be42b2f1fb3b"]},{"id":"ITEM-2","itemData":{"DOI":"10.1038/s43016-022-00533-8","ISSN":"26621355","abstract":"Soils used for crop production cover 15.5 million km2 and almost all have been tilled at some point in their history. However, it is unclear how the changes in soil depth and soil properties associated with tillage affect crop yields. Here we show that tillage on slopes thins soils and reduces wheat and maize yields. At the landscape scale, tillage erosion gradually reduces crop yields as the duration and intensity of tillage increase. Over the next 50–100 yr, the overall yields are likely to further decline as modern mechanized agriculture accelerates the process of tillage erosion compared with centuries of non-mechanized tillage. Arresting this downward trend will require more widespread adoption of no-tillage practices and avoidance of down-slope cultivation. The downward pressure on landscape-scale yields due to tillage erosion is expected to be amplified by climate-change-induced increases in dry spells during crop growth.","author":[{"dropping-particle":"","family":"Quinton","given":"John N.","non-dropping-particle":"","parse-names":false,"suffix":""},{"dropping-particle":"","family":"Öttl","given":"Lena K.","non-dropping-particle":"","parse-names":false,"suffix":""},{"dropping-particle":"","family":"Fiener","given":"Peter","non-dropping-particle":"","parse-names":false,"suffix":""}],"container-title":"Nature Food","id":"ITEM-2","issue":"6","issued":{"date-parts":[["2022"]]},"page":"472-479","publisher":"Springer US","title":"Tillage exacerbates the vulnerability of cereal crops to drought","type":"article-journal","volume":"3"},"uris":["http://www.mendeley.com/documents/?uuid=900ca38d-536a-43f5-88cf-01dda774e40a"]}],"mendeley":{"formattedCitation":"(van der Meij et al., 2019; Quinton et al., 2022)","plainTextFormattedCitation":"(van der Meij et al., 2019; Quinton et al., 2022)","previouslyFormattedCitation":"(van der Meij et al., 2019; Quinton et al., 2022)"},"properties":{"noteIndex":0},"schema":"https://github.com/citation-style-language/schema/raw/master/csl-citation.json"}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Pr="00EA688C">
        <w:rPr>
          <w:rFonts w:ascii="Times New Roman" w:hAnsi="Times New Roman" w:cs="Times New Roman"/>
          <w:noProof/>
          <w:color w:val="FF0000"/>
          <w:sz w:val="20"/>
          <w:szCs w:val="20"/>
        </w:rPr>
        <w:t>(van der Meij et al., 2019; Quinton et al., 2022)</w:t>
      </w:r>
      <w:r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to mere decades. This intensification is largely driven by increased tillage depths and speeds, which enhance soil translocation </w:t>
      </w:r>
      <w:r w:rsidRPr="00EA688C">
        <w:rPr>
          <w:rFonts w:ascii="Times New Roman" w:hAnsi="Times New Roman" w:cs="Times New Roman"/>
          <w:color w:val="FF0000"/>
          <w:sz w:val="20"/>
          <w:szCs w:val="20"/>
        </w:rPr>
        <w:fldChar w:fldCharType="begin" w:fldLock="1"/>
      </w:r>
      <w:r w:rsidRPr="00EA688C">
        <w:rPr>
          <w:rFonts w:ascii="Times New Roman" w:hAnsi="Times New Roman" w:cs="Times New Roman"/>
          <w:color w:val="FF0000"/>
          <w:sz w:val="20"/>
          <w:szCs w:val="20"/>
        </w:rPr>
        <w:instrText>ADDIN CSL_CITATION {"citationItems":[{"id":"ITEM-1","itemData":{"author":[{"dropping-particle":"","family":"Kietzer","given":"Barbara","non-dropping-particle":"","parse-names":false,"suffix":""}],"container-title":"Fakultät VI - Planen Bauen Umwelt","id":"ITEM-1","issued":{"date-parts":[["2007"]]},"page":"136","title":"Aufklärung der Bodenverlagerung durch Bearbeitungserosion in Jungmoränenlandschaften","type":"article-journal","volume":"Dr.-Ing."},"uris":["http://www.mendeley.com/documents/?uuid=15195bd7-4a28-48e8-bbad-7cbccfeb5b05"]},{"id":"ITEM-2","itemData":{"DOI":"10.1191/0309133306pp487ra","ISSN":"03091333","abstract":"Tillage erosion has been identified as an important global soil degradation process that has to be accounted for when assessing the erosional impacts on soil productivity, environmental quality or landscape evolution. In this paper, we present a summary of available data describing tillage erosion. This provides insights in the controlling factors determining soil redistribution rates and patterns by tillage for various implements used in both mechanized and non-mechanized agriculture. Variations in tillage depth and tillage direction cause the largest variations in soil redistribution rates, although other factors, such as tillage speed and implement characteristics, also play an important role. In general, decreasing tillage depth and ploughing along the contour lines substantially reduce tillage erosion rates and can be considered as effective soil conservation strategies. Implement erosivities reported in literature, characterized by the tillage transport coefficient, are very consistent and range in the order of 400-800 kg m-1 yr-1 and 70-260 kg m-1 yr-1 for mechanized and non-mechanized agriculture, respectively. Comparison of tillage erosion rates with water erosion rates using a global data set indicates that tillage erosion rates are at least in the same order of magnitude or higher than water erosion rates, in almost all cases. Finally, we discuss how tillage erosion increases the spatial variability of soil properties and affects soil nutrient cycling. Considering the widespread use of tillage practices, the high redistribution rates associated with the process and its direct effect on soil properties, it is clear that tillage erosion should be considered in soil landscape studies. © 2006 SAGE Publications.","author":[{"dropping-particle":"","family":"Oost","given":"K.","non-dropping-particle":"Van","parse-names":false,"suffix":""},{"dropping-particle":"","family":"Govers","given":"G.","non-dropping-particle":"","parse-names":false,"suffix":""},{"dropping-particle":"","family":"Alba","given":"S.","non-dropping-particle":"de","parse-names":false,"suffix":""},{"dropping-particle":"","family":"Quine","given":"T. A.","non-dropping-particle":"","parse-names":false,"suffix":""}],"container-title":"Progress in Physical Geography","id":"ITEM-2","issue":"4","issued":{"date-parts":[["2006"]]},"page":"443-466","title":"Tillage erosion: A review of controlling factors and implications for soil quality","type":"article-journal","volume":"30"},"uris":["http://www.mendeley.com/documents/?uuid=7e5f7e50-0f1f-4ed4-b433-4de2a42234eb"]},{"id":"ITEM-3","itemData":{"DOI":"10.1038/s41598-022-24749-7","ISBN":"0123456789","ISSN":"20452322","PMID":"36456592","abstract":"Tillage erosion is a widely underestimated process initiating soil degradation especially in case of large agricultural fields located in rolling topography. It is often assumed that, conservation, non-inversion tillage causes less tillage erosion than conventional inversion tillage. In this study, tillage erosion was determined on three paired plots comparing non-inversion chisel versus inversion mouldboard tillage. The experiments were performed at three sites in Northeast Germany with gentle, moderate, and steep slope, while tillage depth (0.25 m) and speed (≈ 6 km h−1) were kept constant during all experiments. The results indicate that non-inversion tillage produces significantly more soil movement compared to inversion tillage. The soil translocation distance was by a factor of 1.3–2.1 larger in case of chisel tillage. The largest difference in translocation distance and tillage transport coefficient (ktil) was found on the gentle slope exhibiting the lowest soil cohesion. Our results together with an evaluation of ktil values derived from literature and standardised for 0.25 m tillage depth contradict the general assumption that non-inversion tillage reduces tillage erosion. In tillage erosion dominated areas, non-inversion tillage applied with high tillage speed and depth potentially increases tillage erosion and fails its purpose to serve as soil conservation measure.","author":[{"dropping-particle":"","family":"Öttl","given":"L. K.","non-dropping-particle":"","parse-names":false,"suffix":""},{"dropping-particle":"","family":"Wilken","given":"F.","non-dropping-particle":"","parse-names":false,"suffix":""},{"dropping-particle":"","family":"Hupfer","given":"A.","non-dropping-particle":"","parse-names":false,"suffix":""},{"dropping-particle":"","family":"Sommer","given":"M.","non-dropping-particle":"","parse-names":false,"suffix":""},{"dropping-particle":"","family":"Fiener","given":"P.","non-dropping-particle":"","parse-names":false,"suffix":""}],"container-title":"Scientific Reports","id":"ITEM-3","issue":"1","issued":{"date-parts":[["2022"]]},"page":"1-12","publisher":"Nature Publishing Group UK","title":"Non-inversion conservation tillage as an underestimated driver of tillage erosion","type":"article-journal","volume":"12"},"uris":["http://www.mendeley.com/documents/?uuid=93c5e702-4d1d-419f-896c-fb8fae1ee330"]}],"mendeley":{"formattedCitation":"(Kietzer, 2007; Van Oost et al., 2006; Öttl et al., 2022)","plainTextFormattedCitation":"(Kietzer, 2007; Van Oost et al., 2006; Öttl et al., 2022)","previouslyFormattedCitation":"(Kietzer, 2007; Van Oost et al., 2006; Öttl et al., 2022)"},"properties":{"noteIndex":0},"schema":"https://github.com/citation-style-language/schema/raw/master/csl-citation.json"}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Pr="00EA688C">
        <w:rPr>
          <w:rFonts w:ascii="Times New Roman" w:hAnsi="Times New Roman" w:cs="Times New Roman"/>
          <w:noProof/>
          <w:color w:val="FF0000"/>
          <w:sz w:val="20"/>
          <w:szCs w:val="20"/>
        </w:rPr>
        <w:t>(Kietzer, 2007; Van Oost et al., 2006; Öttl et al., 2022)</w:t>
      </w:r>
      <w:r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and hasten the leveling of hummocky landscapes </w:t>
      </w:r>
      <w:r w:rsidRPr="00EA688C">
        <w:rPr>
          <w:rFonts w:ascii="Times New Roman" w:hAnsi="Times New Roman" w:cs="Times New Roman"/>
          <w:color w:val="FF0000"/>
          <w:sz w:val="20"/>
          <w:szCs w:val="20"/>
        </w:rPr>
        <w:fldChar w:fldCharType="begin" w:fldLock="1"/>
      </w:r>
      <w:r w:rsidRPr="00EA688C">
        <w:rPr>
          <w:rFonts w:ascii="Times New Roman" w:hAnsi="Times New Roman" w:cs="Times New Roman"/>
          <w:color w:val="FF0000"/>
          <w:sz w:val="20"/>
          <w:szCs w:val="20"/>
        </w:rPr>
        <w:instrText>ADDIN CSL_CITATION {"citationItems":[{"id":"ITEM-1","itemData":{"DOI":"10.1002/esp.4250","ISSN":"10969837","abstract":"Soil erosion is a geomorphological and, at the same time, a land degradation process that may cause environmental and property damage, loss of livelihoods and services as well as social and economic disruption. Erosion not only lowers soil quality on-site, but causes also significant sediment-related problems off-site. Given the large number of research papers on this topic, one might therefore conclude that we know now almost everything about soil erosion and its control so that little new knowledge can be added. This conclusion can be refuted by pointing to some major research gaps. There is a need for more research attention to (1) improved understanding of both natural and anthropogenic soil erosion processes and their interactions, (2) scaling up soil erosion processes and rates in space and time, and (3) innovative techniques and strategies to prevent soil erosion or reduce erosion rates. This is illustrated with various case studies from around the world. If future research addresses these research gaps, we will (1) better understand processes and their interactions operating at a range of spatial and temporal scales, predict their rates as well as their on-site and off-site impacts, which is academically spoken rewarding but also crucial for better targeting erosion control measures, and (2) we will be in a better position to select the most appropriate and effective soil erosion control techniques and strategies which are highly necessary for a sustainable use of soils in the Anthropocene. Copyright © 2017 John Wiley &amp; Sons, Ltd.","author":[{"dropping-particle":"","family":"Poesen","given":"Jean","non-dropping-particle":"","parse-names":false,"suffix":""}],"container-title":"Earth Surface Processes and Landforms","id":"ITEM-1","issue":"1","issued":{"date-parts":[["2018"]]},"page":"64-84","title":"Soil erosion in the Anthropocene: Research needs","type":"article-journal","volume":"43"},"uris":["http://www.mendeley.com/documents/?uuid=d9af54c8-af4c-4df7-83b6-5ff30845a06d"]},{"id":"ITEM-2","itemData":{"DOI":"10.1002/esp.4671","ISSN":"10969837","abstract":"Humans have triggered or accelerated erosion processes since prehistoric times through agricultural practices. Optically stimulated luminescence (OSL) is widely used to quantify phases and rates of the corresponding landscape change, by measuring the last moment of daylight exposure of sediments. However, natural and anthropogenic mixing processes, such as bioturbation and tillage, complicate the use of OSL as grains of different depositional ages become mixed, and grains become exposed to light even long after the depositional event of interest. Instead, OSL determines the stabilization age, indicating when sediments were buried below the active mixing zone. These stabilization ages can cause systematic underestimation when calculating deposition rates. Our focus is on colluvial deposition in a kettle hole in the Uckermark region, northeastern Germany. We took 32 samples from five locations in the colluvium filling the kettle hole to study both spatial and temporal patterns in colluviation. We combined OSL dating with advanced age modelling to determine the stabilization age of colluvial sediments. These ages were combined with an archaeological reconstruction of historical ploughing depths to derive the levels of the soil surface at the moment of stabilization; the deposition depths, which were then used to calculate unbiased deposition rates. We identified two phases of colluvial deposition. The oldest deposits (~5 ka) were located at the fringe of the kettle hole and accumulated relatively slowly, whereas the youngest deposits (&lt;0.3 ka) rapidly filled the central kettle hole with rates of two orders of magnitude higher. We suggest that the latter phase is related to artificial drainage, facilitating accessibility in the central depression for agricultural practices. Our results show the need for numerical dating techniques that take archaeological and soil-geomorphological information into account to identify spatiotemporal patterns of landscape change, and to correctly interpret landscape dynamics in anthropogenically influenced hilly landscapes. © 2019 The Authors. Earth Surface Processes and Landforms Published by John Wiley &amp; Sons Ltd.","author":[{"dropping-particle":"","family":"Meij","given":"W. M.","non-dropping-particle":"van der","parse-names":false,"suffix":""},{"dropping-particle":"","family":"Reimann","given":"T.","non-dropping-particle":"","parse-names":false,"suffix":""},{"dropping-particle":"","family":"Vornehm","given":"V. K.","non-dropping-particle":"","parse-names":false,"suffix":""},{"dropping-particle":"","family":"Temme","given":"A. J.A.M.","non-dropping-particle":"","parse-names":false,"suffix":""},{"dropping-particle":"","family":"Wallinga","given":"J.","non-dropping-particle":"","parse-names":false,"suffix":""},{"dropping-particle":"","family":"Beek","given":"R.","non-dropping-particle":"van","parse-names":false,"suffix":""},{"dropping-particle":"","family":"Sommer","given":"M.","non-dropping-particle":"","parse-names":false,"suffix":""}],"container-title":"Earth Surface Processes and Landforms","id":"ITEM-2","issue":"12","issued":{"date-parts":[["2019"]]},"page":"2408-2422","title":"Reconstructing rates and patterns of colluvial soil redistribution in agrarian (hummocky) landscapes","type":"article-journal","volume":"44"},"uris":["http://www.mendeley.com/documents/?uuid=dde0c9a0-1ca4-431a-8e3b-be42b2f1fb3b"]}],"mendeley":{"formattedCitation":"(van der Meij et al., 2019; Poesen, 2018)","plainTextFormattedCitation":"(van der Meij et al., 2019; Poesen, 2018)","previouslyFormattedCitation":"(van der Meij et al., 2019; Poesen, 2018)"},"properties":{"noteIndex":0},"schema":"https://github.com/citation-style-language/schema/raw/master/csl-citation.json"}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Pr="00EA688C">
        <w:rPr>
          <w:rFonts w:ascii="Times New Roman" w:hAnsi="Times New Roman" w:cs="Times New Roman"/>
          <w:noProof/>
          <w:color w:val="FF0000"/>
          <w:sz w:val="20"/>
          <w:szCs w:val="20"/>
        </w:rPr>
        <w:t>(van der Meij et al., 2019; Poesen, 2018)</w:t>
      </w:r>
      <w:r w:rsidRPr="00EA688C">
        <w:rPr>
          <w:rFonts w:ascii="Times New Roman" w:hAnsi="Times New Roman" w:cs="Times New Roman"/>
          <w:color w:val="FF0000"/>
          <w:sz w:val="20"/>
          <w:szCs w:val="20"/>
        </w:rPr>
        <w:fldChar w:fldCharType="end"/>
      </w:r>
      <w:r w:rsidR="00CB75FE" w:rsidRPr="00EA688C">
        <w:rPr>
          <w:rFonts w:ascii="Times New Roman" w:hAnsi="Times New Roman" w:cs="Times New Roman"/>
          <w:color w:val="FF0000"/>
          <w:sz w:val="20"/>
          <w:szCs w:val="20"/>
        </w:rPr>
        <w:t xml:space="preserve">. </w:t>
      </w:r>
      <w:r w:rsidRPr="00EA688C">
        <w:rPr>
          <w:rFonts w:ascii="Times New Roman" w:hAnsi="Times New Roman" w:cs="Times New Roman"/>
          <w:color w:val="FF0000"/>
          <w:sz w:val="20"/>
          <w:szCs w:val="20"/>
        </w:rPr>
        <w:t>Locations experiencing the most intense soil erosion expose subsoils enriched in mineral content characterized by unsaturated reactive surfaces, which promote the stabilization of carbon derived from plant and microbial sources</w:t>
      </w:r>
      <w:r w:rsidR="00DE4B28" w:rsidRPr="00EA688C">
        <w:rPr>
          <w:rFonts w:ascii="Times New Roman" w:hAnsi="Times New Roman" w:cs="Times New Roman"/>
          <w:color w:val="FF0000"/>
          <w:sz w:val="20"/>
          <w:szCs w:val="20"/>
        </w:rPr>
        <w:t xml:space="preserve"> </w:t>
      </w:r>
      <w:r w:rsidR="00DE4B28" w:rsidRPr="00EA688C">
        <w:rPr>
          <w:rFonts w:ascii="Times New Roman" w:hAnsi="Times New Roman" w:cs="Times New Roman"/>
          <w:color w:val="FF0000"/>
          <w:sz w:val="20"/>
          <w:szCs w:val="20"/>
        </w:rPr>
        <w:fldChar w:fldCharType="begin" w:fldLock="1"/>
      </w:r>
      <w:r w:rsidR="00DE4B28" w:rsidRPr="00EA688C">
        <w:rPr>
          <w:rFonts w:ascii="Times New Roman" w:hAnsi="Times New Roman" w:cs="Times New Roman"/>
          <w:color w:val="FF0000"/>
          <w:sz w:val="20"/>
          <w:szCs w:val="20"/>
        </w:rPr>
        <w:instrText>ADDIN CSL_CITATION {"citationItems":[{"id":"ITEM-1","itemData":{"DOI":"10.1016/j.earscirev.2015.12.005","ISSN":"00128252","abstract":"The role of soil erosion in terrestrial carbon (C) sequestration and release remains one of the most important uncertainties in our attempts to determine the potential of soils to mediate climate change. Despite its widely recognized importance for terrestrial C sequestration, to date, no Earth System Model (ESM) implements soil erosion effects on carbon cycling in sufficient detail. So far, available studies have mostly investigated the magnitude of erosional C transport and in-situ measurements of vertical C fluxes on the catchment or regional scale. Recognizing the need to adequately represent C erosion processes and controls in ESMs, we provide a comprehensive cross-disciplinary review on lateral C redistribution in the landscape and discuss the implications for biogeochemical cycling of carbon. We present current knowledge on the role of erosional C distribution in controlling the stabilization and release of C in soils, taking into consideration the important geomorphic, ecological, hydrologic, pedologic and micro-climatic processes and controls that affect soil organic carbon (SOC) stock, fluxes, and persistence in dynamic landscapes. Further, we provide an overview on latest experimental and modelling approaches that are being used to investigate the role of erosion in the carbon cycle. Finally, to advance our understanding of the role of soil redistribution in biogeochemical cycles of essential elements, we discuss the most promising topics for future research in this field.","author":[{"dropping-particle":"","family":"Doetterl","given":"Sebastian","non-dropping-particle":"","parse-names":false,"suffix":""},{"dropping-particle":"","family":"Berhe","given":"Asmeret Asefaw","non-dropping-particle":"","parse-names":false,"suffix":""},{"dropping-particle":"","family":"Nadeu","given":"Elisabet","non-dropping-particle":"","parse-names":false,"suffix":""},{"dropping-particle":"","family":"Wang","given":"Zhengang","non-dropping-particle":"","parse-names":false,"suffix":""},{"dropping-particle":"","family":"Sommer","given":"Michael","non-dropping-particle":"","parse-names":false,"suffix":""},{"dropping-particle":"","family":"Fiener","given":"Peter","non-dropping-particle":"","parse-names":false,"suffix":""}],"container-title":"Earth-Science Reviews","id":"ITEM-1","issued":{"date-parts":[["2016"]]},"page":"102-122","title":"Erosion, deposition and soil carbon: A review of process-level controls, experimental tools and models to address C cycling in dynamic landscapes","type":"article-journal","volume":"154"},"uris":["http://www.mendeley.com/documents/?uuid=52232f73-d755-441c-a1cc-d2c6faffa1a5"]},{"id":"ITEM-2","itemData":{"DOI":"10.1007/s11104-018-3724-4","ISSN":"15735036","abstract":"Aims: The goal of this work was to quantitatively describe the influence of soil erosion on the distribution of recently assimilated carbon (C) within the plant-soil system and different soil fractions. Methods: Surface soil was manipulated in the field to simulate a strong erosion event, and maize plants were cultivated in a growth chamber using soil material from the manipulated (eroded) and non-eroded sites. The maize plants were pulse labeled with 14C-labeled carbon dioxide (CO2) at the start of flowering, and C partitioning within the plants and the distribution of recently assimilated C into organo-mineral soil fractions of different particle size were assessed after 25 days. Results: The distribution of C differed significantly between the particle size fractions separated from the soil material of the eroded and non-eroded sites. For example, a much higher percentage of 14C was found in macro-aggregate-occluded organic particles of the eroded soil than in the same fraction of soil from the non-eroded site. Furthermore, a significantly higher absolute amount of recently assimilated C was found in the &lt; 20-μ m mineral particles and aggregates of the eroded soil than in the same particle fraction of the non-eroded soil. We show that this C is most likely derived from rhizodeposition or metabolites originating from the microbial decomposition of rhizodeposits. Conclusions: The findings provide experimental evidence of the concept of the “dynamic replacement” of organic C (OC) losses due to erosion by C derived from crops growing on eroded soils. The rapid and enhanced sorption of recently assimilated C on the surfaces of mineral particles and occlusion in aggregates &lt; 20 μ m confirms the role of erosion processes in creating an immediate terrestrial C sink with the potential to enhance long-term soil C storage.","author":[{"dropping-particle":"","family":"Remus","given":"Rainer","non-dropping-particle":"","parse-names":false,"suffix":""},{"dropping-particle":"","family":"Kaiser","given":"Michael","non-dropping-particle":"","parse-names":false,"suffix":""},{"dropping-particle":"","family":"Kleber","given":"Markus","non-dropping-particle":"","parse-names":false,"suffix":""},{"dropping-particle":"","family":"Augustin","given":"Jürgen","non-dropping-particle":"","parse-names":false,"suffix":""},{"dropping-particle":"","family":"Sommer","given":"Michael","non-dropping-particle":"","parse-names":false,"suffix":""}],"container-title":"Plant and Soil","id":"ITEM-2","issue":"1-2","issued":{"date-parts":[["2018"]]},"page":"329-348","title":"Demonstration of the rapid incorporation of carbon into protective, mineral-associated organic carbon fractions in an eroded soil from the CarboZALF experimental site","type":"article-journal","volume":"430"},"uris":["http://www.mendeley.com/documents/?uuid=007273df-e77c-4c4a-9e3c-57c5318eb43a"]}],"mendeley":{"formattedCitation":"(Doetterl et al., 2016; Remus et al., 2018)","plainTextFormattedCitation":"(Doetterl et al., 2016; Remus et al., 2018)","previouslyFormattedCitation":"(Doetterl et al., 2016; Remus et al., 2018)"},"properties":{"noteIndex":0},"schema":"https://github.com/citation-style-language/schema/raw/master/csl-citation.json"}</w:instrText>
      </w:r>
      <w:r w:rsidR="00DE4B28" w:rsidRPr="00EA688C">
        <w:rPr>
          <w:rFonts w:ascii="Times New Roman" w:hAnsi="Times New Roman" w:cs="Times New Roman"/>
          <w:color w:val="FF0000"/>
          <w:sz w:val="20"/>
          <w:szCs w:val="20"/>
        </w:rPr>
        <w:fldChar w:fldCharType="separate"/>
      </w:r>
      <w:r w:rsidR="00DE4B28" w:rsidRPr="00EA688C">
        <w:rPr>
          <w:rFonts w:ascii="Times New Roman" w:hAnsi="Times New Roman" w:cs="Times New Roman"/>
          <w:noProof/>
          <w:color w:val="FF0000"/>
          <w:sz w:val="20"/>
          <w:szCs w:val="20"/>
        </w:rPr>
        <w:t>(Doetterl et al., 2016; Remus et al., 2018)</w:t>
      </w:r>
      <w:r w:rsidR="00DE4B2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making them more efficient at capturing and retaining C. This potential has been modeled</w:t>
      </w:r>
      <w:r w:rsidR="00DE4B28" w:rsidRPr="00EA688C">
        <w:rPr>
          <w:rFonts w:ascii="Times New Roman" w:hAnsi="Times New Roman" w:cs="Times New Roman"/>
          <w:color w:val="FF0000"/>
          <w:sz w:val="20"/>
          <w:szCs w:val="20"/>
        </w:rPr>
        <w:t xml:space="preserve"> </w:t>
      </w:r>
      <w:r w:rsidR="00DE4B28" w:rsidRPr="00EA688C">
        <w:rPr>
          <w:rFonts w:ascii="Times New Roman" w:hAnsi="Times New Roman" w:cs="Times New Roman"/>
          <w:color w:val="FF0000"/>
          <w:sz w:val="20"/>
          <w:szCs w:val="20"/>
        </w:rPr>
        <w:fldChar w:fldCharType="begin" w:fldLock="1"/>
      </w:r>
      <w:r w:rsidR="00DE4B28" w:rsidRPr="00EA688C">
        <w:rPr>
          <w:rFonts w:ascii="Times New Roman" w:hAnsi="Times New Roman" w:cs="Times New Roman"/>
          <w:color w:val="FF0000"/>
          <w:sz w:val="20"/>
          <w:szCs w:val="20"/>
        </w:rPr>
        <w:instrText>ADDIN CSL_CITATION {"citationItems":[{"id":"ITEM-1","itemData":{"DOI":"10.1029/2008JG000751","ISSN":"01480227","abstract":"Recently, the potential for terrestrial carbon (C) sequestration by soil erosion and deposition has received increased interest. Erosion and deposition constitute a sink for atmospheric carbon dioxide relative to a preerosional state or a noneroding scenario, if the posterosion watershed C balance is increased due to (1) partial replacement of eroded C by new photosynthate in the eroded site; and (2) preservation from decomposition of at least some eroded soil organic carbon (SOC) arriving in depositional settings. Little is known, however, about differences in C dynamics at different erosional and depositional landform positions within the same eroding system. We determined the contribution of different landform positions to erosion-induced terrestrial C sequestration by measuring rates of net primary productivity (NPP), replacement of eroded C, and decomposition of organic matter (OM) at four categorically different landform positions within a naturally eroding toposequence in northern California. We found that eroded C is replaced by NPP 15 times over in the summit of the site studied and 5 times over in the slope. Profile-averaged, long-term rate constant for SOM decomposition was 2 to 14 times slower in the depositional settings compared with that in eroding slopes. As a result, the inventory of C in the depositional settings was 2 to 3 times larger than that of the eroding positions. Owing to both C replacement at eroding sites and reduced rates of OM decomposition in depositional sites, soil erosion constitutes a C sink from the atmosphere at our study site. Copyright 2008 by the American Geophysical Union.","author":[{"dropping-particle":"","family":"Berhe","given":"Asmeret Asefaw","non-dropping-particle":"","parse-names":false,"suffix":""},{"dropping-particle":"","family":"Harden","given":"Jennifer W.","non-dropping-particle":"","parse-names":false,"suffix":""},{"dropping-particle":"","family":"Torn","given":"Margaret S.","non-dropping-particle":"","parse-names":false,"suffix":""},{"dropping-particle":"","family":"Harte","given":"John","non-dropping-particle":"","parse-names":false,"suffix":""}],"container-title":"Journal of Geophysical Research: Biogeosciences","id":"ITEM-1","issue":"4","issued":{"date-parts":[["2008"]]},"page":"1-12","title":"Linking soil organic matter dynamics and erosion-induced terrestrial carbon sequestration at different landform positions","type":"article-journal","volume":"113"},"uris":["http://www.mendeley.com/documents/?uuid=bec5752b-84d8-4a80-be8f-4c32bc0ed869"]}],"mendeley":{"formattedCitation":"(Berhe et al., 2008)","plainTextFormattedCitation":"(Berhe et al., 2008)","previouslyFormattedCitation":"(Berhe et al., 2008)"},"properties":{"noteIndex":0},"schema":"https://github.com/citation-style-language/schema/raw/master/csl-citation.json"}</w:instrText>
      </w:r>
      <w:r w:rsidR="00DE4B28" w:rsidRPr="00EA688C">
        <w:rPr>
          <w:rFonts w:ascii="Times New Roman" w:hAnsi="Times New Roman" w:cs="Times New Roman"/>
          <w:color w:val="FF0000"/>
          <w:sz w:val="20"/>
          <w:szCs w:val="20"/>
        </w:rPr>
        <w:fldChar w:fldCharType="separate"/>
      </w:r>
      <w:r w:rsidR="00DE4B28" w:rsidRPr="00EA688C">
        <w:rPr>
          <w:rFonts w:ascii="Times New Roman" w:hAnsi="Times New Roman" w:cs="Times New Roman"/>
          <w:noProof/>
          <w:color w:val="FF0000"/>
          <w:sz w:val="20"/>
          <w:szCs w:val="20"/>
        </w:rPr>
        <w:t>(Berhe et al., 2008)</w:t>
      </w:r>
      <w:r w:rsidR="00DE4B28" w:rsidRPr="00EA688C">
        <w:rPr>
          <w:rFonts w:ascii="Times New Roman" w:hAnsi="Times New Roman" w:cs="Times New Roman"/>
          <w:color w:val="FF0000"/>
          <w:sz w:val="20"/>
          <w:szCs w:val="20"/>
        </w:rPr>
        <w:fldChar w:fldCharType="end"/>
      </w:r>
      <w:r w:rsidR="00DE4B28" w:rsidRPr="00EA688C">
        <w:rPr>
          <w:rFonts w:ascii="Times New Roman" w:hAnsi="Times New Roman" w:cs="Times New Roman"/>
          <w:color w:val="FF0000"/>
          <w:sz w:val="20"/>
          <w:szCs w:val="20"/>
        </w:rPr>
        <w:t xml:space="preserve"> </w:t>
      </w:r>
      <w:r w:rsidRPr="00EA688C">
        <w:rPr>
          <w:rFonts w:ascii="Times New Roman" w:hAnsi="Times New Roman" w:cs="Times New Roman"/>
          <w:color w:val="FF0000"/>
          <w:sz w:val="20"/>
          <w:szCs w:val="20"/>
        </w:rPr>
        <w:t>and experimentally confirmed for eroded</w:t>
      </w:r>
      <w:r w:rsidR="00DE4B28" w:rsidRPr="00EA688C">
        <w:rPr>
          <w:rFonts w:ascii="Times New Roman" w:hAnsi="Times New Roman" w:cs="Times New Roman"/>
          <w:color w:val="FF0000"/>
          <w:sz w:val="20"/>
          <w:szCs w:val="20"/>
        </w:rPr>
        <w:t xml:space="preserve"> </w:t>
      </w:r>
      <w:r w:rsidR="00DE4B28" w:rsidRPr="00EA688C">
        <w:rPr>
          <w:rFonts w:ascii="Times New Roman" w:hAnsi="Times New Roman" w:cs="Times New Roman"/>
          <w:color w:val="FF0000"/>
          <w:sz w:val="20"/>
          <w:szCs w:val="20"/>
        </w:rPr>
        <w:fldChar w:fldCharType="begin" w:fldLock="1"/>
      </w:r>
      <w:r w:rsidR="00DE4B28" w:rsidRPr="00EA688C">
        <w:rPr>
          <w:rFonts w:ascii="Times New Roman" w:hAnsi="Times New Roman" w:cs="Times New Roman"/>
          <w:color w:val="FF0000"/>
          <w:sz w:val="20"/>
          <w:szCs w:val="20"/>
        </w:rPr>
        <w:instrText>ADDIN CSL_CITATION {"citationItems":[{"id":"ITEM-1","itemData":{"DOI":"10.1029/1999GB900061","ISSN":"08866236","abstract":"Links between erosion/sedimentation history and soil carbon cycling were examined in a highly erosive setting in Mississippi loess soils. We sampled soils on (relatively) undisturbed and cropped hillslopes and measured C, N, 14C, and CO2 flux to characterize carbon storage and dynamics and to parameterize Century and spreadsheet 14C models for different erosion and tillage histories. For this site, where 100 years of intensive cotton cropping were followed by fertilization and contour plowing, there was an initial and dramatic decline in soil carbon content from 1870 to 1950, followed by a dramatic increase in soil carbon. Soil erosion amplifies C loss and recovery: About 100% of the original, prehistoric soil carbon was likely lost over 127 years of intensive land use, but about 30% of that carbon was replaced after 1950. The eroded cropland was therefore a local sink for CO2 since the 1950s. However, a net CO2 sink requires a full accounting of eroded carbon, which in turn requires that decomposition rates in lower slopes or wetlands be reduced to about 20% of the upland value. As a result, erosion may induce unaccounted sinks or sources of CO2, depending on the fate of eroded carbon and its protection from decomposition. For erosion rates typical of the United States, the sink terms may be large enough (1 Gt yr-1, back-of-the-envelope) to warrant a careful accounting of site management, cropping, and fertilization histories, as well as burial rates, for a more meaningful global assessment.","author":[{"dropping-particle":"","family":"Harden","given":"J. W.","non-dropping-particle":"","parse-names":false,"suffix":""},{"dropping-particle":"","family":"Sharpe","given":"J. M.","non-dropping-particle":"","parse-names":false,"suffix":""},{"dropping-particle":"","family":"Parton","given":"W. J.","non-dropping-particle":"","parse-names":false,"suffix":""},{"dropping-particle":"","family":"Ojima","given":"D. S.","non-dropping-particle":"","parse-names":false,"suffix":""},{"dropping-particle":"","family":"Fries","given":"T. L.","non-dropping-particle":"","parse-names":false,"suffix":""},{"dropping-particle":"","family":"Huntington","given":"T. G.","non-dropping-particle":"","parse-names":false,"suffix":""},{"dropping-particle":"","family":"Dabney","given":"S. M.","non-dropping-particle":"","parse-names":false,"suffix":""}],"container-title":"Global Biogeochemical Cycles","id":"ITEM-1","issue":"4","issued":{"date-parts":[["1999"]]},"page":"885-901","title":"Dynamic replacement and loss of soil carbon on eroding cropland","type":"article-journal","volume":"13"},"uris":["http://www.mendeley.com/documents/?uuid=c8d8c5f7-7f4b-47a9-bc49-5cb4b3f7d71e"]}],"mendeley":{"formattedCitation":"(Harden et al., 1999)","plainTextFormattedCitation":"(Harden et al., 1999)","previouslyFormattedCitation":"(Harden et al., 1999)"},"properties":{"noteIndex":0},"schema":"https://github.com/citation-style-language/schema/raw/master/csl-citation.json"}</w:instrText>
      </w:r>
      <w:r w:rsidR="00DE4B28" w:rsidRPr="00EA688C">
        <w:rPr>
          <w:rFonts w:ascii="Times New Roman" w:hAnsi="Times New Roman" w:cs="Times New Roman"/>
          <w:color w:val="FF0000"/>
          <w:sz w:val="20"/>
          <w:szCs w:val="20"/>
        </w:rPr>
        <w:fldChar w:fldCharType="separate"/>
      </w:r>
      <w:r w:rsidR="00DE4B28" w:rsidRPr="00EA688C">
        <w:rPr>
          <w:rFonts w:ascii="Times New Roman" w:hAnsi="Times New Roman" w:cs="Times New Roman"/>
          <w:noProof/>
          <w:color w:val="FF0000"/>
          <w:sz w:val="20"/>
          <w:szCs w:val="20"/>
        </w:rPr>
        <w:t>(Harden et al., 1999)</w:t>
      </w:r>
      <w:r w:rsidR="00DE4B2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and depositional soils </w:t>
      </w:r>
      <w:r w:rsidR="00DE4B28" w:rsidRPr="00EA688C">
        <w:rPr>
          <w:rFonts w:ascii="Times New Roman" w:hAnsi="Times New Roman" w:cs="Times New Roman"/>
          <w:color w:val="FF0000"/>
          <w:sz w:val="20"/>
          <w:szCs w:val="20"/>
        </w:rPr>
        <w:fldChar w:fldCharType="begin" w:fldLock="1"/>
      </w:r>
      <w:r w:rsidR="00DE4B28" w:rsidRPr="00EA688C">
        <w:rPr>
          <w:rFonts w:ascii="Times New Roman" w:hAnsi="Times New Roman" w:cs="Times New Roman"/>
          <w:color w:val="FF0000"/>
          <w:sz w:val="20"/>
          <w:szCs w:val="20"/>
        </w:rPr>
        <w:instrText>ADDIN CSL_CITATION {"citationItems":[{"id":"ITEM-1","itemData":{"DOI":"10.1016/j.still.2017.09.004","ISSN":"01671987","abstract":"Carbon (C) stored in soils represents the largest C pool of terrestrial ecosystems and consequently plays a crucial role in the global C cycle. So far, it is widely unclear to what extent different land uses and land use change influence soil C storage. The hummocky ground moraine landscape of northeastern Germany is characterized by distinct small-scale soil heterogeneity on the one hand, and intensive energy crop cultivation on the other. Both factors are assumed to significantly influence gaseous C exchange; as such, they likely drive soil organic carbon (SOC) stock dynamics in terrestrial agricultural ecosystems. To date, it is not clear to what extent N fertilization forms, which are associated with energy crop cultivation (e.g., application of biogas fermentation residues) and soil type relative to soil erosion state, influence soil C dynamics, nor is it clear whether one of these factors is more important than the other. To investigate the influence of soil erosion state and N fertilization form on soil C dynmaics, we present dynamic and seasonal net ecosystem carbon balances (NECB) as a proxy for changes in soil organic carbon stocks. Measurements were conducted for maize (Zea mays L.) at five sites in the “CarboZALF-D” experimental field during the 2011 growing season. Measurement sites represent different soil erosion states (non-eroded Albic Luvisols, extremely eroded Calcaric Regosols and depositional Endogleyic Colluvic Regosols) and N fertilization forms (100% mineral fertilizer, 50% mineral and 50% organic fertilizer, and 100% organic fertilizer). Fertilization treatments were established on the Albic Luvisol. Net ecosystem CO2 exchange (NEE) and ecosystem respiration (Reco) were measured every four weeks using a dynamic flow-through non-steady-state closed manual chamber system. Gap filling was performed based on empirical temperature and PAR dependency functions and was used to derive daily NEE values. In parallel, daily above-ground biomass production (NPPshoot) was estimated using a logistic growth equation, fitted on periodic biomass samples. Finally, C dynamics were calculated as the balance of daily NEE and NPPshoot based on the initial C input due to organic fertilization. Resulting NECB varied from pronounced soil C losses at the Endogleyic Colluvic Regosol (592 g C m−2) to soil C gains at the Calcaric Regosol (−124 g C m−2). Minor to modest C losses were observed for the Albic Luvisol. Compared to N fertilization forms, soil ero…","author":[{"dropping-particle":"","family":"Hoffmann","given":"M.","non-dropping-particle":"","parse-names":false,"suffix":""},{"dropping-particle":"","family":"Pohl","given":"M.","non-dropping-particle":"","parse-names":false,"suffix":""},{"dropping-particle":"","family":"Jurisch","given":"N.","non-dropping-particle":"","parse-names":false,"suffix":""},{"dropping-particle":"","family":"Prescher","given":"A. K.","non-dropping-particle":"","parse-names":false,"suffix":""},{"dropping-particle":"","family":"Mendez Campa","given":"E.","non-dropping-particle":"","parse-names":false,"suffix":""},{"dropping-particle":"","family":"Hagemann","given":"U.","non-dropping-particle":"","parse-names":false,"suffix":""},{"dropping-particle":"","family":"Remus","given":"R.","non-dropping-particle":"","parse-names":false,"suffix":""},{"dropping-particle":"","family":"Verch","given":"G.","non-dropping-particle":"","parse-names":false,"suffix":""},{"dropping-particle":"","family":"Sommer","given":"M.","non-dropping-particle":"","parse-names":false,"suffix":""},{"dropping-particle":"","family":"Augustin","given":"J.","non-dropping-particle":"","parse-names":false,"suffix":""}],"container-title":"Soil and Tillage Research","id":"ITEM-1","issue":"September 2017","issued":{"date-parts":[["2018"]]},"page":"255-266","title":"Maize carbon dynamics are driven by soil erosion state and plant phenology rather than nitrogen fertilization form","type":"article-journal","volume":"175"},"uris":["http://www.mendeley.com/documents/?uuid=3d7584e7-c4d7-4b82-ad41-02dfb971c7bc"]}],"mendeley":{"formattedCitation":"(Hoffmann et al., 2018)","plainTextFormattedCitation":"(Hoffmann et al., 2018)","previouslyFormattedCitation":"(Hoffmann et al., 2018)"},"properties":{"noteIndex":0},"schema":"https://github.com/citation-style-language/schema/raw/master/csl-citation.json"}</w:instrText>
      </w:r>
      <w:r w:rsidR="00DE4B28" w:rsidRPr="00EA688C">
        <w:rPr>
          <w:rFonts w:ascii="Times New Roman" w:hAnsi="Times New Roman" w:cs="Times New Roman"/>
          <w:color w:val="FF0000"/>
          <w:sz w:val="20"/>
          <w:szCs w:val="20"/>
        </w:rPr>
        <w:fldChar w:fldCharType="separate"/>
      </w:r>
      <w:r w:rsidR="00DE4B28" w:rsidRPr="00EA688C">
        <w:rPr>
          <w:rFonts w:ascii="Times New Roman" w:hAnsi="Times New Roman" w:cs="Times New Roman"/>
          <w:noProof/>
          <w:color w:val="FF0000"/>
          <w:sz w:val="20"/>
          <w:szCs w:val="20"/>
        </w:rPr>
        <w:t>(Hoffmann et al., 2018)</w:t>
      </w:r>
      <w:r w:rsidR="00DE4B2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w:t>
      </w:r>
      <w:r w:rsidR="00B425FB" w:rsidRPr="00EA688C">
        <w:rPr>
          <w:rFonts w:ascii="Times New Roman" w:hAnsi="Times New Roman" w:cs="Times New Roman"/>
          <w:color w:val="FF0000"/>
          <w:sz w:val="20"/>
          <w:szCs w:val="20"/>
        </w:rPr>
        <w:t xml:space="preserve">Besides the aspect of C sequestration in </w:t>
      </w:r>
      <w:proofErr w:type="spellStart"/>
      <w:r w:rsidR="00B425FB" w:rsidRPr="00EA688C">
        <w:rPr>
          <w:rFonts w:ascii="Times New Roman" w:hAnsi="Times New Roman" w:cs="Times New Roman"/>
          <w:i/>
          <w:iCs/>
          <w:color w:val="FF0000"/>
          <w:sz w:val="20"/>
          <w:szCs w:val="20"/>
        </w:rPr>
        <w:t>topsoils</w:t>
      </w:r>
      <w:proofErr w:type="spellEnd"/>
      <w:r w:rsidR="00B425FB" w:rsidRPr="00EA688C">
        <w:rPr>
          <w:rFonts w:ascii="Times New Roman" w:hAnsi="Times New Roman" w:cs="Times New Roman"/>
          <w:color w:val="FF0000"/>
          <w:sz w:val="20"/>
          <w:szCs w:val="20"/>
        </w:rPr>
        <w:t xml:space="preserve"> </w:t>
      </w:r>
      <w:r w:rsidR="004870D4" w:rsidRPr="00EA688C">
        <w:rPr>
          <w:rFonts w:ascii="Times New Roman" w:hAnsi="Times New Roman" w:cs="Times New Roman"/>
          <w:color w:val="FF0000"/>
          <w:sz w:val="20"/>
          <w:szCs w:val="20"/>
        </w:rPr>
        <w:t>in</w:t>
      </w:r>
      <w:r w:rsidR="00B425FB" w:rsidRPr="00EA688C">
        <w:rPr>
          <w:rFonts w:ascii="Times New Roman" w:hAnsi="Times New Roman" w:cs="Times New Roman"/>
          <w:color w:val="FF0000"/>
          <w:sz w:val="20"/>
          <w:szCs w:val="20"/>
        </w:rPr>
        <w:t xml:space="preserve"> disequilibrium</w:t>
      </w:r>
      <w:r w:rsidRPr="00EA688C">
        <w:rPr>
          <w:rFonts w:ascii="Times New Roman" w:hAnsi="Times New Roman" w:cs="Times New Roman"/>
          <w:color w:val="FF0000"/>
          <w:sz w:val="20"/>
          <w:szCs w:val="20"/>
        </w:rPr>
        <w:t xml:space="preserve">, </w:t>
      </w:r>
      <w:r w:rsidR="004870D4" w:rsidRPr="00EA688C">
        <w:rPr>
          <w:rFonts w:ascii="Times New Roman" w:hAnsi="Times New Roman" w:cs="Times New Roman"/>
          <w:color w:val="FF0000"/>
          <w:sz w:val="20"/>
          <w:szCs w:val="20"/>
        </w:rPr>
        <w:t>C stocks</w:t>
      </w:r>
      <w:r w:rsidR="004870D4" w:rsidRPr="00EA688C">
        <w:rPr>
          <w:rFonts w:ascii="Times New Roman" w:hAnsi="Times New Roman" w:cs="Times New Roman"/>
          <w:i/>
          <w:iCs/>
          <w:color w:val="FF0000"/>
          <w:sz w:val="20"/>
          <w:szCs w:val="20"/>
        </w:rPr>
        <w:t xml:space="preserve"> </w:t>
      </w:r>
      <w:r w:rsidR="004870D4" w:rsidRPr="00EA688C">
        <w:rPr>
          <w:rFonts w:ascii="Times New Roman" w:hAnsi="Times New Roman" w:cs="Times New Roman"/>
          <w:color w:val="FF0000"/>
          <w:sz w:val="20"/>
          <w:szCs w:val="20"/>
        </w:rPr>
        <w:t>might be enhanced in</w:t>
      </w:r>
      <w:r w:rsidR="004870D4" w:rsidRPr="00EA688C">
        <w:rPr>
          <w:rFonts w:ascii="Times New Roman" w:hAnsi="Times New Roman" w:cs="Times New Roman"/>
          <w:i/>
          <w:iCs/>
          <w:color w:val="FF0000"/>
          <w:sz w:val="20"/>
          <w:szCs w:val="20"/>
        </w:rPr>
        <w:t xml:space="preserve"> subsoils</w:t>
      </w:r>
      <w:r w:rsidR="004870D4" w:rsidRPr="00EA688C">
        <w:rPr>
          <w:rFonts w:ascii="Times New Roman" w:hAnsi="Times New Roman" w:cs="Times New Roman"/>
          <w:color w:val="FF0000"/>
          <w:sz w:val="20"/>
          <w:szCs w:val="20"/>
        </w:rPr>
        <w:t xml:space="preserve"> as well</w:t>
      </w:r>
      <w:r w:rsidR="00F035B4" w:rsidRPr="00EA688C">
        <w:rPr>
          <w:rFonts w:ascii="Times New Roman" w:hAnsi="Times New Roman" w:cs="Times New Roman"/>
          <w:color w:val="FF0000"/>
          <w:sz w:val="20"/>
          <w:szCs w:val="20"/>
        </w:rPr>
        <w:t>, where</w:t>
      </w:r>
      <w:r w:rsidRPr="00EA688C">
        <w:rPr>
          <w:rFonts w:ascii="Times New Roman" w:hAnsi="Times New Roman" w:cs="Times New Roman"/>
          <w:color w:val="FF0000"/>
          <w:sz w:val="20"/>
          <w:szCs w:val="20"/>
        </w:rPr>
        <w:t xml:space="preserve"> mineral surfaces remain </w:t>
      </w:r>
      <w:r w:rsidR="004870D4" w:rsidRPr="00EA688C">
        <w:rPr>
          <w:rFonts w:ascii="Times New Roman" w:hAnsi="Times New Roman" w:cs="Times New Roman"/>
          <w:color w:val="FF0000"/>
          <w:sz w:val="20"/>
          <w:szCs w:val="20"/>
        </w:rPr>
        <w:t xml:space="preserve">far </w:t>
      </w:r>
      <w:r w:rsidRPr="00EA688C">
        <w:rPr>
          <w:rFonts w:ascii="Times New Roman" w:hAnsi="Times New Roman" w:cs="Times New Roman"/>
          <w:color w:val="FF0000"/>
          <w:sz w:val="20"/>
          <w:szCs w:val="20"/>
        </w:rPr>
        <w:t>from carbon saturation</w:t>
      </w:r>
      <w:r w:rsidR="00DE4B28" w:rsidRPr="00EA688C">
        <w:rPr>
          <w:rFonts w:ascii="Times New Roman" w:hAnsi="Times New Roman" w:cs="Times New Roman"/>
          <w:color w:val="FF0000"/>
          <w:sz w:val="20"/>
          <w:szCs w:val="20"/>
        </w:rPr>
        <w:t xml:space="preserve"> </w:t>
      </w:r>
      <w:r w:rsidR="00DE4B28" w:rsidRPr="00EA688C">
        <w:rPr>
          <w:rFonts w:ascii="Times New Roman" w:hAnsi="Times New Roman" w:cs="Times New Roman"/>
          <w:color w:val="FF0000"/>
          <w:sz w:val="20"/>
          <w:szCs w:val="20"/>
        </w:rPr>
        <w:fldChar w:fldCharType="begin" w:fldLock="1"/>
      </w:r>
      <w:r w:rsidR="00DE4B28" w:rsidRPr="00EA688C">
        <w:rPr>
          <w:rFonts w:ascii="Times New Roman" w:hAnsi="Times New Roman" w:cs="Times New Roman"/>
          <w:color w:val="FF0000"/>
          <w:sz w:val="20"/>
          <w:szCs w:val="20"/>
        </w:rPr>
        <w:instrText>ADDIN CSL_CITATION {"citationItems":[{"id":"ITEM-1","itemData":{"DOI":"10.1038/s41467-022-31540-9","ISSN":"20411723","PMID":"35778395","abstract":"Soil is the largest terrestrial reservoir of organic carbon and is central for climate change mitigation and carbon-climate feedbacks. Chemical and physical associations of soil carbon with minerals play a critical role in carbon storage, but the amount and global capacity for storage in this form remain unquantified. Here, we produce spatially-resolved global estimates of mineral-associated organic carbon stocks and carbon-storage capacity by analyzing 1144 globally-distributed soil profiles. We show that current stocks total 899 Pg C to a depth of 1 m in non-permafrost mineral soils. Although this constitutes 66% and 70% of soil carbon in surface and deeper layers, respectively, it is only 42% and 21% of the mineralogical capacity. Regions under agricultural management and deeper soil layers show the largest undersaturation of mineral-associated carbon. Critically, the degree of undersaturation indicates sequestration efficiency over years to decades. We show that, across 103 carbon-accrual measurements spanning management interventions globally, soils furthest from their mineralogical capacity are more effective at accruing carbon; sequestration rates average 3-times higher in soils at one tenth of their capacity compared to soils at one half of their capacity. Our findings provide insights into the world’s soils, their capacity to store carbon, and priority regions and actions for soil carbon management.","author":[{"dropping-particle":"","family":"Georgiou","given":"Katerina","non-dropping-particle":"","parse-names":false,"suffix":""},{"dropping-particle":"","family":"Jackson","given":"Robert B.","non-dropping-particle":"","parse-names":false,"suffix":""},{"dropping-particle":"","family":"Vindušková","given":"Olga","non-dropping-particle":"","parse-names":false,"suffix":""},{"dropping-particle":"","family":"Abramoff","given":"Rose Z.","non-dropping-particle":"","parse-names":false,"suffix":""},{"dropping-particle":"","family":"Ahlström","given":"Anders","non-dropping-particle":"","parse-names":false,"suffix":""},{"dropping-particle":"","family":"Feng","given":"Wenting","non-dropping-particle":"","parse-names":false,"suffix":""},{"dropping-particle":"","family":"Harden","given":"Jennifer W.","non-dropping-particle":"","parse-names":false,"suffix":""},{"dropping-particle":"","family":"Pellegrini","given":"Adam F.A.","non-dropping-particle":"","parse-names":false,"suffix":""},{"dropping-particle":"","family":"Polley","given":"H. Wayne","non-dropping-particle":"","parse-names":false,"suffix":""},{"dropping-particle":"","family":"Soong","given":"Jennifer L.","non-dropping-particle":"","parse-names":false,"suffix":""},{"dropping-particle":"","family":"Riley","given":"William J.","non-dropping-particle":"","parse-names":false,"suffix":""},{"dropping-particle":"","family":"Torn","given":"Margaret S.","non-dropping-particle":"","parse-names":false,"suffix":""}],"container-title":"Nature Communications","id":"ITEM-1","issue":"1","issued":{"date-parts":[["2022"]]},"page":"1-12","title":"Global stocks and capacity of mineral-associated soil organic carbon","type":"article-journal","volume":"13"},"uris":["http://www.mendeley.com/documents/?uuid=51e29f30-158b-45d7-b3fb-157f646fe105"]}],"mendeley":{"formattedCitation":"(Georgiou et al., 2022)","plainTextFormattedCitation":"(Georgiou et al., 2022)","previouslyFormattedCitation":"(Georgiou et al., 2022)"},"properties":{"noteIndex":0},"schema":"https://github.com/citation-style-language/schema/raw/master/csl-citation.json"}</w:instrText>
      </w:r>
      <w:r w:rsidR="00DE4B28" w:rsidRPr="00EA688C">
        <w:rPr>
          <w:rFonts w:ascii="Times New Roman" w:hAnsi="Times New Roman" w:cs="Times New Roman"/>
          <w:color w:val="FF0000"/>
          <w:sz w:val="20"/>
          <w:szCs w:val="20"/>
        </w:rPr>
        <w:fldChar w:fldCharType="separate"/>
      </w:r>
      <w:r w:rsidR="00DE4B28" w:rsidRPr="00EA688C">
        <w:rPr>
          <w:rFonts w:ascii="Times New Roman" w:hAnsi="Times New Roman" w:cs="Times New Roman"/>
          <w:noProof/>
          <w:color w:val="FF0000"/>
          <w:sz w:val="20"/>
          <w:szCs w:val="20"/>
        </w:rPr>
        <w:t>(Georgiou et al., 2022)</w:t>
      </w:r>
      <w:r w:rsidR="00DE4B2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w:t>
      </w:r>
      <w:r w:rsidR="00F035B4" w:rsidRPr="00EA688C">
        <w:rPr>
          <w:rFonts w:ascii="Times New Roman" w:hAnsi="Times New Roman" w:cs="Times New Roman"/>
          <w:color w:val="FF0000"/>
          <w:sz w:val="20"/>
          <w:szCs w:val="20"/>
        </w:rPr>
        <w:t>Therefore r</w:t>
      </w:r>
      <w:r w:rsidR="004870D4" w:rsidRPr="00EA688C">
        <w:rPr>
          <w:rFonts w:ascii="Times New Roman" w:hAnsi="Times New Roman" w:cs="Times New Roman"/>
          <w:color w:val="FF0000"/>
          <w:sz w:val="20"/>
          <w:szCs w:val="20"/>
        </w:rPr>
        <w:t>esea</w:t>
      </w:r>
      <w:r w:rsidR="00F035B4" w:rsidRPr="00EA688C">
        <w:rPr>
          <w:rFonts w:ascii="Times New Roman" w:hAnsi="Times New Roman" w:cs="Times New Roman"/>
          <w:color w:val="FF0000"/>
          <w:sz w:val="20"/>
          <w:szCs w:val="20"/>
        </w:rPr>
        <w:t>r</w:t>
      </w:r>
      <w:r w:rsidR="004870D4" w:rsidRPr="00EA688C">
        <w:rPr>
          <w:rFonts w:ascii="Times New Roman" w:hAnsi="Times New Roman" w:cs="Times New Roman"/>
          <w:color w:val="FF0000"/>
          <w:sz w:val="20"/>
          <w:szCs w:val="20"/>
        </w:rPr>
        <w:t>che</w:t>
      </w:r>
      <w:r w:rsidR="00F035B4" w:rsidRPr="00EA688C">
        <w:rPr>
          <w:rFonts w:ascii="Times New Roman" w:hAnsi="Times New Roman" w:cs="Times New Roman"/>
          <w:color w:val="FF0000"/>
          <w:sz w:val="20"/>
          <w:szCs w:val="20"/>
        </w:rPr>
        <w:t>r</w:t>
      </w:r>
      <w:r w:rsidR="004870D4" w:rsidRPr="00EA688C">
        <w:rPr>
          <w:rFonts w:ascii="Times New Roman" w:hAnsi="Times New Roman" w:cs="Times New Roman"/>
          <w:color w:val="FF0000"/>
          <w:sz w:val="20"/>
          <w:szCs w:val="20"/>
        </w:rPr>
        <w:t xml:space="preserve">s emphasize the benefits </w:t>
      </w:r>
      <w:r w:rsidR="005B7282" w:rsidRPr="00EA688C">
        <w:rPr>
          <w:rFonts w:ascii="Times New Roman" w:hAnsi="Times New Roman" w:cs="Times New Roman"/>
          <w:color w:val="FF0000"/>
          <w:sz w:val="20"/>
          <w:szCs w:val="20"/>
        </w:rPr>
        <w:t>of management practices that promote deeper carbon inputs</w:t>
      </w:r>
      <w:r w:rsidRPr="00EA688C">
        <w:rPr>
          <w:rFonts w:ascii="Times New Roman" w:hAnsi="Times New Roman" w:cs="Times New Roman"/>
          <w:color w:val="FF0000"/>
          <w:sz w:val="20"/>
          <w:szCs w:val="20"/>
        </w:rPr>
        <w:t>, such as through enhanced root biomass production</w:t>
      </w:r>
      <w:r w:rsidR="00DE4B28" w:rsidRPr="00EA688C">
        <w:rPr>
          <w:rFonts w:ascii="Times New Roman" w:hAnsi="Times New Roman" w:cs="Times New Roman"/>
          <w:color w:val="FF0000"/>
          <w:sz w:val="20"/>
          <w:szCs w:val="20"/>
        </w:rPr>
        <w:t xml:space="preserve"> </w:t>
      </w:r>
      <w:r w:rsidR="00DE4B28"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{"citationItems":[{"id":"ITEM-1","itemData":{"DOI":"10.1016/j.soilbio.2022.108697","ISSN":"00380717","abstract":"Due to their substantial volume, subsoils contain more of the total soil carbon (C) pool than topsoils. Much of this C is thousands of years old, suggesting that subsoils offer considerable potential for long-term C sequestration. However, knowledge of subsoil C behaviour and manageability remains incomplete, and subsoil C storage potential has yet to be realised at a large scale, particularly in agricultural systems. A range of biological (e.g. deep-rooting), chemical (e.g. biochar burial) and physical (e.g. deep ploughing) C sequestration strategies have been proposed, but are yet to be assessed. In this review, we identify the main factors that regulate subsoil C cycling and critically evaluate the evidence and mechanistic basis of subsoil strategies designed to promote greater C storage, with particular emphasis on agroecosystems. We assess the barriers and opportunities for the implementation of strategies to enhance subsoil C sequestration and identify 5 key current gaps in scientific understanding. We conclude that subsoils, while highly heterogeneous, are in many cases more suited to long-term C sequestration than topsoils. The proposed strategies may also bring other tangible benefits to cropping systems (e.g. enhanced water holding capacity and nutrient use efficiency). Furthermore, while the subsoil C sequestration strategies we reviewed have large potential, more long-term studies are needed across a diverse range of soils and climates, in conjunction with chronosequence and space-for-time substitutions. Also, it is vital that subsoils are more consistently included in modelled estimations of soil C stocks and C sequestration potential, and that subsoil-explicit C models are developed to specifically reflect subsoil processes. Finally, further mapping of subsoil C is needed in specific regions (e.g. in the Middle East, Eastern Europe, South and Central America, South Asia and Africa). Conducting both immediate and long-term subsoil C studies will fill the knowledge gaps to devise appropriate soil C sequestration strategies and policies to help in the global fight against climate change and decline in soil quality. In conclusion, our evidence-based analysis reveals that subsoils offer an untapped potential to enhance global C storage in terrestrial ecosystems.","author":[{"dropping-particle":"","family":"Button","given":"Erik S.","non-dropping-particle":"","parse-names":false,"suffix":""},{"dropping-particle":"","family":"Pett-Ridge","given":"Jennifer","non-dropping-particle":"","parse-names":false,"suffix":""},{"dropping-particle":"V.","family":"Murphy","given":"Daniel","non-dropping-particle":"","parse-names":false,"suffix":""},{"dropping-particle":"","family":"Kuzyakov","given":"Yakov","non-dropping-particle":"","parse-names":false,"suffix":""},{"dropping-particle":"","family":"Chadwick","given":"David R.","non-dropping-particle":"","parse-names":false,"suffix":""},{"dropping-particle":"","family":"Jones","given":"Davey L.","non-dropping-particle":"","parse-names":false,"suffix":""}],"container-title":"Soil Biology and Biochemistry","id":"ITEM-1","issue":"May","issued":{"date-parts":[["2022"]]},"page":"108697","publisher":"Elsevier Ltd","title":"Deep-C storage: Biological, chemical and physical strategies to enhance carbon stocks in agricultural subsoils","type":"article-journal","volume":"170"},"uris":["http://www.mendeley.com/documents/?uuid=9a91c5f9-bb4e-4fbc-87b6-63b6556a110e"]}],"mendeley":{"formattedCitation":"(Button et al., 2022)","plainTextFormattedCitation":"(Button et al., 2022)","previouslyFormattedCitation":"(Button et al., 2022)"},"properties":{"noteIndex":0},"schema":"https://github.com/citation-style-language/schema/raw/master/csl-citation.json"}</w:instrText>
      </w:r>
      <w:r w:rsidR="00DE4B28" w:rsidRPr="00EA688C">
        <w:rPr>
          <w:rFonts w:ascii="Times New Roman" w:hAnsi="Times New Roman" w:cs="Times New Roman"/>
          <w:color w:val="FF0000"/>
          <w:sz w:val="20"/>
          <w:szCs w:val="20"/>
        </w:rPr>
        <w:fldChar w:fldCharType="separate"/>
      </w:r>
      <w:r w:rsidR="00DE4B28" w:rsidRPr="00EA688C">
        <w:rPr>
          <w:rFonts w:ascii="Times New Roman" w:hAnsi="Times New Roman" w:cs="Times New Roman"/>
          <w:noProof/>
          <w:color w:val="FF0000"/>
          <w:sz w:val="20"/>
          <w:szCs w:val="20"/>
        </w:rPr>
        <w:t>(Button et al., 2022)</w:t>
      </w:r>
      <w:r w:rsidR="00DE4B2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w:t>
      </w:r>
    </w:p>
    <w:p w14:paraId="06285AE1" w14:textId="152B2CA8" w:rsidR="008663E1" w:rsidRPr="00EA688C" w:rsidRDefault="008663E1" w:rsidP="008663E1">
      <w:pPr>
        <w:spacing w:line="360" w:lineRule="auto"/>
        <w:ind w:firstLine="708"/>
        <w:jc w:val="both"/>
        <w:rPr>
          <w:rFonts w:ascii="Times New Roman" w:hAnsi="Times New Roman" w:cs="Times New Roman"/>
          <w:color w:val="FF0000"/>
          <w:sz w:val="20"/>
          <w:szCs w:val="20"/>
        </w:rPr>
      </w:pPr>
      <w:r w:rsidRPr="00EA688C">
        <w:rPr>
          <w:rFonts w:ascii="Times New Roman" w:hAnsi="Times New Roman" w:cs="Times New Roman"/>
          <w:color w:val="FF0000"/>
          <w:sz w:val="20"/>
          <w:szCs w:val="20"/>
        </w:rPr>
        <w:lastRenderedPageBreak/>
        <w:t>Soil thinning on convex hilltops, steep slopes, and shoulder positions reduces local nutrient reserves and water-holding capacity</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{"citationItems":[{"id":"ITEM-1","itemData":{"DOI":"10.1038/s43016-022-00533-8","ISSN":"26621355","abstract":"Soils used for crop production cover 15.5 million km2 and almost all have been tilled at some point in their history. However, it is unclear how the changes in soil depth and soil properties associated with tillage affect crop yields. Here we show that tillage on slopes thins soils and reduces wheat and maize yields. At the landscape scale, tillage erosion gradually reduces crop yields as the duration and intensity of tillage increase. Over the next 50–100 yr, the overall yields are likely to further decline as modern mechanized agriculture accelerates the process of tillage erosion compared with centuries of non-mechanized tillage. Arresting this downward trend will require more widespread adoption of no-tillage practices and avoidance of down-slope cultivation. The downward pressure on landscape-scale yields due to tillage erosion is expected to be amplified by climate-change-induced increases in dry spells during crop growth.","author":[{"dropping-particle":"","family":"Quinton","given":"John N.","non-dropping-particle":"","parse-names":false,"suffix":""},{"dropping-particle":"","family":"Öttl","given":"Lena K.","non-dropping-particle":"","parse-names":false,"suffix":""},{"dropping-particle":"","family":"Fiener","given":"Peter","non-dropping-particle":"","parse-names":false,"suffix":""}],"container-title":"Nature Food","id":"ITEM-1","issue":"6","issued":{"date-parts":[["2022"]]},"page":"472-479","publisher":"Springer US","title":"Tillage exacerbates the vulnerability of cereal crops to drought","type":"article-journal","volume":"3"},"uris":["http://www.mendeley.com/documents/?uuid=900ca38d-536a-43f5-88cf-01dda774e40a"]}],"mendeley":{"formattedCitation":"(Quinton et al., 2022)","plainTextFormattedCitation":"(Quinton et al., 2022)","previouslyFormattedCitation":"(Quinton et al., 2022)"},"properties":{"noteIndex":0},"schema":"https://github.com/citation-style-language/schema/raw/master/csl-citation.json"}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(Quinton et al., 2022)</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ultimately leading to decreased crop biomass production</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{"citationItems":[{"id":"ITEM-1","itemData":{"DOI":"10.1002/ldr.3968","ISSN":"1099145X","abstract":"Tillage erosion causes substantial soil redistribution that can exceed water erosion especially in hummocky landscapes under highly mechanized large field agriculture. Consequently, truncated soil profiles can be found on hill shoulders and top slopes, whereas colluvial material is accumulated at footslopes, in depressions, and along downslope field borders. We tested the hypothesis that soil erosion substantially affects in-field patterns of the enhanced vegetation index (EVI) of different crop types on landscape scale. The interrelation between the EVI (RAPIDEYE satellite data; 5 m spatial resolution) as a proxy for crop biomass and modeled total soil erosion (tillage and water erosion modeled using SPEROS-C) was analyzed for the Quillow catchment (size: 196 km2) in Northeast Germany in a wet versus normal year for four crop types (winter wheat, maize, winter rapeseed, winter barley). Our findings clearly indicate that eroded areas had the lowest EVI values, while the highest EVI values were found in depositional areas. The differences in the EVI between erosional and depositional sites are more pronounced in the analyzed normal year. The net effect of total erosion on the EVI compared to areas without pronounced erosion or deposition ranged from −10.2% for maize in the normal year to +3.7% for winter barley in the wet year. Tillage erosion has been identified as an important driver of soil degradation affecting in-field crop biomass patterns in a hummocky ground moraine landscape. While soil erosion estimates are to be made, more attention should be given toward tillage erosion.","author":[{"dropping-particle":"","family":"Öttl","given":"Lena Katharina","non-dropping-particle":"","parse-names":false,"suffix":""},{"dropping-particle":"","family":"Wilken","given":"Florian","non-dropping-particle":"","parse-names":false,"suffix":""},{"dropping-particle":"","family":"Auerswald","given":"Karl","non-dropping-particle":"","parse-names":false,"suffix":""},{"dropping-particle":"","family":"Sommer","given":"Michael","non-dropping-particle":"","parse-names":false,"suffix":""},{"dropping-particle":"","family":"Wehrhan","given":"Marc","non-dropping-particle":"","parse-names":false,"suffix":""},{"dropping-particle":"","family":"Fiener","given":"Peter","non-dropping-particle":"","parse-names":false,"suffix":""}],"container-title":"Land Degradation and Development","id":"ITEM-1","issue":"10","issued":{"date-parts":[["2021"]]},"page":"3077-3091","title":"Tillage erosion as an important driver of in-field biomass patterns in an intensively used hummocky landscape","type":"article-journal","volume":"32"},"uris":["http://www.mendeley.com/documents/?uuid=57e124d9-e594-4064-803d-95bff20c472b"]}],"mendeley":{"formattedCitation":"(Öttl et al., 2021)","plainTextFormattedCitation":"(Öttl et al., 2021)","previouslyFormattedCitation":"(Öttl et al., 2021)"},"properties":{"noteIndex":0},"schema":"https://github.com/citation-style-language/schema/raw/master/csl-citation.json"}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(Öttl et al., 2021)</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In contrast, the accumulation of fertile topsoil in concave landscape positions enhances nutrient and moisture availability, supporting greater biomass production (</w:t>
      </w:r>
      <w:proofErr w:type="spellStart"/>
      <w:r w:rsidRPr="00EA688C">
        <w:rPr>
          <w:rFonts w:ascii="Times New Roman" w:hAnsi="Times New Roman" w:cs="Times New Roman"/>
          <w:color w:val="FF0000"/>
          <w:sz w:val="20"/>
          <w:szCs w:val="20"/>
        </w:rPr>
        <w:t>Öttl</w:t>
      </w:r>
      <w:proofErr w:type="spellEnd"/>
      <w:r w:rsidRPr="00EA688C">
        <w:rPr>
          <w:rFonts w:ascii="Times New Roman" w:hAnsi="Times New Roman" w:cs="Times New Roman"/>
          <w:color w:val="FF0000"/>
          <w:sz w:val="20"/>
          <w:szCs w:val="20"/>
        </w:rPr>
        <w:t xml:space="preserve"> et al., 2021). As a result, the erosion–deposition process creates spatial heterogeneity in crop growth conditions, thereby influencing food production and soil carbon inputs. The spatial heterogeneity of above-ground biomass</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{"citationItems":[{"id":"ITEM-1","itemData":{"DOI":"10.1002/jpln.201600536","ISSN":"15222624","abstract":"Agricultural soil landscapes of hummocky ground moraines are characterized by 3D spatial patterns of soil types that result from profile modifications due to the combined effect of water and tillage erosion. We hypothesize that crops reflect such soil landscape patterns by increased or reduced plant and root growth. Root development may depend on the thickness and vertical sequence of soil horizons as well as on the structural development state of these horizons at different landscape positions. The hypotheses were tested using field data of the root density (RD) and the root lengths (RL) of winter wheat using the minirhizotron technique. We compared data from plots at the CarboZALF-D site (NE Germany) that are representing a non-eroded reference soil profile (Albic Luvisol) at a plateau position, a strongly eroded profile at steep slope (Calcaric Regosol), and a depositional profile at the footslope (Anocolluvic Regosol). At each of these plots, three Plexiglas access tubes were installed down to approx. 1.5 m soil depth. Root measurements were carried out during the growing season of winter wheat (September 2014–August 2015) on six dates. The root length density (RLD) and the root biomass density were derived from RD values assuming a mean specific root length of 100 m g−1. Values of RD and RLD were highest for the Anocolluvic Regosol and lowest for the Calcaric Regosol. The maximum root penetration depth was lower in the Anocolluvic Regosol because of a relatively high and fluctuating water table at this landscape position. Results revealed positive relations between below-ground (root) and above-ground crop parameters (i.e., leaf area index, plant height, biomass, and yield) for the three soil types. Observed root densities and root lengths in soils at the three landscape positions corroborated the hypothesis that the root system was reflecting erosion-induced soil profile modifications. Soil landscape position dependent root growth should be considered when attempting to quantify landscape scale water and element balances as well as agricultural productivity.","author":[{"dropping-particle":"","family":"Herbrich","given":"Marcus","non-dropping-particle":"","parse-names":false,"suffix":""},{"dropping-particle":"","family":"Gerke","given":"Horst H.","non-dropping-particle":"","parse-names":false,"suffix":""},{"dropping-particle":"","family":"Sommer","given":"Michael","non-dropping-particle":"","parse-names":false,"suffix":""}],"container-title":"Journal of Plant Nutrition and Soil Science","id":"ITEM-1","issue":"2","issued":{"date-parts":[["2018"]]},"page":"147-157","title":"Root development of winter wheat in erosion-affected soils depending on the position in a hummocky ground moraine soil landscape","type":"article-journal","volume":"181"},"uris":["http://www.mendeley.com/documents/?uuid=8fd97966-a688-4d7a-81ff-28ab8ebbf76b"]}],"mendeley":{"formattedCitation":"(Herbrich et al., 2018)","plainTextFormattedCitation":"(Herbrich et al., 2018)","previouslyFormattedCitation":"(Herbrich et al., 2018)"},"properties":{"noteIndex":0},"schema":"https://github.com/citation-style-language/schema/raw/master/csl-citation.json"}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(Herbrich et al., 2018)</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can be detected using the intercepted photosynthetically active radiation (IPAR) (</w:t>
      </w:r>
      <w:proofErr w:type="spellStart"/>
      <w:r w:rsidRPr="00EA688C">
        <w:rPr>
          <w:rFonts w:ascii="Times New Roman" w:hAnsi="Times New Roman" w:cs="Times New Roman"/>
          <w:color w:val="FF0000"/>
          <w:sz w:val="20"/>
          <w:szCs w:val="20"/>
        </w:rPr>
        <w:t>Öttl</w:t>
      </w:r>
      <w:proofErr w:type="spellEnd"/>
      <w:r w:rsidRPr="00EA688C">
        <w:rPr>
          <w:rFonts w:ascii="Times New Roman" w:hAnsi="Times New Roman" w:cs="Times New Roman"/>
          <w:color w:val="FF0000"/>
          <w:sz w:val="20"/>
          <w:szCs w:val="20"/>
        </w:rPr>
        <w:t xml:space="preserve"> et al., 2021), making wheat shoot a reliable indicator for mapping erosional status in hummocky landscapes. Enhancing canopy light capture through rapid early growth of leaf area or delayed leaf senescence is linked to higher yields</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{"citationItems":[{"id":"ITEM-1","itemData":{"DOI":"10.1093/jxb/erq304","ISSN":"00220957","PMID":"21030385","abstract":"Past increases in yield potential of wheat have largely resulted from improvements in harvest index rather than increased biomass. Further large increases in harvest index are unlikely, but an opportunity exists for increasing productive biomass and harvestable grain. Photosynthetic capacity and efficiency are bottlenecks to raising productivity and there is strong evidence that increasing photosynthesis will increase crop yields provided that other constraints do not become limiting. Even small increases in the rate of net photosynthesis can translate into large increases in biomass and hence yield, since carbon assimilation is integrated over the entire growing season and crop canopy. This review discusses the strategies to increase photosynthesis that are being proposed by the wheat yield consortium in order to increase wheat yields. These include: selection for photosynthetic capacity and efficiency, increasing ear photosynthesis, optimizing canopy photosynthesis, introducing chloroplast CO2 pumps, increasing RuBP regeneration, improving the thermal stability of Rubisco activase, and replacing wheat Rubisco with that from other species with different kinetic properties. © 2010 The Author(s).","author":[{"dropping-particle":"","family":"Parry","given":"Martin A.J.","non-dropping-particle":"","parse-names":false,"suffix":""},{"dropping-particle":"","family":"Reynolds","given":"Matthew","non-dropping-particle":"","parse-names":false,"suffix":""},{"dropping-particle":"","family":"Salvucci","given":"Michael E.","non-dropping-particle":"","parse-names":false,"suffix":""},{"dropping-particle":"","family":"Raines","given":"Christine","non-dropping-particle":"","parse-names":false,"suffix":""},{"dropping-particle":"","family":"Andralojc","given":"P. John","non-dropping-particle":"","parse-names":false,"suffix":""},{"dropping-particle":"","family":"Zhu","given":"Xin Guang","non-dropping-particle":"","parse-names":false,"suffix":""},{"dropping-particle":"","family":"Price","given":"G. Dean","non-dropping-particle":"","parse-names":false,"suffix":""},{"dropping-particle":"","family":"Condon","given":"Anthony G.","non-dropping-particle":"","parse-names":false,"suffix":""},{"dropping-particle":"","family":"Furbank","given":"Robert T.","non-dropping-particle":"","parse-names":false,"suffix":""}],"container-title":"Journal of Experimental Botany","id":"ITEM-1","issue":"2","issued":{"date-parts":[["2011"]]},"page":"453-467","title":"Raising yield potential of wheat. II. Increasing photosynthetic capacity and efficiency","type":"article-journal","volume":"62"},"uris":["http://www.mendeley.com/documents/?uuid=c66c17ea-4fb7-4bb8-b239-888d756b7002"]}],"mendeley":{"formattedCitation":"(Parry et al., 2011)","plainTextFormattedCitation":"(Parry et al., 2011)","previouslyFormattedCitation":"(Parry et al., 2011)"},"properties":{"noteIndex":0},"schema":"https://github.com/citation-style-language/schema/raw/master/csl-citation.json"}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(Parry et al., 2011)</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Therefore, grain yield in wheat is closely linked to above-ground biomass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{"citationItems":[{"id":"ITEM-1","itemData":{"DOI":"10.3389/fpls.2019.01771","ISSN":"1664462X","abstract":"Optimizing the interplay between sinks and sources is of crucial importance for breeding progress in winter wheat. However, the physiological limitations of yield from source (e.g. green canopy duration, GCD) and sink (e.g. grain number) are still unclear. Furthermore, there is little information on how the source traits have been modified during the breeding history of winter wheat. This study analyzed the breeding progress of sink and source components and their relationships to yield components. Field trials were conducted over three years with 220 cultivars representing the German breeding history of the past five decades. In addition, genetic associations of QTL for the traits were assessed with genome-wide association studies. Breeding progress mainly resulted from an increase in grain numbers per spike, a sink component, whose variations were largely explained by the photosynthetic activity around anthesis, a source component. Surprisingly, despite significant breeding progress in GCD and other source components, they showed no direct influence on thousand grain weights, indicating that grain filling was not limited by the source strength. Our results suggest that, 1) the potential longevity of the green canopy is predetermined at the time point that the number of grains is fixed; 2) a co-evolution of source and sink strength during the breeding history contribute to the yield formation of the modern cultivars. For future breeding we suggest to choose parental lines with high grain numbers per spike on the sink side, and high photosynthetic activity around anthesis and canopy duration on the source side, and to place emphasis on these traits throughout selection.","author":[{"dropping-particle":"","family":"Lichthardt","given":"Carolin","non-dropping-particle":"","parse-names":false,"suffix":""},{"dropping-particle":"","family":"Chen","given":"Tsu Wei","non-dropping-particle":"","parse-names":false,"suffix":""},{"dropping-particle":"","family":"Stahl","given":"Andreas","non-dropping-particle":"","parse-names":false,"suffix":""},{"dropping-particle":"","family":"Stützel","given":"Hartmut","non-dropping-particle":"","parse-names":false,"suffix":""}],"container-title":"Frontiers in Plant Science","id":"ITEM-1","issue":"February","issued":{"date-parts":[["2020"]]},"page":"1-15","title":"Co-Evolution of Sink and Source in the Recent Breeding History of Winter Wheat in Germany","type":"article-journal","volume":"10"},"uris":["http://www.mendeley.com/documents/?uuid=dab6b011-62aa-4dd6-8f77-0c1849eb3669"]}],"mendeley":{"formattedCitation":"(Lichthardt et al., 2020)","plainTextFormattedCitation":"(Lichthardt et al., 2020)","previouslyFormattedCitation":"(Lichthardt et al., 2020)"},"properties":{"noteIndex":0},"schema":"https://github.com/citation-style-language/schema/raw/master/csl-citation.json"}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(Lichthardt et al., 2020)</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This relationship has traditionally guided breeding strategies which aimed at boosting productivity by increasing crop biomass</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{"citationItems":[{"id":"ITEM-1","itemData":{"DOI":"10.1007/s10681-014-1268-0","ISSN":"15735060","abstract":"Increasing biomass accumulation is becoming a major objective of most bread wheat (Triticum aestivum L.) breeding programs worldwide. This study addresses the changes caused by breeding in the pattern of wheat growth and its relationship with the presence of Rht dwarfing alleles. A historical series of 16 varieties representative of the most widely grown during the twentieth century in Spain, including landraces (grown before 1940’s), initial (1947–1955) and modern (1972–2001) cultivars, was characterized for Rht8c, Rht-B1b and Rht-D1b dwarfing alleles. Changes in biomass accumulation and partitioning, leaf area index (LAI) and leaf area duration (LAD) were studied in four field experiments conducted in NE Spain. Biomass and LAI at the beginning of jointing were reduced by ca. 20 and 40 % in varieties carrying one or two dwarfing alleles, respectively. The rates of biomass accumulation from the beginning of jointing to anthesis were similar for wheats from the three historical periods (ca. 1.70 g m−2 GDD−1), and amongst varieties carrying a different number of dwarfing alleles. Almost 80 % of absolute yield gains during the last century were due to increases in the spikes weight per unit area from milk-grain to maturity. Initial varieties maintained and modern varieties increased above-ground biomass from milk-grain stage to maturity. The contribution of photosynthesis during this last phase was enhanced in modern varieties due to increases in LAI at milk-grain stage (0.83 % y−1) and of LAD from it to maturity (0.79 % y−1). Changes on the pattern of biomass accumulation and partitioning caused by the introduction of improved varieties were related to the number of dwarfing alleles present. The contribution of photosynthesis to grain filling was increased in modern varieties due to improved LAI values at milk-grain stage and, subsequently, a longer LAD.","author":[{"dropping-particle":"","family":"Sanchez-Garcia","given":"Miguel","non-dropping-particle":"","parse-names":false,"suffix":""},{"dropping-particle":"","family":"Álvaro","given":"Fanny","non-dropping-particle":"","parse-names":false,"suffix":""},{"dropping-particle":"","family":"Peremarti","given":"Ariadna","non-dropping-particle":"","parse-names":false,"suffix":""},{"dropping-particle":"","family":"Trevaskis","given":"Ben","non-dropping-particle":"","parse-names":false,"suffix":""},{"dropping-particle":"","family":"Martín-Sánchez","given":"Juan A.","non-dropping-particle":"","parse-names":false,"suffix":""},{"dropping-particle":"","family":"Royo","given":"Conxita","non-dropping-particle":"","parse-names":false,"suffix":""}],"container-title":"Euphytica","id":"ITEM-1","issue":"2","issued":{"date-parts":[["2015"]]},"page":"321-336","title":"Breeding effects on dry matter accumulation and partitioning in Spanish bread wheat during the 20th century","type":"article-journal","volume":"203"},"uris":["http://www.mendeley.com/documents/?uuid=ff6532c6-e87b-4adb-8a75-75a67c7ba1ea"]}],"mendeley":{"formattedCitation":"(Sanchez-Garcia et al., 2015)","plainTextFormattedCitation":"(Sanchez-Garcia et al., 2015)","previouslyFormattedCitation":"(Sanchez-Garcia et al., 2015)"},"properties":{"noteIndex":0},"schema":"https://github.com/citation-style-language/schema/raw/master/csl-citation.json"}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(Sanchez-Garcia et al., 2015)</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w:t>
      </w:r>
    </w:p>
    <w:p w14:paraId="55330F5A" w14:textId="13699974" w:rsidR="008663E1" w:rsidRPr="00EA688C" w:rsidRDefault="008663E1" w:rsidP="008663E1">
      <w:pPr>
        <w:spacing w:line="360" w:lineRule="auto"/>
        <w:ind w:firstLine="708"/>
        <w:jc w:val="both"/>
        <w:rPr>
          <w:rFonts w:ascii="Times New Roman" w:hAnsi="Times New Roman" w:cs="Times New Roman"/>
          <w:color w:val="FF0000"/>
          <w:sz w:val="20"/>
          <w:szCs w:val="20"/>
        </w:rPr>
      </w:pPr>
      <w:r w:rsidRPr="00EA688C">
        <w:rPr>
          <w:rFonts w:ascii="Times New Roman" w:hAnsi="Times New Roman" w:cs="Times New Roman"/>
          <w:color w:val="FF0000"/>
          <w:sz w:val="20"/>
          <w:szCs w:val="20"/>
        </w:rPr>
        <w:t>However, studies have shown that wheat cultivar development have focused solely on increasing grain yield, often at the expense of root biomass production</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{"citationItems":[{"id":"ITEM-1","itemData":{"DOI":"10.1002/sae2.12048","ISSN":"2767035X","abstract":"Introduction: Humanity is facing two great challenges: producing enough food for a growing population and mitigating greenhouse gas emissions. In this study, we investigated the choice of specific wheat varieties to improve carbon storage in soil while producing enough grain to assure food security. We hypothesize that ancient wheat varieties could store more carbon than modern ones, due to a likely bigger and deeper root system or to more recalcitrant root organic matter. Materials and Methods: We conducted a field experiment with four modern and four ancient wheat varieties, on four different sites with contrasted soil properties. Root morphology was assessed by image analysis and potential CO2 emissions by incubation for 60 days. Since in situ carbon storage differences between ancient and modern varieties were expected to be weak and not cumulated due to rotation, we estimated expected CO2 emissions from root biomass and potential CO2 emissions. The grain yield was also measured. Results: The breeding type (ancient vs. modern varieties) affected root length in two of our four sites, with longer roots for ancient varieties, but it did not affect other root traits such as biomass. The breeding type also affected CO2 emissions, with higher measured CO2 emissions for modern than ancient varieties in Arenic Cambisol conditions (Morvan), and higher estimated (considering root biomass variations) CO2 emissions for modern varieties in Rendzic Leptosol conditions (Saint Romain). Root traits and estimated CO2 emissions were also dependent on the soil properties of the different sites. We did not find any significant differences in grain yield between ancient and modern varieties. Conclusion: A possible trade-off between carbon storage and grain production was expected, but our results suggest that some types of soil can support both high grain yield and C storage, especially those with an important depth, a neutral pH and a fine texture.","author":[{"dropping-particle":"","family":"Rouch","given":"Laly","non-dropping-particle":"","parse-names":false,"suffix":""},{"dropping-particle":"","family":"Follain","given":"Stéphane","non-dropping-particle":"","parse-names":false,"suffix":""},{"dropping-particle":"","family":"Pimet","given":"Eric","non-dropping-particle":"","parse-names":false,"suffix":""},{"dropping-particle":"","family":"Bizouard","given":"Florian","non-dropping-particle":"","parse-names":false,"suffix":""},{"dropping-particle":"","family":"Cognard","given":"Elodie","non-dropping-particle":"","parse-names":false,"suffix":""},{"dropping-particle":"","family":"Mathieu","given":"Olivier","non-dropping-particle":"","parse-names":false,"suffix":""},{"dropping-particle":"","family":"Blouin","given":"Manuel","non-dropping-particle":"","parse-names":false,"suffix":""}],"container-title":"Journal of Sustainable Agriculture and Environment","id":"ITEM-1","issue":"3","issued":{"date-parts":[["2023"]]},"page":"238-250","title":"Ancient and modern wheat varieties: A trade-off between soil CO2 emissions and grain yield?","type":"article-journal","volume":"2"},"uris":["http://www.mendeley.com/documents/?uuid=c27929a9-1843-4b30-95be-1f7def5a5da3"]}],"mendeley":{"formattedCitation":"(Rouch et al., 2023)","plainTextFormattedCitation":"(Rouch et al., 2023)","previouslyFormattedCitation":"(Rouch et al., 2023)"},"properties":{"noteIndex":0},"schema":"https://github.com/citation-style-language/schema/raw/master/csl-citation.json"}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(Rouch et al., 2023)</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This not only weakens crop resilience in the face of increasing climate change challenges</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{"citationItems":[{"id":"ITEM-1","itemData":{"DOI":"10.1038/s41477-024-01739-3","ISSN":"20550278","abstract":"Increasing global food demand will require more food production1 without further exceeding the planetary boundaries2 while simultaneously adapting to climate change3. We used an ensemble of wheat simulation models with improved sink and source traits from the highest-yielding wheat genotypes4 to quantify potential yield gains and associated nitrogen requirements. This was explored for current and climate change scenarios across representative sites of major world wheat producing regions. The improved sink and source traits increased yield by 16% with current nitrogen fertilizer applications under both current climate and mid-century climate change scenarios. To achieve the full yield potential—a 52% increase in global average yield under a mid-century high warming climate scenario (RCP8.5), fertilizer use would need to increase fourfold over current use, which would unavoidably lead to higher environmental impacts from wheat production. Our results show the need to improve soil nitrogen availability and nitrogen use efficiency, along with yield potential.","author":[{"dropping-particle":"","family":"Martre","given":"Pierre","non-dropping-particle":"","parse-names":false,"suffix":""},{"dropping-particle":"","family":"Dueri","given":"Sibylle","non-dropping-particle":"","parse-names":false,"suffix":""},{"dropping-particle":"","family":"Guarin","given":"Jose Rafael","non-dropping-particle":"","parse-names":false,"suffix":""},{"dropping-particle":"","family":"Ewert","given":"Frank","non-dropping-particle":"","parse-names":false,"suffix":""},{"dropping-particle":"","family":"Webber","given":"Heidi","non-dropping-particle":"","parse-names":false,"suffix":""},{"dropping-particle":"","family":"Calderini","given":"Daniel","non-dropping-particle":"","parse-names":false,"suffix":""},{"dropping-particle":"","family":"Molero","given":"Gemma","non-dropping-particle":"","parse-names":false,"suffix":""},{"dropping-particle":"","family":"Reynolds","given":"Matthew","non-dropping-particle":"","parse-names":false,"suffix":""},{"dropping-particle":"","family":"Miralles","given":"Daniel","non-dropping-particle":"","parse-names":false,"suffix":""},{"dropping-particle":"","family":"Garcia","given":"Guillermo","non-dropping-particle":"","parse-names":false,"suffix":""},{"dropping-particle":"","family":"Brown","given":"Hamish","non-dropping-particle":"","parse-names":false,"suffix":""},{"dropping-particle":"","family":"George","given":"Mike","non-dropping-particle":"","parse-names":false,"suffix":""},{"dropping-particle":"","family":"Craigie","given":"Rob","non-dropping-particle":"","parse-names":false,"suffix":""},{"dropping-particle":"","family":"Cohan","given":"Jean Pierre","non-dropping-particle":"","parse-names":false,"suffix":""},{"dropping-particle":"","family":"Deswarte","given":"Jean Charles","non-dropping-particle":"","parse-names":false,"suffix":""},{"dropping-particle":"","family":"Slafer","given":"Gustavo","non-dropping-particle":"","parse-names":false,"suffix":""},{"dropping-particle":"","family":"Giunta","given":"Francesco","non-dropping-particle":"","parse-names":false,"suffix":""},{"dropping-particle":"","family":"Cammarano","given":"Davide","non-dropping-particle":"","parse-names":false,"suffix":""},{"dropping-particle":"","family":"Ferrise","given":"Roberto","non-dropping-particle":"","parse-names":false,"suffix":""},{"dropping-particle":"","family":"Gaiser","given":"Thomas","non-dropping-particle":"","parse-names":false,"suffix":""},{"dropping-particle":"","family":"Gao","given":"Yujing","non-dropping-particle":"","parse-names":false,"suffix":""},{"dropping-particle":"","family":"Hochman","given":"Zvi","non-dropping-particle":"","parse-names":false,"suffix":""},{"dropping-particle":"","family":"Hoogenboom","given":"Gerrit","non-dropping-particle":"","parse-names":false,"suffix":""},{"dropping-particle":"","family":"Hunt","given":"Leslie A.","non-dropping-particle":"","parse-names":false,"suffix":""},{"dropping-particle":"","family":"Kersebaum","given":"Kurt C.","non-dropping-particle":"","parse-names":false,"suffix":""},{"dropping-particle":"","family":"Nendel","given":"Claas","non-dropping-particle":"","parse-names":false,"suffix":""},{"dropping-particle":"","family":"Padovan","given":"Gloria","non-dropping-particle":"","parse-names":false,"suffix":""},{"dropping-particle":"","family":"Ruane","given":"Alex C.","non-dropping-particle":"","parse-names":false,"suffix":""},{"dropping-particle":"","family":"Srivastava","given":"Amit Kumar","non-dropping-particle":"","parse-names":false,"suffix":""},{"dropping-particle":"","family":"Stella","given":"Tommaso","non-dropping-particle":"","parse-names":false,"suffix":""},{"dropping-particle":"","family":"Supit","given":"Iwan","non-dropping-particle":"","parse-names":false,"suffix":""},{"dropping-particle":"","family":"Thorburn","given":"Peter","non-dropping-particle":"","parse-names":false,"suffix":""},{"dropping-particle":"","family":"Wang","given":"Enli","non-dropping-particle":"","parse-names":false,"suffix":""},{"dropping-particle":"","family":"Wolf","given":"Joost","non-dropping-particle":"","parse-names":false,"suffix":""},{"dropping-particle":"","family":"Zhao","given":"Chuang","non-dropping-particle":"","parse-names":false,"suffix":""},{"dropping-particle":"","family":"Zhao","given":"Zhigan","non-dropping-particle":"","parse-names":false,"suffix":""},{"dropping-particle":"","family":"Asseng","given":"Senthold","non-dropping-particle":"","parse-names":false,"suffix":""}],"container-title":"Nature Plants","id":"ITEM-1","issue":"7","issued":{"date-parts":[["2024"]]},"page":"1081-1090","publisher":"Springer US","title":"Global needs for nitrogen fertilizer to improve wheat yield under climate change","type":"article-journal","volume":"10"},"uris":["http://www.mendeley.com/documents/?uuid=b108b834-6271-4df2-97fc-3bbd65072115"]},{"id":"ITEM-2","itemData":{"DOI":"10.1038/s41558-022-01376-8","ISBN":"4155802201","ISSN":"17586798","abstract":"Interactions between soil quality and climate change may influence the capacity of croplands to produce sufficient food. Here, we address this issue by using a new dataset of soil, climate and associated yield observations for 12,115 site-years representing 90% of total cereal production in China. Across crops and environmental conditions, we show that high-quality soils reduced the sensitivity of crop yield to climate variability leading to both higher mean crop yield (10.3 ± 6.7%) and higher yield stability (decreasing variability by 15.6 ± 14.4%). High-quality soils improve the outcome for yields under climate change by 1.7% (0.5–4.0%), compared to low-quality soils. Climate-driven yield change could result in reductions of national cereal production of 11.4 Mt annually under representative concentration pathway RCP 8.5 by 2080–2099. While this production reduction was exacerbated by 14% due to soil degradation, it can be reduced by 21% through soil improvement. This study emphasizes the vital role of soil quality in agriculture under climate change.","author":[{"dropping-particle":"","family":"Qiao","given":"Lei","non-dropping-particle":"","parse-names":false,"suffix":""},{"dropping-particle":"","family":"Wang","given":"Xuhui","non-dropping-particle":"","parse-names":false,"suffix":""},{"dropping-particle":"","family":"Smith","given":"Pete","non-dropping-particle":"","parse-names":false,"suffix":""},{"dropping-particle":"","family":"Fan","given":"Jinlong","non-dropping-particle":"","parse-names":false,"suffix":""},{"dropping-particle":"","family":"Lu","given":"Yuelai","non-dropping-particle":"","parse-names":false,"suffix":""},{"dropping-particle":"","family":"Emmett","given":"Bridget","non-dropping-particle":"","parse-names":false,"suffix":""},{"dropping-particle":"","family":"Li","given":"Rong","non-dropping-particle":"","parse-names":false,"suffix":""},{"dropping-particle":"","family":"Dorling","given":"Stephen","non-dropping-particle":"","parse-names":false,"suffix":""},{"dropping-particle":"","family":"Chen","given":"Haiqing","non-dropping-particle":"","parse-names":false,"suffix":""},{"dropping-particle":"","family":"Liu","given":"Shaogui","non-dropping-particle":"","parse-names":false,"suffix":""},{"dropping-particle":"","family":"Benton","given":"Tim G.","non-dropping-particle":"","parse-names":false,"suffix":""},{"dropping-particle":"","family":"Wang","given":"Yaojun","non-dropping-particle":"","parse-names":false,"suffix":""},{"dropping-particle":"","family":"Ma","given":"Yuqing","non-dropping-particle":"","parse-names":false,"suffix":""},{"dropping-particle":"","family":"Jiang","given":"Rongfeng","non-dropping-particle":"","parse-names":false,"suffix":""},{"dropping-particle":"","family":"Zhang","given":"Fusuo","non-dropping-particle":"","parse-names":false,"suffix":""},{"dropping-particle":"","family":"Piao","given":"Shilong","non-dropping-particle":"","parse-names":false,"suffix":""},{"dropping-particle":"","family":"Mϋller","given":"Christoph","non-dropping-particle":"","parse-names":false,"suffix":""},{"dropping-particle":"","family":"Yang","given":"Huaqing","non-dropping-particle":"","parse-names":false,"suffix":""},{"dropping-particle":"","family":"Hao","given":"Yanan","non-dropping-particle":"","parse-names":false,"suffix":""},{"dropping-particle":"","family":"Li","given":"Wangmei","non-dropping-particle":"","parse-names":false,"suffix":""},{"dropping-particle":"","family":"Fan","given":"Mingsheng","non-dropping-particle":"","parse-names":false,"suffix":""}],"container-title":"Nature Climate Change","id":"ITEM-2","issue":"6","issued":{"date-parts":[["2022"]]},"page":"574-580","title":"Soil quality both increases crop production and improves resilience to climate change","type":"article-journal","volume":"12"},"uris":["http://www.mendeley.com/documents/?uuid=1c863936-2692-462e-8c97-e67594fbb75b"]}],"mendeley":{"formattedCitation":"(Martre et al., 2024; Qiao et al., 2022)","plainTextFormattedCitation":"(Martre et al., 2024; Qiao et al., 2022)","previouslyFormattedCitation":"(Martre et al., 2024; Qiao et al., 2022)"},"properties":{"noteIndex":0},"schema":"https://github.com/citation-style-language/schema/raw/master/csl-citation.json"}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(Martre et al., 2024; Qiao et al., 2022)</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but also jeopardizes the recovery of eroded soils and neglects their potential for enhanced C sequestration. It is known that bigger root system may be associated with enhanced water and nutrient uptake, leading to higher grain yields</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{"citationItems":[{"id":"ITEM-1","itemData":{"DOI":"10.1111/pbr.12371","ISSN":"14390523","abstract":"Nitrogen fertilizer is the most used nutrient source in modern agriculture and represents significant environmental and production costs. In the meantime, the demand for grain increases and production per area has to increase as new cultivated areas are scarce. In this context, breeding for an efficient use of nitrogen became a major objective. In wheat, nitrogen is required to maintain a photosynthetically active canopy ensuring grain yield and to produce grain storage proteins that are generally needed to maintain a high end-use quality. This review presents current knowledge of physiological, metabolic and genetic factors influencing nitrogen uptake and utilization in the context of different nitrogen management systems. This includes the role of root system and its interactions with microorganisms, nitrate assimilation and its relationship with photosynthesis as postanthesis remobilization and nitrogen partitioning. Regarding nitrogen-use efficiency complexity, several physiological avenues for increasing it were discussed and their phenotyping methods were reviewed. Phenotypic and molecular breeding strategies were also reviewed and discussed regarding nitrogen regimes and genetic diversity.","author":[{"dropping-particle":"","family":"Cormier","given":"Fabien","non-dropping-particle":"","parse-names":false,"suffix":""},{"dropping-particle":"","family":"Foulkes","given":"John","non-dropping-particle":"","parse-names":false,"suffix":""},{"dropping-particle":"","family":"Hirel","given":"Bertrand","non-dropping-particle":"","parse-names":false,"suffix":""},{"dropping-particle":"","family":"Gouache","given":"David","non-dropping-particle":"","parse-names":false,"suffix":""},{"dropping-particle":"","family":"Moënne-Loccoz","given":"Yvan","non-dropping-particle":"","parse-names":false,"suffix":""},{"dropping-particle":"","family":"Gouis","given":"Jacques","non-dropping-particle":"Le","parse-names":false,"suffix":""}],"container-title":"Plant Breeding","id":"ITEM-1","issue":"3","issued":{"date-parts":[["2016"]]},"page":"255-278","title":"Breeding for increased nitrogen-use efficiency: A review for wheat (T. aestivum L.)","type":"article-journal","volume":"135"},"uris":["http://www.mendeley.com/documents/?uuid=41b3151e-91db-45f8-9fe4-85e0ea0f702c"]}],"mendeley":{"formattedCitation":"(Cormier et al., 2016)","plainTextFormattedCitation":"(Cormier et al., 2016)","previouslyFormattedCitation":"(Cormier et al., 2016)"},"properties":{"noteIndex":0},"schema":"https://github.com/citation-style-language/schema/raw/master/csl-citation.json"}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(Cormier et al., 2016)</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Root traits like depth and density are particularly critical for N capture</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{"citationItems":[{"id":"ITEM-1","itemData":{"DOI":"10.1007/s11104-024-06839-9","ISBN":"1110402406","ISSN":"15735036","abstract":"Background and aims: While nitrogen (N) derived from soil organic matter significantly sustains agricultural plants, the complexities of organic N utilization pathways remain poorly understood. Knowledge gaps persist regarding diverse organic N pools, the microbial processes in N mineralization, and how plants shape the N-mineralizing microbial community through root exudation. Results: To address these gaps, we propose an integrated conceptual framework that explores the intricate interplay of soil, plant, and microbiome dynamics within the context of soil carbon (C) cycling. Emphasizing plant effects on gross depolymerization and deamination of organic N—a crucial yet often overlooked aspect—we aim to enhance our understanding of plant N utilization pathways. In this context, we suggest considering the linkages between root and hyphal exudation, followed by rhizosphere priming effects which in turn control N mobilization. Based on the relation between exudation and N turnover, we identify microbial necromass as a potentially important organic N source for plants. Furthermore, we propose applying root economic theory to gain insights into the diverse strategies employed by plants in accessing soil organic N. Stable isotope tracers and functional microbiome analytics provide tools to decipher the complex network of the pathways of organic N utilization. Conclusions: The envisioned holistic framework for organic N utilization pathways, intricately connects plants, soil, and microorganisms. This lays the groundwork for sustainable agricultural practices, potentially reducing N losses.","author":[{"dropping-particle":"","family":"Holz","given":"Maire","non-dropping-particle":"","parse-names":false,"suffix":""},{"dropping-particle":"","family":"Lewin","given":"Simon","non-dropping-particle":"","parse-names":false,"suffix":""},{"dropping-particle":"","family":"Kolb","given":"Steffen","non-dropping-particle":"","parse-names":false,"suffix":""},{"dropping-particle":"","family":"Becker","given":"Joscha N.","non-dropping-particle":"","parse-names":false,"suffix":""},{"dropping-particle":"","family":"Bergmann","given":"Joana","non-dropping-particle":"","parse-names":false,"suffix":""}],"container-title":"Plant and Soil","id":"ITEM-1","issue":"0123456789","issued":{"date-parts":[["2024"]]},"publisher":"Springer International Publishing","title":"How to get to the N – a call for interdisciplinary research on organic N utilization pathways by plants","type":"article-journal"},"uris":["http://www.mendeley.com/documents/?uuid=5f1d6887-58dc-4e7a-bb6f-06372ee8ff8f"]}],"mendeley":{"formattedCitation":"(Holz et al., 2024)","plainTextFormattedCitation":"(Holz et al., 2024)","previouslyFormattedCitation":"(Holz et al., 2024)"},"properties":{"noteIndex":0},"schema":"https://github.com/citation-style-language/schema/raw/master/csl-citation.json"}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(Holz et al., 2024)</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further supporting yield improvements </w:t>
      </w:r>
      <w:r w:rsidRPr="00EA688C">
        <w:rPr>
          <w:rFonts w:ascii="Times New Roman" w:hAnsi="Times New Roman" w:cs="Times New Roman"/>
          <w:color w:val="FF0000"/>
          <w:sz w:val="20"/>
          <w:szCs w:val="20"/>
        </w:rPr>
        <w:fldChar w:fldCharType="begin" w:fldLock="1"/>
      </w:r>
      <w:r w:rsidRPr="00EA688C">
        <w:rPr>
          <w:rFonts w:ascii="Times New Roman" w:hAnsi="Times New Roman" w:cs="Times New Roman"/>
          <w:color w:val="FF0000"/>
          <w:sz w:val="20"/>
          <w:szCs w:val="20"/>
        </w:rPr>
        <w:instrText>ADDIN CSL_CITATION {"citationItems":[{"id":"ITEM-1","itemData":{"DOI":"10.1038/s41477-024-01739-3","ISSN":"20550278","abstract":"Increasing global food demand will require more food production1 without further exceeding the planetary boundaries2 while simultaneously adapting to climate change3. We used an ensemble of wheat simulation models with improved sink and source traits from the highest-yielding wheat genotypes4 to quantify potential yield gains and associated nitrogen requirements. This was explored for current and climate change scenarios across representative sites of major world wheat producing regions. The improved sink and source traits increased yield by 16% with current nitrogen fertilizer applications under both current climate and mid-century climate change scenarios. To achieve the full yield potential—a 52% increase in global average yield under a mid-century high warming climate scenario (RCP8.5), fertilizer use would need to increase fourfold over current use, which would unavoidably lead to higher environmental impacts from wheat production. Our results show the need to improve soil nitrogen availability and nitrogen use efficiency, along with yield potential.","author":[{"dropping-particle":"","family":"Martre","given":"Pierre","non-dropping-particle":"","parse-names":false,"suffix":""},{"dropping-particle":"","family":"Dueri","given":"Sibylle","non-dropping-particle":"","parse-names":false,"suffix":""},{"dropping-particle":"","family":"Guarin","given":"Jose Rafael","non-dropping-particle":"","parse-names":false,"suffix":""},{"dropping-particle":"","family":"Ewert","given":"Frank","non-dropping-particle":"","parse-names":false,"suffix":""},{"dropping-particle":"","family":"Webber","given":"Heidi","non-dropping-particle":"","parse-names":false,"suffix":""},{"dropping-particle":"","family":"Calderini","given":"Daniel","non-dropping-particle":"","parse-names":false,"suffix":""},{"dropping-particle":"","family":"Molero","given":"Gemma","non-dropping-particle":"","parse-names":false,"suffix":""},{"dropping-particle":"","family":"Reynolds","given":"Matthew","non-dropping-particle":"","parse-names":false,"suffix":""},{"dropping-particle":"","family":"Miralles","given":"Daniel","non-dropping-particle":"","parse-names":false,"suffix":""},{"dropping-particle":"","family":"Garcia","given":"Guillermo","non-dropping-particle":"","parse-names":false,"suffix":""},{"dropping-particle":"","family":"Brown","given":"Hamish","non-dropping-particle":"","parse-names":false,"suffix":""},{"dropping-particle":"","family":"George","given":"Mike","non-dropping-particle":"","parse-names":false,"suffix":""},{"dropping-particle":"","family":"Craigie","given":"Rob","non-dropping-particle":"","parse-names":false,"suffix":""},{"dropping-particle":"","family":"Cohan","given":"Jean Pierre","non-dropping-particle":"","parse-names":false,"suffix":""},{"dropping-particle":"","family":"Deswarte","given":"Jean Charles","non-dropping-particle":"","parse-names":false,"suffix":""},{"dropping-particle":"","family":"Slafer","given":"Gustavo","non-dropping-particle":"","parse-names":false,"suffix":""},{"dropping-particle":"","family":"Giunta","given":"Francesco","non-dropping-particle":"","parse-names":false,"suffix":""},{"dropping-particle":"","family":"Cammarano","given":"Davide","non-dropping-particle":"","parse-names":false,"suffix":""},{"dropping-particle":"","family":"Ferrise","given":"Roberto","non-dropping-particle":"","parse-names":false,"suffix":""},{"dropping-particle":"","family":"Gaiser","given":"Thomas","non-dropping-particle":"","parse-names":false,"suffix":""},{"dropping-particle":"","family":"Gao","given":"Yujing","non-dropping-particle":"","parse-names":false,"suffix":""},{"dropping-particle":"","family":"Hochman","given":"Zvi","non-dropping-particle":"","parse-names":false,"suffix":""},{"dropping-particle":"","family":"Hoogenboom","given":"Gerrit","non-dropping-particle":"","parse-names":false,"suffix":""},{"dropping-particle":"","family":"Hunt","given":"Leslie A.","non-dropping-particle":"","parse-names":false,"suffix":""},{"dropping-particle":"","family":"Kersebaum","given":"Kurt C.","non-dropping-particle":"","parse-names":false,"suffix":""},{"dropping-particle":"","family":"Nendel","given":"Claas","non-dropping-particle":"","parse-names":false,"suffix":""},{"dropping-particle":"","family":"Padovan","given":"Gloria","non-dropping-particle":"","parse-names":false,"suffix":""},{"dropping-particle":"","family":"Ruane","given":"Alex C.","non-dropping-particle":"","parse-names":false,"suffix":""},{"dropping-particle":"","family":"Srivastava","given":"Amit Kumar","non-dropping-particle":"","parse-names":false,"suffix":""},{"dropping-particle":"","family":"Stella","given":"Tommaso","non-dropping-particle":"","parse-names":false,"suffix":""},{"dropping-particle":"","family":"Supit","given":"Iwan","non-dropping-particle":"","parse-names":false,"suffix":""},{"dropping-particle":"","family":"Thorburn","given":"Peter","non-dropping-particle":"","parse-names":false,"suffix":""},{"dropping-particle":"","family":"Wang","given":"Enli","non-dropping-particle":"","parse-names":false,"suffix":""},{"dropping-particle":"","family":"Wolf","given":"Joost","non-dropping-particle":"","parse-names":false,"suffix":""},{"dropping-particle":"","family":"Zhao","given":"Chuang","non-dropping-particle":"","parse-names":false,"suffix":""},{"dropping-particle":"","family":"Zhao","given":"Zhigan","non-dropping-particle":"","parse-names":false,"suffix":""},{"dropping-particle":"","family":"Asseng","given":"Senthold","non-dropping-particle":"","parse-names":false,"suffix":""}],"container-title":"Nature Plants","id":"ITEM-1","issue":"7","issued":{"date-parts":[["2024"]]},"page":"1081-1090","publisher":"Springer US","title":"Global needs for nitrogen fertilizer to improve wheat yield under climate change","type":"article-journal","volume":"10"},"uris":["http://www.mendeley.com/documents/?uuid=b108b834-6271-4df2-97fc-3bbd65072115"]}],"mendeley":{"formattedCitation":"(Martre et al., 2024)","plainTextFormattedCitation":"(Martre et al., 2024)","previouslyFormattedCitation":"(Martre et al., 2024)"},"properties":{"noteIndex":0},"schema":"https://github.com/citation-style-language/schema/raw/master/csl-citation.json"}</w:instrText>
      </w:r>
      <w:r w:rsidRPr="00EA688C">
        <w:rPr>
          <w:rFonts w:ascii="Times New Roman" w:hAnsi="Times New Roman" w:cs="Times New Roman"/>
          <w:color w:val="FF0000"/>
          <w:sz w:val="20"/>
          <w:szCs w:val="20"/>
        </w:rPr>
        <w:fldChar w:fldCharType="separate"/>
      </w:r>
      <w:r w:rsidRPr="00EA688C">
        <w:rPr>
          <w:rFonts w:ascii="Times New Roman" w:hAnsi="Times New Roman" w:cs="Times New Roman"/>
          <w:noProof/>
          <w:color w:val="FF0000"/>
          <w:sz w:val="20"/>
          <w:szCs w:val="20"/>
        </w:rPr>
        <w:t>(Martre et al., 2024)</w:t>
      </w:r>
      <w:r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Moreover, root biomass is vital for maintaining and increasing soil organic carbon (SOC) because it remains in the soil two to three times longer than C from other above ground biomass or manure</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{"citationItems":[{"id":"ITEM-1","itemData":{"DOI":"10.1016/j.agee.2011.02.029","ISSN":"01678809","abstract":"We revisited the well documented and ongoing long-term 'Ultuna continuous soil organic matter field experiment' which started in 1956 at the Swedish University of Agricultural Sciences. The objective of the experiment is to quantify effects of six organic amendments and mineral N fertilizers on the crop and soil. We used the 'equivalent soil mass' concept for estimating changes in the topsoil carbon stocks in all 15 treatments. C inputs from amendments were measured and those from crops were calculated using allometric functions and crop yields. Clustering C inputs into seven categories by quality allowed us to calculate a 'humification' coefficient for each category. Here, these coefficients were simply based on the fraction of total C input that still remains in the topsoil after about 50. years. As indicated by previous studies, this coefficient was highest for peat, followed by sewage sludge, manure, sawdust and above-ground crop residues. The most interesting result from the current investigation is that the optimized coefficient for root-derived carbon was about 2.3 times higher than that for above-ground plant residues. The calculated results were found to be robust in a sensitivity analysis. Our findings strongly support the hypothesis that root-derived carbon contributes more to relatively stable soil C pools than the same amount of above-crop residue-derived C. © 2011 Elsevier B.V.","author":[{"dropping-particle":"","family":"Kätterer","given":"Thomas","non-dropping-particle":"","parse-names":false,"suffix":""},{"dropping-particle":"","family":"Bolinder","given":"Martin Anders","non-dropping-particle":"","parse-names":false,"suffix":""},{"dropping-particle":"","family":"Andrén","given":"Olof","non-dropping-particle":"","parse-names":false,"suffix":""},{"dropping-particle":"","family":"Kirchmann","given":"Holger","non-dropping-particle":"","parse-names":false,"suffix":""},{"dropping-particle":"","family":"Menichetti","given":"Lorenzo","non-dropping-particle":"","parse-names":false,"suffix":""}],"container-title":"Agriculture, Ecosystems and Environment","id":"ITEM-1","issue":"1-2","issued":{"date-parts":[["2011"]]},"page":"184-192","title":"Roots contribute more to refractory soil organic matter than above-ground crop residues, as revealed by a long-term field experiment","type":"article-journal","volume":"141"},"uris":["http://www.mendeley.com/documents/?uuid=8c88d92c-8d4d-42b9-8843-e6f8a02edb0c"]}],"mendeley":{"formattedCitation":"(Kätterer et al., 2011)","plainTextFormattedCitation":"(Kätterer et al., 2011)","previouslyFormattedCitation":"(Kätterer et al., 2011)"},"properties":{"noteIndex":0},"schema":"https://github.com/citation-style-language/schema/raw/master/csl-citation.json"}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(Kätterer et al., 2011)</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This makes it a more durable and effective contributor to long-term soil health. Given the potential of root biomass to enhance C sequestration, wheat cultivar development aiming at increased grain yield and root biomass offers a promising management option</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{"citationItems":[{"id":"ITEM-1","itemData":{"DOI":"10.1002/sae2.12048","ISSN":"2767035X","abstract":"Introduction: Humanity is facing two great challenges: producing enough food for a growing population and mitigating greenhouse gas emissions. In this study, we investigated the choice of specific wheat varieties to improve carbon storage in soil while producing enough grain to assure food security. We hypothesize that ancient wheat varieties could store more carbon than modern ones, due to a likely bigger and deeper root system or to more recalcitrant root organic matter. Materials and Methods: We conducted a field experiment with four modern and four ancient wheat varieties, on four different sites with contrasted soil properties. Root morphology was assessed by image analysis and potential CO2 emissions by incubation for 60 days. Since in situ carbon storage differences between ancient and modern varieties were expected to be weak and not cumulated due to rotation, we estimated expected CO2 emissions from root biomass and potential CO2 emissions. The grain yield was also measured. Results: The breeding type (ancient vs. modern varieties) affected root length in two of our four sites, with longer roots for ancient varieties, but it did not affect other root traits such as biomass. The breeding type also affected CO2 emissions, with higher measured CO2 emissions for modern than ancient varieties in Arenic Cambisol conditions (Morvan), and higher estimated (considering root biomass variations) CO2 emissions for modern varieties in Rendzic Leptosol conditions (Saint Romain). Root traits and estimated CO2 emissions were also dependent on the soil properties of the different sites. We did not find any significant differences in grain yield between ancient and modern varieties. Conclusion: A possible trade-off between carbon storage and grain production was expected, but our results suggest that some types of soil can support both high grain yield and C storage, especially those with an important depth, a neutral pH and a fine texture.","author":[{"dropping-particle":"","family":"Rouch","given":"Laly","non-dropping-particle":"","parse-names":false,"suffix":""},{"dropping-particle":"","family":"Follain","given":"Stéphane","non-dropping-particle":"","parse-names":false,"suffix":""},{"dropping-particle":"","family":"Pimet","given":"Eric","non-dropping-particle":"","parse-names":false,"suffix":""},{"dropping-particle":"","family":"Bizouard","given":"Florian","non-dropping-particle":"","parse-names":false,"suffix":""},{"dropping-particle":"","family":"Cognard","given":"Elodie","non-dropping-particle":"","parse-names":false,"suffix":""},{"dropping-particle":"","family":"Mathieu","given":"Olivier","non-dropping-particle":"","parse-names":false,"suffix":""},{"dropping-particle":"","family":"Blouin","given":"Manuel","non-dropping-particle":"","parse-names":false,"suffix":""}],"container-title":"Journal of Sustainable Agriculture and Environment","id":"ITEM-1","issue":"3","issued":{"date-parts":[["2023"]]},"page":"238-250","title":"Ancient and modern wheat varieties: A trade-off between soil CO2 emissions and grain yield?","type":"article-journal","volume":"2"},"uris":["http://www.mendeley.com/documents/?uuid=c27929a9-1843-4b30-95be-1f7def5a5da3"]},{"id":"ITEM-2","itemData":{"DOI":"10.1007/s11104-023-06068-6","ISBN":"0123456789","ISSN":"15735036","abstract":"Background and aims: Soil carbon sequestration can play an important role in mitigating climate change. Higher organic C inputs to agricultural soils are needed in order to increase soil organic carbon (SOC) stocks. Genotype selection and breeding towards increased root biomass may enhance root C inputs to the soil and could therefore be a promising, easy-to-implement management option for potentially increasing C sequestration. However, an increase in root C inputs may compromise yield, which is not desirable in terms of food security. Methods: Data from 13 global studies with field experiments were compiled in order to estimate the potential of optimised genotype selection for enhancing root biomass without compromising the yield of winter wheat, spring wheat, silage maize, winter rapeseed and sunflower. A lack of data on the effect of variety on rhizodeposition was identified which thus had to be excluded. Results: Systematic genotype selection increased mean yields by 52% and mean root biomass by 22% across all crops and sites. A median root C increase of 6.7% for spring wheat, 6.8% for winter rapeseed, 12.2% for silage maize, 21.6% for winter wheat and 26.4% for sunflower would be possible without a yield reduction. Conclusion: Overall, this review demonstrates that optimised genotype selection can be a win-win option for increasing root biomass C input to soil while maintaining or even enhancing yield.","author":[{"dropping-particle":"","family":"Heinemann","given":"Henrike","non-dropping-particle":"","parse-names":false,"suffix":""},{"dropping-particle":"","family":"Hirte","given":"Juliane","non-dropping-particle":"","parse-names":false,"suffix":""},{"dropping-particle":"","family":"Seidel","given":"Felix","non-dropping-particle":"","parse-names":false,"suffix":""},{"dropping-particle":"","family":"Don","given":"Axel","non-dropping-particle":"","parse-names":false,"suffix":""}],"container-title":"Plant and Soil","id":"ITEM-2","issue":"1-2","issued":{"date-parts":[["2023"]]},"page":"19-30","publisher":"Springer International Publishing","title":"Increasing root biomass derived carbon input to agricultural soils by genotype selection – a review","type":"article-journal","volume":"490"},"uris":["http://www.mendeley.com/documents/?uuid=72b160b9-a06f-4926-ae15-8907f99cb2df"]}],"mendeley":{"formattedCitation":"(Heinemann et al., 2023; Rouch et al., 2023)","plainTextFormattedCitation":"(Heinemann et al., 2023; Rouch et al., 2023)","previouslyFormattedCitation":"(Heinemann et al., 2023; Rouch et al., 2023)"},"properties":{"noteIndex":0},"schema":"https://github.com/citation-style-language/schema/raw/master/csl-citation.json"}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(Heinemann et al., 2023; Rouch et al., 2023)</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Nonetheless, a comprehensive understanding of how soil erosion affects carbon inputs from crop root biomass remains a significant gap in current research. Although such understanding is essential for scaling subsoil carbon sequestration potential to broader spatial scales, field experiments evaluating above- and belowground biomass production of different wheat cultivars across the full erosion–deposition gradient are still lacking.</w:t>
      </w:r>
    </w:p>
    <w:p w14:paraId="22E0D094" w14:textId="570FE59D" w:rsidR="008663E1" w:rsidRPr="00EA688C" w:rsidRDefault="008663E1" w:rsidP="008663E1">
      <w:pPr>
        <w:spacing w:line="360" w:lineRule="auto"/>
        <w:ind w:firstLine="708"/>
        <w:jc w:val="both"/>
        <w:rPr>
          <w:rFonts w:ascii="Times New Roman" w:hAnsi="Times New Roman" w:cs="Times New Roman"/>
          <w:color w:val="FF0000"/>
          <w:sz w:val="20"/>
          <w:szCs w:val="20"/>
        </w:rPr>
      </w:pPr>
      <w:r w:rsidRPr="00EA688C">
        <w:rPr>
          <w:rFonts w:ascii="Times New Roman" w:hAnsi="Times New Roman" w:cs="Times New Roman"/>
          <w:color w:val="FF0000"/>
          <w:sz w:val="20"/>
          <w:szCs w:val="20"/>
        </w:rPr>
        <w:t>Although cultivar traits plays a significant role in root system development, root distribution is heavily influenced by soil characteristics, nutrient availability</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{"citationItems":[{"id":"ITEM-1","itemData":{"DOI":"10.1023/A:1010377818094","ISSN":"0032079X","abstract":"The responses of roots to nitrogen- and phosphorus-rich patches of soil include proliferation of laterals and stimulation of nutrient inflow (uptake rate per unit root length) within the patch. Nitrate uptake from an N-rich patch is thereby maximised and, perhaps, compensates for an uneven supply of nitrate to the whole root system. Paradoxically, the often weak correlation between root length density and N uptake found in experiments on single plants and crop monocultures suggests that root proliferation in patches has only a minor compensatory influence on N capture. This paradox was resolved when it was realised that localised root proliferation during inter-specific competition for nitrate can lead to a strong association between root length density and nitrate capture. Here, a simple model of inter-specific competition is used to estimate the stimulation in inflow required in one plant to match the N capture of a competitor that responds only by root proliferation, and to estimate associated carbon costs. The model predicts that nitrate inflow must increase proportionally more than root length density to achieve the same N capture. For example, the N capture possible with a 10% increase in root length density can be matched by increasing N inflow by anything from 20% to 20-fold, depending on the initial conditions: the faster the rate of change in root length density, the greater the required relative increase in inflow. In those terms, proliferation would seem the better option, but one that may be more costly in terms of its carbon requirement.","author":[{"dropping-particle":"","family":"Robinson","given":"David","non-dropping-particle":"","parse-names":false,"suffix":""}],"container-title":"Plant and Soil","id":"ITEM-1","issue":"1-2","issued":{"date-parts":[["2001"]]},"page":"41-50","title":"Root proliferation, nitrate inflow and their carbon costs during nitrogen capture by competing plants in patchy soil","type":"article-journal","volume":"232"},"uris":["http://www.mendeley.com/documents/?uuid=f4e95003-06eb-4461-ba1f-a1a5a2e4d839"]}],"mendeley":{"formattedCitation":"(Robinson, 2001)","plainTextFormattedCitation":"(Robinson, 2001)","previouslyFormattedCitation":"(Robinson, 2001)"},"properties":{"noteIndex":0},"schema":"https://github.com/citation-style-language/schema/raw/master/csl-citation.json"}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(Robinson, 2001)</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and mechanical impedance</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FE2594" w:rsidRPr="00EA688C">
        <w:rPr>
          <w:rFonts w:ascii="Times New Roman" w:hAnsi="Times New Roman" w:cs="Times New Roman"/>
          <w:color w:val="FF0000"/>
          <w:sz w:val="20"/>
          <w:szCs w:val="20"/>
        </w:rPr>
        <w:instrText>ADDIN CSL_CITATION {"citationItems":[{"id":"ITEM-1","itemData":{"DOI":"10.1016/j.still.2019.104293","ISSN":"01671987","abstract":"Soil compaction caused by vehicular traffic adversely affects key soil functions and ecosystem services that soils provide. Although compaction is a well-recognized problem, it remains challenging to quantify the economic and ecological costs of compaction. The mechanization in agriculture has resulted in a steady increase in weight of farm vehicles. It is reasonable to assume that this has exacerbated soil compaction, but there is little quantitative knowledge on the development of compaction levels in arable soils. To quantify these trends, we use historical records of harvester and tractor weights to simulate how the weight increase has changed soil stresses and bulk density of arable soil, and to predict impacts on the mechanical resistance for root growth and on soil hydraulic properties. Our simulations show a clear increase in soil stress levels with higher bulk density and mechanical penetration resistance, and a decrease in soil hydraulic conductivity in agreement with available data. We show that increased mechanical resistance has resulted in decreased root elongation rates and consequently prolonged the time required for roots to reach a certain soil depth. The historical changes of compaction levels and associated limitations on root elongation rates coincide with a stagnation in crop yields in the 1990s observed for cereals in many countries. Our calculations illustrate that the historical increase in compaction levels has drastically decreased saturated hydraulic conductivity and water storage capacity of subsoils. We speculate that this has contributed to the increase in the incidence and severity of flood events during recent decades in Europe. Finally, we take Sweden as an example and estimate annual compaction costs due to agricultural productivity loss and flooding damage of several hundred M€ yr−1 for Sweden. Considering the continuation of upwards trends in the average weight of farm machinery and the projected increase in extreme weather events, the costs of soil compaction are likely to escalate. The study highlights that we have likely exceeded the acceptable loads, and that future agricultural operations must consider the inherent mechanical limit of soil.","author":[{"dropping-particle":"","family":"Keller","given":"Thomas","non-dropping-particle":"","parse-names":false,"suffix":""},{"dropping-particle":"","family":"Sandin","given":"Maria","non-dropping-particle":"","parse-names":false,"suffix":""},{"dropping-particle":"","family":"Colombi","given":"Tino","non-dropping-particle":"","parse-names":false,"suffix":""},{"dropping-particle":"","family":"Horn","given":"Rainer","non-dropping-particle":"","parse-names":false,"suffix":""},{"dropping-particle":"","family":"Or","given":"Dani","non-dropping-particle":"","parse-names":false,"suffix":""}],"container-title":"Soil and Tillage Research","id":"ITEM-1","issue":"January","issued":{"date-parts":[["2019"]]},"page":"104293","publisher":"Elsevier","title":"Historical increase in agricultural machinery weights enhanced soil stress levels and adversely affected soil functioning","type":"article-journal","volume":"194"},"uris":["http://www.mendeley.com/documents/?uuid=8b3208af-3110-4f15-8608-ad2cf2be6a77"]}],"mendeley":{"formattedCitation":"(Keller et al., 2019)","plainTextFormattedCitation":"(Keller et al., 2019)","previouslyFormattedCitation":"(Keller et al., 2019)"},"properties":{"noteIndex":0},"schema":"https://github.com/citation-style-language/schema/raw/master/csl-citation.json"}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(Keller et al., 2019)</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Estimating root development is inherently challenging and requires specialized techniques for accurate quantification. Traditionally, destructive methods such as soil coring, whole root system excavation, and trenching have been employed</w:t>
      </w:r>
      <w:r w:rsidR="008F6E86" w:rsidRPr="00EA688C">
        <w:rPr>
          <w:rFonts w:ascii="Times New Roman" w:hAnsi="Times New Roman" w:cs="Times New Roman"/>
          <w:color w:val="FF0000"/>
          <w:sz w:val="20"/>
          <w:szCs w:val="20"/>
        </w:rPr>
        <w:t xml:space="preserve"> </w:t>
      </w:r>
      <w:r w:rsidR="008F6E86" w:rsidRPr="00EA688C">
        <w:rPr>
          <w:rFonts w:ascii="Times New Roman" w:hAnsi="Times New Roman" w:cs="Times New Roman"/>
          <w:color w:val="FF0000"/>
          <w:sz w:val="20"/>
          <w:szCs w:val="20"/>
        </w:rPr>
        <w:fldChar w:fldCharType="begin" w:fldLock="1"/>
      </w:r>
      <w:r w:rsidR="00525AD8" w:rsidRPr="00EA688C">
        <w:rPr>
          <w:rFonts w:ascii="Times New Roman" w:hAnsi="Times New Roman" w:cs="Times New Roman"/>
          <w:color w:val="FF0000"/>
          <w:sz w:val="20"/>
          <w:szCs w:val="20"/>
        </w:rPr>
        <w:instrText>ADDIN CSL_CITATION {"citationItems":[{"id":"ITEM-1","itemData":{"DOI":"10.1007/s10021-009-9295-8","ISBN":"1002100992","ISSN":"14329840","abstract":"Estimating root production has been difficult due to multiple potential biases associated with both old and new methods. This shortgrass steppe site is the only place we are aware of that can compare most methods including sequential coring, ingrowth cores, and ingrowth donuts, 14C pulse-isotope dilution, 14C pulse-isotope turnover, rhizotron windows, and minirhizotron, and indirect methods including nitrogen budget, carbon flux, simulation carbon flow model, and regression model. We used the studies at this site, other comparisons, a summary of potential directional biases, and different ways of calculating estimates in a logical, comparative approach of evaluating methods. Much of the literature for root production is based on sequential biomass coring, a method resulting in erroneous estimates. Root ingrowth estimates of production are generally conservative compared to minirhizotron and isotope turnover methods. The size of the ingrowth area may be the most important determinant of the underestimation. Estimates based on pulse-isotope dilution are also erroneous due to non-uniform labeling of tissues. Uniform labeling is not an assumption of the pulse-isotope turnover method, and this method has the least severe potential biases. Root production estimates from pulse-isotope turnover were lower than those using minirhizotron when the most common method of calculation was used. This agrees with literature concerning bomb 14C continuous-isotope labeling comparisons with minirhizotron, although some potential biases between isotope methods are different. However, good agreement between pulse-isotope turnover and minirhizotron were obtained when minirhizotron estimates were calculated from regression of decomposition versus production to equilibrium and when pulse-isotope turnover estimates were calculated from two-phase life-span regressions. This minirhizotron method bypasses biases associated with the artificial surface similar to root-cohort methods that may be practical only in mesic systems, and takes into account both short- and long-lived roots and corrects for soil-isotope contamination that the continuous-isotope labeling bomb 14C method is not able to account for. Comparisons of these direct methods are also made with four indirect methods. © 2009 Springer Science+Business Media, LLC.","author":[{"dropping-particle":"","family":"Milchunas","given":"Daniel G.","non-dropping-particle":"","parse-names":false,"suffix":""}],"container-title":"Ecosystems","id":"ITEM-1","issue":"8","issued":{"date-parts":[["2009"]]},"page":"1381-1402","title":"Estimating root production: Comparison of 11 methods in shortgrass steppe and review of biases","type":"article-journal","volume":"12"},"uris":["http://www.mendeley.com/documents/?uuid=5f17510d-544c-4d78-b76d-b3aaadc84560"]}],"mendeley":{"formattedCitation":"(Milchunas, 2009)","plainTextFormattedCitation":"(Milchunas, 2009)","previouslyFormattedCitation":"(Milchunas, 2009)"},"properties":{"noteIndex":0},"schema":"https://github.com/citation-style-language/schema/raw/master/csl-citation.json"}</w:instrText>
      </w:r>
      <w:r w:rsidR="008F6E86" w:rsidRPr="00EA688C">
        <w:rPr>
          <w:rFonts w:ascii="Times New Roman" w:hAnsi="Times New Roman" w:cs="Times New Roman"/>
          <w:color w:val="FF0000"/>
          <w:sz w:val="20"/>
          <w:szCs w:val="20"/>
        </w:rPr>
        <w:fldChar w:fldCharType="separate"/>
      </w:r>
      <w:r w:rsidR="008F6E86" w:rsidRPr="00EA688C">
        <w:rPr>
          <w:rFonts w:ascii="Times New Roman" w:hAnsi="Times New Roman" w:cs="Times New Roman"/>
          <w:noProof/>
          <w:color w:val="FF0000"/>
          <w:sz w:val="20"/>
          <w:szCs w:val="20"/>
        </w:rPr>
        <w:t>(Milchunas, 2009)</w:t>
      </w:r>
      <w:r w:rsidR="008F6E86"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but these approaches heavily disturb the experimental plot and offer only a single time-point snapshot of the root system. In contrast, nondestructive methods like </w:t>
      </w:r>
      <w:proofErr w:type="spellStart"/>
      <w:r w:rsidRPr="00EA688C">
        <w:rPr>
          <w:rFonts w:ascii="Times New Roman" w:hAnsi="Times New Roman" w:cs="Times New Roman"/>
          <w:color w:val="FF0000"/>
          <w:sz w:val="20"/>
          <w:szCs w:val="20"/>
        </w:rPr>
        <w:t>minirhizotrons</w:t>
      </w:r>
      <w:proofErr w:type="spellEnd"/>
      <w:r w:rsidRPr="00EA688C">
        <w:rPr>
          <w:rFonts w:ascii="Times New Roman" w:hAnsi="Times New Roman" w:cs="Times New Roman"/>
          <w:color w:val="FF0000"/>
          <w:sz w:val="20"/>
          <w:szCs w:val="20"/>
        </w:rPr>
        <w:t xml:space="preserve"> provide an in situ approach for observing root growth over time. </w:t>
      </w:r>
      <w:proofErr w:type="spellStart"/>
      <w:r w:rsidRPr="00EA688C">
        <w:rPr>
          <w:rFonts w:ascii="Times New Roman" w:hAnsi="Times New Roman" w:cs="Times New Roman"/>
          <w:color w:val="FF0000"/>
          <w:sz w:val="20"/>
          <w:szCs w:val="20"/>
        </w:rPr>
        <w:t>Minirhizotrons</w:t>
      </w:r>
      <w:proofErr w:type="spellEnd"/>
      <w:r w:rsidRPr="00EA688C">
        <w:rPr>
          <w:rFonts w:ascii="Times New Roman" w:hAnsi="Times New Roman" w:cs="Times New Roman"/>
          <w:color w:val="FF0000"/>
          <w:sz w:val="20"/>
          <w:szCs w:val="20"/>
        </w:rPr>
        <w:t xml:space="preserve"> allow for the simultaneous measurement of root production and disappearance</w:t>
      </w:r>
      <w:r w:rsidR="00FE2594" w:rsidRPr="00EA688C">
        <w:rPr>
          <w:rFonts w:ascii="Times New Roman" w:hAnsi="Times New Roman" w:cs="Times New Roman"/>
          <w:color w:val="FF0000"/>
          <w:sz w:val="20"/>
          <w:szCs w:val="20"/>
        </w:rPr>
        <w:t xml:space="preserve"> </w:t>
      </w:r>
      <w:r w:rsidR="00FE2594" w:rsidRPr="00EA688C">
        <w:rPr>
          <w:rFonts w:ascii="Times New Roman" w:hAnsi="Times New Roman" w:cs="Times New Roman"/>
          <w:color w:val="FF0000"/>
          <w:sz w:val="20"/>
          <w:szCs w:val="20"/>
        </w:rPr>
        <w:fldChar w:fldCharType="begin" w:fldLock="1"/>
      </w:r>
      <w:r w:rsidR="008F6E86" w:rsidRPr="00EA688C">
        <w:rPr>
          <w:rFonts w:ascii="Times New Roman" w:hAnsi="Times New Roman" w:cs="Times New Roman"/>
          <w:color w:val="FF0000"/>
          <w:sz w:val="20"/>
          <w:szCs w:val="20"/>
        </w:rPr>
        <w:instrText>ADDIN CSL_CITATION {"citationItems":[{"id":"ITEM-1","itemData":{"DOI":"10.1016/S0098-8472(01)00077-6","ISSN":"00988472","PMID":"11323033","abstract":"Minirhizotrons provide a nondestructive, in situ method for directly viewing and studying fine roots. Although many insights into fine roots have been gained using minirhizotrons, a review of the literature indicates a wide variation in how minirhizotrons and minirhizotron data are used. Tube installation is critical, and steps must be taken to insure good soil/tube contact without compacting the soil. Ideally, soil adjacent to minirhizotrons will mimic bulk soil. Tube installation causes some degree of soil disturbance and has the potential to create artifacts in subsequent root data and analysis. We therefore recommend a waiting period between tube installation and image collection of 6-12 months to allow roots to recolonize the space around the tubes and to permit nutrients to return to pre-disturbance levels. To make repeated observations of individual roots for the purposes of quantifying their dynamic properties (e.g. root production, turnover or lifespan), tubes should be secured to prevent movement. The frequency of image collection depends upon the root parameters being measured or calculated and the time and resources available for collecting images and extracting data. However, long sampling intervals of 8 weeks or more can result in large underestimates of root dynamic properties because more fine roots will be born and die unobserved between sampling events. A sampling interval of 2 weeks or less reduces these underestimates to acceptable levels. While short sample intervals are desirable, they can lead to a potential trade-off between the number of minirhizotron tubes used and the number of frames analyzed per tube. Analyzing fewer frames per minirhizotron tube is one way to reduce costs with only minor effects on data variation. The quality of minirhizotron data should be assessed and reported; procedures for quantifying the quality of minirhizotron data are presented here. Root length is a more sensitive metric for dynamic root properties than the root number. To make minirhizotron data from separate experiments more easily comparable, idiosyncratic units should be avoided. Volumetric units compatible with aboveground plant measures make minirhizotron-based estimates of root standing crop, production and turnover more useful. Methods for calculating the volumetric root data are discussed and an example presented. Procedures for estimating fine root lifespan are discussed. © 2001 Elsevier Science B.V.","author":[{"dropping-particle":"","family":"Johnson","given":"M. G.","non-dropping-particle":"","parse-names":false,"suffix":""},{"dropping-particle":"","family":"Tingey","given":"D. T.","non-dropping-particle":"","parse-names":false,"suffix":""},{"dropping-particle":"","family":"Phillips","given":"D. L.","non-dropping-particle":"","parse-names":false,"suffix":""},{"dropping-particle":"","family":"Storm","given":"M. J.","non-dropping-particle":"","parse-names":false,"suffix":""}],"container-title":"Environmental and Experimental Botany","id":"ITEM-1","issue":"3","issued":{"date-parts":[["2001"]]},"page":"263-289","title":"Advancing fine root research with minirhizotrons","type":"article-journal","volume":"45"},"uris":["http://www.mendeley.com/documents/?uuid=386b343d-c152-45fe-b39d-656c188964dc"]}],"mendeley":{"formattedCitation":"(Johnson et al., 2001)","plainTextFormattedCitation":"(Johnson et al., 2001)","previouslyFormattedCitation":"(Johnson et al., 2001)"},"properties":{"noteIndex":0},"schema":"https://github.com/citation-style-language/schema/raw/master/csl-citation.json"}</w:instrText>
      </w:r>
      <w:r w:rsidR="00FE2594" w:rsidRPr="00EA688C">
        <w:rPr>
          <w:rFonts w:ascii="Times New Roman" w:hAnsi="Times New Roman" w:cs="Times New Roman"/>
          <w:color w:val="FF0000"/>
          <w:sz w:val="20"/>
          <w:szCs w:val="20"/>
        </w:rPr>
        <w:fldChar w:fldCharType="separate"/>
      </w:r>
      <w:r w:rsidR="00FE2594" w:rsidRPr="00EA688C">
        <w:rPr>
          <w:rFonts w:ascii="Times New Roman" w:hAnsi="Times New Roman" w:cs="Times New Roman"/>
          <w:noProof/>
          <w:color w:val="FF0000"/>
          <w:sz w:val="20"/>
          <w:szCs w:val="20"/>
        </w:rPr>
        <w:t>(Johnson et al., 2001)</w:t>
      </w:r>
      <w:r w:rsidR="00FE2594"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This dynamic measurement </w:t>
      </w:r>
      <w:r w:rsidR="0076034F" w:rsidRPr="00EA688C">
        <w:rPr>
          <w:rFonts w:ascii="Times New Roman" w:hAnsi="Times New Roman" w:cs="Times New Roman"/>
          <w:color w:val="FF0000"/>
          <w:sz w:val="20"/>
          <w:szCs w:val="20"/>
        </w:rPr>
        <w:t>combined to data-driven machine learning technique may provide</w:t>
      </w:r>
      <w:r w:rsidRPr="00EA688C">
        <w:rPr>
          <w:rFonts w:ascii="Times New Roman" w:hAnsi="Times New Roman" w:cs="Times New Roman"/>
          <w:color w:val="FF0000"/>
          <w:sz w:val="20"/>
          <w:szCs w:val="20"/>
        </w:rPr>
        <w:t xml:space="preserve"> an opportunity to explore a potential correlation between intercepted photosynthetically active radiation (IPAR) and root biomass production, as both can be quantified simultaneously. Such a correlation may be specific to the soil type in which a given cultivar develops, reflecting interactions between soil properties and cultivar performance. To our knowledge there is no study that track root biomass dynamics throughout the crop season describing a correlation with aboveground measure.</w:t>
      </w:r>
    </w:p>
    <w:p w14:paraId="60F70A9F" w14:textId="23F3B55B" w:rsidR="008663E1" w:rsidRPr="00EA688C" w:rsidRDefault="00296B0A" w:rsidP="000B01F5">
      <w:pPr>
        <w:spacing w:line="360" w:lineRule="auto"/>
        <w:ind w:firstLine="708"/>
        <w:jc w:val="both"/>
        <w:rPr>
          <w:rFonts w:ascii="Times New Roman" w:hAnsi="Times New Roman" w:cs="Times New Roman"/>
          <w:color w:val="FF0000"/>
          <w:sz w:val="20"/>
          <w:szCs w:val="20"/>
        </w:rPr>
      </w:pPr>
      <w:r w:rsidRPr="00EA688C">
        <w:rPr>
          <w:rFonts w:ascii="Times New Roman" w:hAnsi="Times New Roman" w:cs="Times New Roman"/>
          <w:color w:val="FF0000"/>
          <w:sz w:val="20"/>
          <w:szCs w:val="20"/>
        </w:rPr>
        <w:t>W</w:t>
      </w:r>
      <w:r w:rsidR="009351D4" w:rsidRPr="00EA688C">
        <w:rPr>
          <w:rFonts w:ascii="Times New Roman" w:hAnsi="Times New Roman" w:cs="Times New Roman"/>
          <w:color w:val="FF0000"/>
          <w:sz w:val="20"/>
          <w:szCs w:val="20"/>
        </w:rPr>
        <w:t xml:space="preserve">e hypothesize that the dynamics of root biomass throughout the crop season are shaped by the interaction between wheat cultivar </w:t>
      </w:r>
      <w:r w:rsidR="000B01F5" w:rsidRPr="00EA688C">
        <w:rPr>
          <w:rFonts w:ascii="Times New Roman" w:hAnsi="Times New Roman" w:cs="Times New Roman"/>
          <w:color w:val="FF0000"/>
          <w:sz w:val="20"/>
          <w:szCs w:val="20"/>
        </w:rPr>
        <w:t>traits</w:t>
      </w:r>
      <w:r w:rsidR="009351D4" w:rsidRPr="00EA688C">
        <w:rPr>
          <w:rFonts w:ascii="Times New Roman" w:hAnsi="Times New Roman" w:cs="Times New Roman"/>
          <w:color w:val="FF0000"/>
          <w:sz w:val="20"/>
          <w:szCs w:val="20"/>
        </w:rPr>
        <w:t xml:space="preserve"> and landscape erosion–deposition </w:t>
      </w:r>
      <w:r w:rsidR="000B01F5" w:rsidRPr="00EA688C">
        <w:rPr>
          <w:rFonts w:ascii="Times New Roman" w:hAnsi="Times New Roman" w:cs="Times New Roman"/>
          <w:color w:val="FF0000"/>
          <w:sz w:val="20"/>
          <w:szCs w:val="20"/>
        </w:rPr>
        <w:t>gradient</w:t>
      </w:r>
      <w:r w:rsidR="009351D4" w:rsidRPr="00EA688C">
        <w:rPr>
          <w:rFonts w:ascii="Times New Roman" w:hAnsi="Times New Roman" w:cs="Times New Roman"/>
          <w:color w:val="FF0000"/>
          <w:sz w:val="20"/>
          <w:szCs w:val="20"/>
        </w:rPr>
        <w:t>—whereby older cultivars, with their deeper and more extensive root systems, may offer potential to boost subsoil carbon inputs in degraded soils.</w:t>
      </w:r>
      <w:r w:rsidR="000B01F5" w:rsidRPr="00EA688C">
        <w:rPr>
          <w:rFonts w:ascii="Times New Roman" w:hAnsi="Times New Roman" w:cs="Times New Roman"/>
          <w:color w:val="FF0000"/>
          <w:sz w:val="20"/>
          <w:szCs w:val="20"/>
        </w:rPr>
        <w:t xml:space="preserve"> </w:t>
      </w:r>
      <w:r w:rsidR="008663E1" w:rsidRPr="00EA688C">
        <w:rPr>
          <w:rFonts w:ascii="Times New Roman" w:hAnsi="Times New Roman" w:cs="Times New Roman"/>
          <w:color w:val="FF0000"/>
          <w:sz w:val="20"/>
          <w:szCs w:val="20"/>
        </w:rPr>
        <w:t xml:space="preserve">This interplay is expected to influence </w:t>
      </w:r>
      <w:r w:rsidR="000B01F5" w:rsidRPr="00EA688C">
        <w:rPr>
          <w:rFonts w:ascii="Times New Roman" w:hAnsi="Times New Roman" w:cs="Times New Roman"/>
          <w:color w:val="FF0000"/>
          <w:sz w:val="20"/>
          <w:szCs w:val="20"/>
        </w:rPr>
        <w:t>also</w:t>
      </w:r>
      <w:r w:rsidR="008663E1" w:rsidRPr="00EA688C">
        <w:rPr>
          <w:rFonts w:ascii="Times New Roman" w:hAnsi="Times New Roman" w:cs="Times New Roman"/>
          <w:color w:val="FF0000"/>
          <w:sz w:val="20"/>
          <w:szCs w:val="20"/>
        </w:rPr>
        <w:t xml:space="preserve"> aboveground </w:t>
      </w:r>
      <w:r w:rsidR="000B01F5" w:rsidRPr="00EA688C">
        <w:rPr>
          <w:rFonts w:ascii="Times New Roman" w:hAnsi="Times New Roman" w:cs="Times New Roman"/>
          <w:color w:val="FF0000"/>
          <w:sz w:val="20"/>
          <w:szCs w:val="20"/>
        </w:rPr>
        <w:t>biomass</w:t>
      </w:r>
      <w:r w:rsidR="008663E1" w:rsidRPr="00EA688C">
        <w:rPr>
          <w:rFonts w:ascii="Times New Roman" w:hAnsi="Times New Roman" w:cs="Times New Roman"/>
          <w:color w:val="FF0000"/>
          <w:sz w:val="20"/>
          <w:szCs w:val="20"/>
        </w:rPr>
        <w:t xml:space="preserve">. To test this hypothesis, we selected wheat cultivars representing a </w:t>
      </w:r>
      <w:r w:rsidR="008663E1" w:rsidRPr="00EA688C">
        <w:rPr>
          <w:rFonts w:ascii="Times New Roman" w:hAnsi="Times New Roman" w:cs="Times New Roman"/>
          <w:color w:val="FF0000"/>
          <w:sz w:val="20"/>
          <w:szCs w:val="20"/>
        </w:rPr>
        <w:lastRenderedPageBreak/>
        <w:t xml:space="preserve">century of regional breeding history. We quantified root system </w:t>
      </w:r>
      <w:r w:rsidR="00460678" w:rsidRPr="00EA688C">
        <w:rPr>
          <w:rFonts w:ascii="Times New Roman" w:hAnsi="Times New Roman" w:cs="Times New Roman"/>
          <w:color w:val="FF0000"/>
          <w:sz w:val="20"/>
          <w:szCs w:val="20"/>
        </w:rPr>
        <w:t xml:space="preserve">development </w:t>
      </w:r>
      <w:r w:rsidR="008663E1" w:rsidRPr="00EA688C">
        <w:rPr>
          <w:rFonts w:ascii="Times New Roman" w:hAnsi="Times New Roman" w:cs="Times New Roman"/>
          <w:color w:val="FF0000"/>
          <w:sz w:val="20"/>
          <w:szCs w:val="20"/>
        </w:rPr>
        <w:t>throughout a complete growing season along a full erosion–deposition gradient. This enabled an assessment of the relationship between root biomass and intercepted photosynthetically active radiation (IPAR) along the erosion–deposition gradient under varying soil moisture levels.</w:t>
      </w:r>
    </w:p>
    <w:p w14:paraId="67A4AF60" w14:textId="74F98CC5" w:rsidR="00D044BB" w:rsidRDefault="00D044BB" w:rsidP="008663E1">
      <w:pPr>
        <w:spacing w:line="360" w:lineRule="auto"/>
        <w:jc w:val="both"/>
        <w:rPr>
          <w:rFonts w:ascii="Times New Roman" w:hAnsi="Times New Roman" w:cs="Times New Roman"/>
          <w:sz w:val="20"/>
          <w:szCs w:val="20"/>
        </w:rPr>
      </w:pPr>
    </w:p>
    <w:p w14:paraId="1605B3A8" w14:textId="7EAAC764" w:rsidR="007163EA" w:rsidRPr="00DF0492" w:rsidRDefault="007163EA" w:rsidP="007163EA">
      <w:pPr>
        <w:spacing w:line="360" w:lineRule="auto"/>
        <w:jc w:val="both"/>
        <w:rPr>
          <w:rFonts w:ascii="Times New Roman" w:hAnsi="Times New Roman" w:cs="Times New Roman"/>
          <w:b/>
          <w:bCs/>
          <w:sz w:val="20"/>
          <w:szCs w:val="20"/>
        </w:rPr>
      </w:pPr>
      <w:r>
        <w:rPr>
          <w:rFonts w:ascii="Times New Roman" w:hAnsi="Times New Roman" w:cs="Times New Roman"/>
          <w:b/>
          <w:bCs/>
          <w:sz w:val="20"/>
          <w:szCs w:val="20"/>
        </w:rPr>
        <w:t xml:space="preserve">2 </w:t>
      </w:r>
      <w:r w:rsidRPr="00DF0492">
        <w:rPr>
          <w:rFonts w:ascii="Times New Roman" w:hAnsi="Times New Roman" w:cs="Times New Roman"/>
          <w:b/>
          <w:bCs/>
          <w:sz w:val="20"/>
          <w:szCs w:val="20"/>
        </w:rPr>
        <w:t>Material and methods</w:t>
      </w:r>
    </w:p>
    <w:p w14:paraId="73C9F2AB" w14:textId="77777777" w:rsidR="007163EA" w:rsidRPr="00DF0492" w:rsidRDefault="007163EA" w:rsidP="007163EA">
      <w:pPr>
        <w:spacing w:line="360" w:lineRule="auto"/>
        <w:jc w:val="both"/>
        <w:rPr>
          <w:rFonts w:ascii="Times New Roman" w:hAnsi="Times New Roman" w:cs="Times New Roman"/>
          <w:bCs/>
          <w:sz w:val="20"/>
          <w:szCs w:val="20"/>
        </w:rPr>
      </w:pPr>
    </w:p>
    <w:p w14:paraId="256F84A1" w14:textId="166B9858" w:rsidR="007163EA" w:rsidRPr="007163EA" w:rsidRDefault="007163EA" w:rsidP="007163EA">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2.1 Experimental configuration</w:t>
      </w:r>
    </w:p>
    <w:p w14:paraId="0F7361B4" w14:textId="6FE342D1" w:rsidR="007163EA" w:rsidRPr="00EA688C" w:rsidRDefault="00FC7909" w:rsidP="007163EA">
      <w:pPr>
        <w:spacing w:line="360" w:lineRule="auto"/>
        <w:ind w:firstLine="709"/>
        <w:jc w:val="both"/>
        <w:rPr>
          <w:rFonts w:ascii="Times New Roman" w:hAnsi="Times New Roman" w:cs="Times New Roman"/>
          <w:color w:val="FF0000"/>
          <w:sz w:val="20"/>
          <w:szCs w:val="20"/>
        </w:rPr>
      </w:pPr>
      <w:r w:rsidRPr="00EA688C">
        <w:rPr>
          <w:rFonts w:ascii="Times New Roman" w:hAnsi="Times New Roman" w:cs="Times New Roman"/>
          <w:color w:val="FF0000"/>
          <w:sz w:val="20"/>
          <w:szCs w:val="20"/>
        </w:rPr>
        <w:t xml:space="preserve">A plot experiment was set up at the </w:t>
      </w:r>
      <w:proofErr w:type="spellStart"/>
      <w:r w:rsidRPr="00EA688C">
        <w:rPr>
          <w:rFonts w:ascii="Times New Roman" w:hAnsi="Times New Roman" w:cs="Times New Roman"/>
          <w:color w:val="FF0000"/>
          <w:sz w:val="20"/>
          <w:szCs w:val="20"/>
        </w:rPr>
        <w:t>CarboZALF</w:t>
      </w:r>
      <w:proofErr w:type="spellEnd"/>
      <w:r w:rsidRPr="00EA688C">
        <w:rPr>
          <w:rFonts w:ascii="Times New Roman" w:hAnsi="Times New Roman" w:cs="Times New Roman"/>
          <w:color w:val="FF0000"/>
          <w:sz w:val="20"/>
          <w:szCs w:val="20"/>
        </w:rPr>
        <w:t xml:space="preserve"> field site (53°23’ N, 13°47 E) located in the hummocky “</w:t>
      </w:r>
      <w:proofErr w:type="spellStart"/>
      <w:r w:rsidRPr="00EA688C">
        <w:rPr>
          <w:rFonts w:ascii="Times New Roman" w:hAnsi="Times New Roman" w:cs="Times New Roman"/>
          <w:color w:val="FF0000"/>
          <w:sz w:val="20"/>
          <w:szCs w:val="20"/>
        </w:rPr>
        <w:t>Uckermark</w:t>
      </w:r>
      <w:proofErr w:type="spellEnd"/>
      <w:r w:rsidRPr="00EA688C">
        <w:rPr>
          <w:rFonts w:ascii="Times New Roman" w:hAnsi="Times New Roman" w:cs="Times New Roman"/>
          <w:color w:val="FF0000"/>
          <w:sz w:val="20"/>
          <w:szCs w:val="20"/>
        </w:rPr>
        <w:t>” region of North-Eastern Germany</w:t>
      </w:r>
      <w:r w:rsidR="00525AD8" w:rsidRPr="00EA688C">
        <w:rPr>
          <w:rFonts w:ascii="Times New Roman" w:hAnsi="Times New Roman" w:cs="Times New Roman"/>
          <w:color w:val="FF0000"/>
          <w:sz w:val="20"/>
          <w:szCs w:val="20"/>
        </w:rPr>
        <w:t xml:space="preserve"> </w:t>
      </w:r>
      <w:r w:rsidR="00525AD8" w:rsidRPr="00EA688C">
        <w:rPr>
          <w:rFonts w:ascii="Times New Roman" w:hAnsi="Times New Roman" w:cs="Times New Roman"/>
          <w:color w:val="FF0000"/>
          <w:sz w:val="20"/>
          <w:szCs w:val="20"/>
        </w:rPr>
        <w:fldChar w:fldCharType="begin" w:fldLock="1"/>
      </w:r>
      <w:r w:rsidR="00525AD8" w:rsidRPr="00EA688C">
        <w:rPr>
          <w:rFonts w:ascii="Times New Roman" w:hAnsi="Times New Roman" w:cs="Times New Roman"/>
          <w:color w:val="FF0000"/>
          <w:sz w:val="20"/>
          <w:szCs w:val="20"/>
        </w:rPr>
        <w:instrText>ADDIN CSL_CITATION {"citationItems":[{"id":"ITEM-1","itemData":{"DOI":"10.1016/j.still.2015.09.015","ISSN":"01671987","author":[{"dropping-particle":"","family":"Sommer","given":"M.","non-dropping-particle":"","parse-names":false,"suffix":""},{"dropping-particle":"","family":"Augustin","given":"J.","non-dropping-particle":"","parse-names":false,"suffix":""},{"dropping-particle":"","family":"Kleber","given":"M.","non-dropping-particle":"","parse-names":false,"suffix":""}],"container-title":"Soil and Tillage Research","id":"ITEM-1","issued":{"date-parts":[["2016"]]},"page":"182-184","title":"Feedbacks of soil erosion on SOC patterns and carbon dynamics in agricultural landscapes-The CarboZALF experiment","type":"article-journal","volume":"156"},"uris":["http://www.mendeley.com/documents/?uuid=59d7eb0f-1f37-44b5-b4c8-0b048124e8d8"]}],"mendeley":{"formattedCitation":"(Sommer et al., 2016)","plainTextFormattedCitation":"(Sommer et al., 2016)","previouslyFormattedCitation":"(Sommer et al., 2016)"},"properties":{"noteIndex":0},"schema":"https://github.com/citation-style-language/schema/raw/master/csl-citation.json"}</w:instrText>
      </w:r>
      <w:r w:rsidR="00525AD8" w:rsidRPr="00EA688C">
        <w:rPr>
          <w:rFonts w:ascii="Times New Roman" w:hAnsi="Times New Roman" w:cs="Times New Roman"/>
          <w:color w:val="FF0000"/>
          <w:sz w:val="20"/>
          <w:szCs w:val="20"/>
        </w:rPr>
        <w:fldChar w:fldCharType="separate"/>
      </w:r>
      <w:r w:rsidR="00525AD8" w:rsidRPr="00EA688C">
        <w:rPr>
          <w:rFonts w:ascii="Times New Roman" w:hAnsi="Times New Roman" w:cs="Times New Roman"/>
          <w:noProof/>
          <w:color w:val="FF0000"/>
          <w:sz w:val="20"/>
          <w:szCs w:val="20"/>
        </w:rPr>
        <w:t>(Sommer et al., 2016)</w:t>
      </w:r>
      <w:r w:rsidR="00525AD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Our field site represents a typical, erosion-affected soil landscape evolved from glacial till</w:t>
      </w:r>
      <w:r w:rsidR="00525AD8" w:rsidRPr="00EA688C">
        <w:rPr>
          <w:rFonts w:ascii="Times New Roman" w:hAnsi="Times New Roman" w:cs="Times New Roman"/>
          <w:color w:val="FF0000"/>
          <w:sz w:val="20"/>
          <w:szCs w:val="20"/>
        </w:rPr>
        <w:t xml:space="preserve"> </w:t>
      </w:r>
      <w:r w:rsidR="00525AD8" w:rsidRPr="00EA688C">
        <w:rPr>
          <w:rFonts w:ascii="Times New Roman" w:hAnsi="Times New Roman" w:cs="Times New Roman"/>
          <w:color w:val="FF0000"/>
          <w:sz w:val="20"/>
          <w:szCs w:val="20"/>
        </w:rPr>
        <w:fldChar w:fldCharType="begin" w:fldLock="1"/>
      </w:r>
      <w:r w:rsidR="00525AD8" w:rsidRPr="00EA688C">
        <w:rPr>
          <w:rFonts w:ascii="Times New Roman" w:hAnsi="Times New Roman" w:cs="Times New Roman"/>
          <w:color w:val="FF0000"/>
          <w:sz w:val="20"/>
          <w:szCs w:val="20"/>
        </w:rPr>
        <w:instrText>ADDIN CSL_CITATION {"citationItems":[{"id":"ITEM-1","itemData":{"DOI":"10.1016/j.geoderma.2008.01.012","ISSN":"00167061","abstract":"Here we present a scheme for modelling soil landscape development in hummocky agricultural landscapes of formerly glaciated terrains. Soil landscape development is regarded as discontinuous over time. Long-term progressive soil development during the Holocene was replaced abruptly by an intense period of regressive pedogenesis during the last 50 years, which is deduced from published 137Cs data and catchment scale mass balances. Consequently, our primary working hypothesis is that the recent soil pattern is mainly a result of human influence during the last 50 years. The paradigm behind our approach is that we have to couple geological-historical information with recent dynamics of relevant processes to understand soil landscape development. Spatially-distributed erosion and sedimentation are the most important processes during that period. The intensity and extent of these processes is, however, also a function of the spatial pattern of soils (erodibility), which evolved in the progressive period. Therefore we developed a \"time split\" modelling approach. For the progressive period relevant pedogenic processes (de-/carbonatization, silicate weathering, clay translocation) have to be quantified by a spatially-distributed, coupled water flow and solute transport model based on reconstructed initial and upper boundary conditions (geomorphic units, climate history). Relevant outputs, e.g., topsoil textural properties, are used as a spatially-distributed input for the model of the regressive period. For the latter we use a modified version of the dynamic, physically based EROSION-3D model [Schmidt, J., von Werner, M., Michael, A., 1996. EROSION 2D/3D - a computer model to simulate water erosion (in German). Sächsische Landesanstalt für Landwirtschaft, Dresden.], which allows spatially-distributed modelling of water-related soil erosion and deposition. Relevant topsoil properties are iteratively adapted to the rates of spatially-distributed erosion and deposition. Preliminary results suggest that a coupling with tillage erosion plays an important role in our landscapes. Explicit analyses of the soil pattern using digital soil mapping techniques will be applied for model validation. © 2008 Elsevier B.V. All rights reserved.","author":[{"dropping-particle":"","family":"Sommer","given":"M.","non-dropping-particle":"","parse-names":false,"suffix":""},{"dropping-particle":"","family":"Gerke","given":"H. H.","non-dropping-particle":"","parse-names":false,"suffix":""},{"dropping-particle":"","family":"Deumlich","given":"D.","non-dropping-particle":"","parse-names":false,"suffix":""}],"container-title":"Geoderma","id":"ITEM-1","issue":"3-4","issued":{"date-parts":[["2008"]]},"page":"480-493","title":"Modelling soil landscape genesis - A \"time split\" approach for hummocky agricultural landscapes","type":"article-journal","volume":"145"},"uris":["http://www.mendeley.com/documents/?uuid=55e84fcb-1386-42b5-ad03-1a74f7117799"]}],"mendeley":{"formattedCitation":"(Sommer et al., 2008)","plainTextFormattedCitation":"(Sommer et al., 2008)","previouslyFormattedCitation":"(Sommer et al., 2008)"},"properties":{"noteIndex":0},"schema":"https://github.com/citation-style-language/schema/raw/master/csl-citation.json"}</w:instrText>
      </w:r>
      <w:r w:rsidR="00525AD8" w:rsidRPr="00EA688C">
        <w:rPr>
          <w:rFonts w:ascii="Times New Roman" w:hAnsi="Times New Roman" w:cs="Times New Roman"/>
          <w:color w:val="FF0000"/>
          <w:sz w:val="20"/>
          <w:szCs w:val="20"/>
        </w:rPr>
        <w:fldChar w:fldCharType="separate"/>
      </w:r>
      <w:r w:rsidR="00525AD8" w:rsidRPr="00EA688C">
        <w:rPr>
          <w:rFonts w:ascii="Times New Roman" w:hAnsi="Times New Roman" w:cs="Times New Roman"/>
          <w:noProof/>
          <w:color w:val="FF0000"/>
          <w:sz w:val="20"/>
          <w:szCs w:val="20"/>
        </w:rPr>
        <w:t>(Sommer et al., 2008)</w:t>
      </w:r>
      <w:r w:rsidR="00525AD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in which tillage erosion had been shown to be the major mode of soil erosion (field scale:</w:t>
      </w:r>
      <w:r w:rsidR="00525AD8" w:rsidRPr="00EA688C">
        <w:rPr>
          <w:rFonts w:ascii="Times New Roman" w:hAnsi="Times New Roman" w:cs="Times New Roman"/>
          <w:color w:val="FF0000"/>
          <w:sz w:val="20"/>
          <w:szCs w:val="20"/>
        </w:rPr>
        <w:t xml:space="preserve"> </w:t>
      </w:r>
      <w:r w:rsidR="00525AD8" w:rsidRPr="00EA688C">
        <w:rPr>
          <w:rFonts w:ascii="Times New Roman" w:hAnsi="Times New Roman" w:cs="Times New Roman"/>
          <w:color w:val="FF0000"/>
          <w:sz w:val="20"/>
          <w:szCs w:val="20"/>
        </w:rPr>
        <w:fldChar w:fldCharType="begin" w:fldLock="1"/>
      </w:r>
      <w:r w:rsidR="00525AD8" w:rsidRPr="00EA688C">
        <w:rPr>
          <w:rFonts w:ascii="Times New Roman" w:hAnsi="Times New Roman" w:cs="Times New Roman"/>
          <w:color w:val="FF0000"/>
          <w:sz w:val="20"/>
          <w:szCs w:val="20"/>
        </w:rPr>
        <w:instrText>ADDIN CSL_CITATION {"citationItems":[{"id":"ITEM-1","itemData":{"author":[{"dropping-particle":"","family":"Wilken","given":"Florian","non-dropping-particle":"","parse-names":false,"suffix":""},{"dropping-particle":"","family":"Ketterer","given":"Michael","non-dropping-particle":"","parse-names":false,"suffix":""},{"dropping-particle":"","family":"Koszinski","given":"Sylvia","non-dropping-particle":"","parse-names":false,"suffix":""},{"dropping-particle":"","family":"Sommer","given":"Michael","non-dropping-particle":"","parse-names":false,"suffix":""},{"dropping-particle":"","family":"Fiener","given":"Peter","non-dropping-particle":"","parse-names":false,"suffix":""}],"container-title":"Soil","id":"ITEM-1","issued":{"date-parts":[["2020"]]},"page":"549-564","title":"Pu tracer measurements using inverse modelling","type":"article-journal","volume":"6"},"uris":["http://www.mendeley.com/documents/?uuid=d9486d51-3e6e-4e97-8366-221bc90ae0e7"]}],"mendeley":{"formattedCitation":"(Wilken et al., 2020)","manualFormatting":"Wilken et al. (2020)","plainTextFormattedCitation":"(Wilken et al., 2020)","previouslyFormattedCitation":"(Wilken et al., 2020)"},"properties":{"noteIndex":0},"schema":"https://github.com/citation-style-language/schema/raw/master/csl-citation.json"}</w:instrText>
      </w:r>
      <w:r w:rsidR="00525AD8" w:rsidRPr="00EA688C">
        <w:rPr>
          <w:rFonts w:ascii="Times New Roman" w:hAnsi="Times New Roman" w:cs="Times New Roman"/>
          <w:color w:val="FF0000"/>
          <w:sz w:val="20"/>
          <w:szCs w:val="20"/>
        </w:rPr>
        <w:fldChar w:fldCharType="separate"/>
      </w:r>
      <w:r w:rsidR="00525AD8" w:rsidRPr="00EA688C">
        <w:rPr>
          <w:rFonts w:ascii="Times New Roman" w:hAnsi="Times New Roman" w:cs="Times New Roman"/>
          <w:noProof/>
          <w:color w:val="FF0000"/>
          <w:sz w:val="20"/>
          <w:szCs w:val="20"/>
        </w:rPr>
        <w:t>Wilken et al. (2020)</w:t>
      </w:r>
      <w:r w:rsidR="00525AD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landscape scale: </w:t>
      </w:r>
      <w:r w:rsidR="00525AD8" w:rsidRPr="00EA688C">
        <w:rPr>
          <w:rFonts w:ascii="Times New Roman" w:hAnsi="Times New Roman" w:cs="Times New Roman"/>
          <w:color w:val="FF0000"/>
          <w:sz w:val="20"/>
          <w:szCs w:val="20"/>
        </w:rPr>
        <w:fldChar w:fldCharType="begin" w:fldLock="1"/>
      </w:r>
      <w:r w:rsidR="00525AD8" w:rsidRPr="00EA688C">
        <w:rPr>
          <w:rFonts w:ascii="Times New Roman" w:hAnsi="Times New Roman" w:cs="Times New Roman"/>
          <w:color w:val="FF0000"/>
          <w:sz w:val="20"/>
          <w:szCs w:val="20"/>
        </w:rPr>
        <w:instrText>ADDIN CSL_CITATION {"citationItems":[{"id":"ITEM-1","itemData":{"DOI":"10.1002/ldr.3968","ISSN":"1099145X","abstract":"Tillage erosion causes substantial soil redistribution that can exceed water erosion especially in hummocky landscapes under highly mechanized large field agriculture. Consequently, truncated soil profiles can be found on hill shoulders and top slopes, whereas colluvial material is accumulated at footslopes, in depressions, and along downslope field borders. We tested the hypothesis that soil erosion substantially affects in-field patterns of the enhanced vegetation index (EVI) of different crop types on landscape scale. The interrelation between the EVI (RAPIDEYE satellite data; 5 m spatial resolution) as a proxy for crop biomass and modeled total soil erosion (tillage and water erosion modeled using SPEROS-C) was analyzed for the Quillow catchment (size: 196 km2) in Northeast Germany in a wet versus normal year for four crop types (winter wheat, maize, winter rapeseed, winter barley). Our findings clearly indicate that eroded areas had the lowest EVI values, while the highest EVI values were found in depositional areas. The differences in the EVI between erosional and depositional sites are more pronounced in the analyzed normal year. The net effect of total erosion on the EVI compared to areas without pronounced erosion or deposition ranged from −10.2% for maize in the normal year to +3.7% for winter barley in the wet year. Tillage erosion has been identified as an important driver of soil degradation affecting in-field crop biomass patterns in a hummocky ground moraine landscape. While soil erosion estimates are to be made, more attention should be given toward tillage erosion.","author":[{"dropping-particle":"","family":"Öttl","given":"Lena Katharina","non-dropping-particle":"","parse-names":false,"suffix":""},{"dropping-particle":"","family":"Wilken","given":"Florian","non-dropping-particle":"","parse-names":false,"suffix":""},{"dropping-particle":"","family":"Auerswald","given":"Karl","non-dropping-particle":"","parse-names":false,"suffix":""},{"dropping-particle":"","family":"Sommer","given":"Michael","non-dropping-particle":"","parse-names":false,"suffix":""},{"dropping-particle":"","family":"Wehrhan","given":"Marc","non-dropping-particle":"","parse-names":false,"suffix":""},{"dropping-particle":"","family":"Fiener","given":"Peter","non-dropping-particle":"","parse-names":false,"suffix":""}],"container-title":"Land Degradation and Development","id":"ITEM-1","issue":"10","issued":{"date-parts":[["2021"]]},"page":"3077-3091","title":"Tillage erosion as an important driver of in-field biomass patterns in an intensively used hummocky landscape","type":"article-journal","volume":"32"},"uris":["http://www.mendeley.com/documents/?uuid=57e124d9-e594-4064-803d-95bff20c472b"]}],"mendeley":{"formattedCitation":"(Öttl et al., 2021)","manualFormatting":"Öttl et al. (2021)","plainTextFormattedCitation":"(Öttl et al., 2021)","previouslyFormattedCitation":"(Öttl et al., 2021)"},"properties":{"noteIndex":0},"schema":"https://github.com/citation-style-language/schema/raw/master/csl-citation.json"}</w:instrText>
      </w:r>
      <w:r w:rsidR="00525AD8" w:rsidRPr="00EA688C">
        <w:rPr>
          <w:rFonts w:ascii="Times New Roman" w:hAnsi="Times New Roman" w:cs="Times New Roman"/>
          <w:color w:val="FF0000"/>
          <w:sz w:val="20"/>
          <w:szCs w:val="20"/>
        </w:rPr>
        <w:fldChar w:fldCharType="separate"/>
      </w:r>
      <w:r w:rsidR="00525AD8" w:rsidRPr="00EA688C">
        <w:rPr>
          <w:rFonts w:ascii="Times New Roman" w:hAnsi="Times New Roman" w:cs="Times New Roman"/>
          <w:noProof/>
          <w:color w:val="FF0000"/>
          <w:sz w:val="20"/>
          <w:szCs w:val="20"/>
        </w:rPr>
        <w:t>Öttl et al. (2021)</w:t>
      </w:r>
      <w:r w:rsidR="00525AD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We selected four soils along the full gradient of erosion-deposition (Fig.1): (</w:t>
      </w:r>
      <w:proofErr w:type="spellStart"/>
      <w:r w:rsidRPr="00EA688C">
        <w:rPr>
          <w:rFonts w:ascii="Times New Roman" w:hAnsi="Times New Roman" w:cs="Times New Roman"/>
          <w:color w:val="FF0000"/>
          <w:sz w:val="20"/>
          <w:szCs w:val="20"/>
        </w:rPr>
        <w:t>i</w:t>
      </w:r>
      <w:proofErr w:type="spellEnd"/>
      <w:r w:rsidRPr="00EA688C">
        <w:rPr>
          <w:rFonts w:ascii="Times New Roman" w:hAnsi="Times New Roman" w:cs="Times New Roman"/>
          <w:color w:val="FF0000"/>
          <w:sz w:val="20"/>
          <w:szCs w:val="20"/>
        </w:rPr>
        <w:t xml:space="preserve">) An extremely </w:t>
      </w:r>
      <w:r w:rsidR="00296B0A" w:rsidRPr="00EA688C">
        <w:rPr>
          <w:rFonts w:ascii="Times New Roman" w:hAnsi="Times New Roman" w:cs="Times New Roman"/>
          <w:color w:val="FF0000"/>
          <w:sz w:val="20"/>
          <w:szCs w:val="20"/>
        </w:rPr>
        <w:t xml:space="preserve">eroded </w:t>
      </w:r>
      <w:r w:rsidRPr="00EA688C">
        <w:rPr>
          <w:rFonts w:ascii="Times New Roman" w:hAnsi="Times New Roman" w:cs="Times New Roman"/>
          <w:color w:val="FF0000"/>
          <w:sz w:val="20"/>
          <w:szCs w:val="20"/>
        </w:rPr>
        <w:t>soil at a steep slope (</w:t>
      </w:r>
      <w:proofErr w:type="spellStart"/>
      <w:r w:rsidRPr="00EA688C">
        <w:rPr>
          <w:rFonts w:ascii="Times New Roman" w:hAnsi="Times New Roman" w:cs="Times New Roman"/>
          <w:color w:val="FF0000"/>
          <w:sz w:val="20"/>
          <w:szCs w:val="20"/>
        </w:rPr>
        <w:t>Calcaric</w:t>
      </w:r>
      <w:proofErr w:type="spellEnd"/>
      <w:r w:rsidRPr="00EA688C">
        <w:rPr>
          <w:rFonts w:ascii="Times New Roman" w:hAnsi="Times New Roman" w:cs="Times New Roman"/>
          <w:color w:val="FF0000"/>
          <w:sz w:val="20"/>
          <w:szCs w:val="20"/>
        </w:rPr>
        <w:t xml:space="preserve"> </w:t>
      </w:r>
      <w:proofErr w:type="spellStart"/>
      <w:r w:rsidRPr="00EA688C">
        <w:rPr>
          <w:rFonts w:ascii="Times New Roman" w:hAnsi="Times New Roman" w:cs="Times New Roman"/>
          <w:color w:val="FF0000"/>
          <w:sz w:val="20"/>
          <w:szCs w:val="20"/>
        </w:rPr>
        <w:t>Regosol</w:t>
      </w:r>
      <w:proofErr w:type="spellEnd"/>
      <w:r w:rsidRPr="00EA688C">
        <w:rPr>
          <w:rFonts w:ascii="Times New Roman" w:hAnsi="Times New Roman" w:cs="Times New Roman"/>
          <w:color w:val="FF0000"/>
          <w:sz w:val="20"/>
          <w:szCs w:val="20"/>
        </w:rPr>
        <w:t xml:space="preserve">, </w:t>
      </w:r>
      <w:proofErr w:type="spellStart"/>
      <w:r w:rsidRPr="00EA688C">
        <w:rPr>
          <w:rFonts w:ascii="Times New Roman" w:hAnsi="Times New Roman" w:cs="Times New Roman"/>
          <w:color w:val="FF0000"/>
          <w:sz w:val="20"/>
          <w:szCs w:val="20"/>
        </w:rPr>
        <w:t>Rg</w:t>
      </w:r>
      <w:proofErr w:type="spellEnd"/>
      <w:r w:rsidRPr="00EA688C">
        <w:rPr>
          <w:rFonts w:ascii="Times New Roman" w:hAnsi="Times New Roman" w:cs="Times New Roman"/>
          <w:color w:val="FF0000"/>
          <w:sz w:val="20"/>
          <w:szCs w:val="20"/>
        </w:rPr>
        <w:t xml:space="preserve">-ca), (ii) a less </w:t>
      </w:r>
      <w:r w:rsidR="00296B0A" w:rsidRPr="00EA688C">
        <w:rPr>
          <w:rFonts w:ascii="Times New Roman" w:hAnsi="Times New Roman" w:cs="Times New Roman"/>
          <w:color w:val="FF0000"/>
          <w:sz w:val="20"/>
          <w:szCs w:val="20"/>
        </w:rPr>
        <w:t xml:space="preserve">eroded </w:t>
      </w:r>
      <w:r w:rsidRPr="00EA688C">
        <w:rPr>
          <w:rFonts w:ascii="Times New Roman" w:hAnsi="Times New Roman" w:cs="Times New Roman"/>
          <w:color w:val="FF0000"/>
          <w:sz w:val="20"/>
          <w:szCs w:val="20"/>
        </w:rPr>
        <w:t xml:space="preserve">soil at a flatter </w:t>
      </w:r>
      <w:proofErr w:type="spellStart"/>
      <w:r w:rsidRPr="00EA688C">
        <w:rPr>
          <w:rFonts w:ascii="Times New Roman" w:hAnsi="Times New Roman" w:cs="Times New Roman"/>
          <w:color w:val="FF0000"/>
          <w:sz w:val="20"/>
          <w:szCs w:val="20"/>
        </w:rPr>
        <w:t>midslope</w:t>
      </w:r>
      <w:proofErr w:type="spellEnd"/>
      <w:r w:rsidRPr="00EA688C">
        <w:rPr>
          <w:rFonts w:ascii="Times New Roman" w:hAnsi="Times New Roman" w:cs="Times New Roman"/>
          <w:color w:val="FF0000"/>
          <w:sz w:val="20"/>
          <w:szCs w:val="20"/>
        </w:rPr>
        <w:t xml:space="preserve"> (</w:t>
      </w:r>
      <w:proofErr w:type="spellStart"/>
      <w:r w:rsidRPr="00EA688C">
        <w:rPr>
          <w:rFonts w:ascii="Times New Roman" w:hAnsi="Times New Roman" w:cs="Times New Roman"/>
          <w:color w:val="FF0000"/>
          <w:sz w:val="20"/>
          <w:szCs w:val="20"/>
        </w:rPr>
        <w:t>Nudiargic</w:t>
      </w:r>
      <w:proofErr w:type="spellEnd"/>
      <w:r w:rsidRPr="00EA688C">
        <w:rPr>
          <w:rFonts w:ascii="Times New Roman" w:hAnsi="Times New Roman" w:cs="Times New Roman"/>
          <w:color w:val="FF0000"/>
          <w:sz w:val="20"/>
          <w:szCs w:val="20"/>
        </w:rPr>
        <w:t xml:space="preserve"> </w:t>
      </w:r>
      <w:proofErr w:type="spellStart"/>
      <w:r w:rsidRPr="00EA688C">
        <w:rPr>
          <w:rFonts w:ascii="Times New Roman" w:hAnsi="Times New Roman" w:cs="Times New Roman"/>
          <w:color w:val="FF0000"/>
          <w:sz w:val="20"/>
          <w:szCs w:val="20"/>
        </w:rPr>
        <w:t>Luvisol</w:t>
      </w:r>
      <w:proofErr w:type="spellEnd"/>
      <w:r w:rsidRPr="00EA688C">
        <w:rPr>
          <w:rFonts w:ascii="Times New Roman" w:hAnsi="Times New Roman" w:cs="Times New Roman"/>
          <w:color w:val="FF0000"/>
          <w:sz w:val="20"/>
          <w:szCs w:val="20"/>
        </w:rPr>
        <w:t xml:space="preserve">, </w:t>
      </w:r>
      <w:proofErr w:type="spellStart"/>
      <w:r w:rsidRPr="00EA688C">
        <w:rPr>
          <w:rFonts w:ascii="Times New Roman" w:hAnsi="Times New Roman" w:cs="Times New Roman"/>
          <w:color w:val="FF0000"/>
          <w:sz w:val="20"/>
          <w:szCs w:val="20"/>
        </w:rPr>
        <w:t>Lv</w:t>
      </w:r>
      <w:proofErr w:type="spellEnd"/>
      <w:r w:rsidRPr="00EA688C">
        <w:rPr>
          <w:rFonts w:ascii="Times New Roman" w:hAnsi="Times New Roman" w:cs="Times New Roman"/>
          <w:color w:val="FF0000"/>
          <w:sz w:val="20"/>
          <w:szCs w:val="20"/>
        </w:rPr>
        <w:t xml:space="preserve">-ng), (iii) a non-eroded soil at plateau position (Calcic </w:t>
      </w:r>
      <w:proofErr w:type="spellStart"/>
      <w:r w:rsidRPr="00EA688C">
        <w:rPr>
          <w:rFonts w:ascii="Times New Roman" w:hAnsi="Times New Roman" w:cs="Times New Roman"/>
          <w:color w:val="FF0000"/>
          <w:sz w:val="20"/>
          <w:szCs w:val="20"/>
        </w:rPr>
        <w:t>Luvisol</w:t>
      </w:r>
      <w:proofErr w:type="spellEnd"/>
      <w:r w:rsidRPr="00EA688C">
        <w:rPr>
          <w:rFonts w:ascii="Times New Roman" w:hAnsi="Times New Roman" w:cs="Times New Roman"/>
          <w:color w:val="FF0000"/>
          <w:sz w:val="20"/>
          <w:szCs w:val="20"/>
        </w:rPr>
        <w:t xml:space="preserve">, </w:t>
      </w:r>
      <w:proofErr w:type="spellStart"/>
      <w:r w:rsidRPr="00EA688C">
        <w:rPr>
          <w:rFonts w:ascii="Times New Roman" w:hAnsi="Times New Roman" w:cs="Times New Roman"/>
          <w:color w:val="FF0000"/>
          <w:sz w:val="20"/>
          <w:szCs w:val="20"/>
        </w:rPr>
        <w:t>Lv</w:t>
      </w:r>
      <w:proofErr w:type="spellEnd"/>
      <w:r w:rsidRPr="00EA688C">
        <w:rPr>
          <w:rFonts w:ascii="Times New Roman" w:hAnsi="Times New Roman" w:cs="Times New Roman"/>
          <w:color w:val="FF0000"/>
          <w:sz w:val="20"/>
          <w:szCs w:val="20"/>
        </w:rPr>
        <w:t>-cc), and, (iv) a depositional soil (</w:t>
      </w:r>
      <w:proofErr w:type="spellStart"/>
      <w:r w:rsidRPr="00EA688C">
        <w:rPr>
          <w:rFonts w:ascii="Times New Roman" w:hAnsi="Times New Roman" w:cs="Times New Roman"/>
          <w:color w:val="FF0000"/>
          <w:sz w:val="20"/>
          <w:szCs w:val="20"/>
        </w:rPr>
        <w:t>Gleyic-Colluvic</w:t>
      </w:r>
      <w:proofErr w:type="spellEnd"/>
      <w:r w:rsidRPr="00EA688C">
        <w:rPr>
          <w:rFonts w:ascii="Times New Roman" w:hAnsi="Times New Roman" w:cs="Times New Roman"/>
          <w:color w:val="FF0000"/>
          <w:sz w:val="20"/>
          <w:szCs w:val="20"/>
        </w:rPr>
        <w:t xml:space="preserve"> </w:t>
      </w:r>
      <w:proofErr w:type="spellStart"/>
      <w:r w:rsidRPr="00EA688C">
        <w:rPr>
          <w:rFonts w:ascii="Times New Roman" w:hAnsi="Times New Roman" w:cs="Times New Roman"/>
          <w:color w:val="FF0000"/>
          <w:sz w:val="20"/>
          <w:szCs w:val="20"/>
        </w:rPr>
        <w:t>Regosol</w:t>
      </w:r>
      <w:proofErr w:type="spellEnd"/>
      <w:r w:rsidRPr="00EA688C">
        <w:rPr>
          <w:rFonts w:ascii="Times New Roman" w:hAnsi="Times New Roman" w:cs="Times New Roman"/>
          <w:color w:val="FF0000"/>
          <w:sz w:val="20"/>
          <w:szCs w:val="20"/>
        </w:rPr>
        <w:t xml:space="preserve">, Rg-co.gl) </w:t>
      </w:r>
      <w:r w:rsidR="00525AD8" w:rsidRPr="00EA688C">
        <w:rPr>
          <w:rFonts w:ascii="Times New Roman" w:hAnsi="Times New Roman" w:cs="Times New Roman"/>
          <w:color w:val="FF0000"/>
          <w:sz w:val="20"/>
          <w:szCs w:val="20"/>
        </w:rPr>
        <w:fldChar w:fldCharType="begin" w:fldLock="1"/>
      </w:r>
      <w:r w:rsidR="00DB5899" w:rsidRPr="00EA688C">
        <w:rPr>
          <w:rFonts w:ascii="Times New Roman" w:hAnsi="Times New Roman" w:cs="Times New Roman"/>
          <w:color w:val="FF0000"/>
          <w:sz w:val="20"/>
          <w:szCs w:val="20"/>
        </w:rPr>
        <w:instrText>ADDIN CSL_CITATION {"citationItems":[{"id":"ITEM-1","itemData":{"ISBN":"9251055114","ISSN":"0014-4797","PMID":"19662002","author":[{"dropping-particle":"","family":"IUSS","given":"","non-dropping-particle":"","parse-names":false,"suffix":""}],"container-title":"World Soil Resources Reports","id":"ITEM-1","issued":{"date-parts":[["2015"]]},"title":"IUSS Working Group - World Reference Base for Soil Resources. International soil classification system for naming soils and creating legends for soil maps.","type":"report","volume":"103"},"uris":["http://www.mendeley.com/documents/?uuid=5c39685d-1cc7-4165-8a1e-8bf54cf4d959"]}],"mendeley":{"formattedCitation":"(IUSS, 2015)","plainTextFormattedCitation":"(IUSS, 2015)","previouslyFormattedCitation":"(IUSS, 2015)"},"properties":{"noteIndex":0},"schema":"https://github.com/citation-style-language/schema/raw/master/csl-citation.json"}</w:instrText>
      </w:r>
      <w:r w:rsidR="00525AD8" w:rsidRPr="00EA688C">
        <w:rPr>
          <w:rFonts w:ascii="Times New Roman" w:hAnsi="Times New Roman" w:cs="Times New Roman"/>
          <w:color w:val="FF0000"/>
          <w:sz w:val="20"/>
          <w:szCs w:val="20"/>
        </w:rPr>
        <w:fldChar w:fldCharType="separate"/>
      </w:r>
      <w:r w:rsidR="00525AD8" w:rsidRPr="00EA688C">
        <w:rPr>
          <w:rFonts w:ascii="Times New Roman" w:hAnsi="Times New Roman" w:cs="Times New Roman"/>
          <w:noProof/>
          <w:color w:val="FF0000"/>
          <w:sz w:val="20"/>
          <w:szCs w:val="20"/>
        </w:rPr>
        <w:t>(IUSS, 2015)</w:t>
      </w:r>
      <w:r w:rsidR="00525AD8" w:rsidRPr="00EA688C">
        <w:rPr>
          <w:rFonts w:ascii="Times New Roman" w:hAnsi="Times New Roman" w:cs="Times New Roman"/>
          <w:color w:val="FF0000"/>
          <w:sz w:val="20"/>
          <w:szCs w:val="20"/>
        </w:rPr>
        <w:fldChar w:fldCharType="end"/>
      </w:r>
      <w:r w:rsidRPr="00EA688C">
        <w:rPr>
          <w:rFonts w:ascii="Times New Roman" w:hAnsi="Times New Roman" w:cs="Times New Roman"/>
          <w:color w:val="FF0000"/>
          <w:sz w:val="20"/>
          <w:szCs w:val="20"/>
        </w:rPr>
        <w:t xml:space="preserve"> located at the fringe of a topographic depression (kettle hole). Here, groundwater influence is documented by </w:t>
      </w:r>
      <w:proofErr w:type="spellStart"/>
      <w:r w:rsidRPr="00EA688C">
        <w:rPr>
          <w:rFonts w:ascii="Times New Roman" w:hAnsi="Times New Roman" w:cs="Times New Roman"/>
          <w:color w:val="FF0000"/>
          <w:sz w:val="20"/>
          <w:szCs w:val="20"/>
        </w:rPr>
        <w:t>redoximorphic</w:t>
      </w:r>
      <w:proofErr w:type="spellEnd"/>
      <w:r w:rsidRPr="00EA688C">
        <w:rPr>
          <w:rFonts w:ascii="Times New Roman" w:hAnsi="Times New Roman" w:cs="Times New Roman"/>
          <w:color w:val="FF0000"/>
          <w:sz w:val="20"/>
          <w:szCs w:val="20"/>
        </w:rPr>
        <w:t xml:space="preserve"> features in the upper 1m. </w:t>
      </w:r>
      <w:r w:rsidR="00E53359" w:rsidRPr="00EA688C">
        <w:rPr>
          <w:rFonts w:ascii="Times New Roman" w:hAnsi="Times New Roman" w:cs="Times New Roman"/>
          <w:color w:val="FF0000"/>
          <w:sz w:val="20"/>
          <w:szCs w:val="20"/>
        </w:rPr>
        <w:t>Because</w:t>
      </w:r>
      <w:r w:rsidRPr="00EA688C">
        <w:rPr>
          <w:rFonts w:ascii="Times New Roman" w:hAnsi="Times New Roman" w:cs="Times New Roman"/>
          <w:color w:val="FF0000"/>
          <w:sz w:val="20"/>
          <w:szCs w:val="20"/>
        </w:rPr>
        <w:t xml:space="preserve"> of lateral soil translocation the selected sequence represents a large gradient in crop growth conditions as well, especially for water and nutrient supply (for details, see Table S1 in the supplement).</w:t>
      </w:r>
    </w:p>
    <w:tbl>
      <w:tblPr>
        <w:tblStyle w:val="Tabellenraster"/>
        <w:tblW w:w="0" w:type="auto"/>
        <w:tblLook w:val="04A0" w:firstRow="1" w:lastRow="0" w:firstColumn="1" w:lastColumn="0" w:noHBand="0" w:noVBand="1"/>
      </w:tblPr>
      <w:tblGrid>
        <w:gridCol w:w="9628"/>
      </w:tblGrid>
      <w:tr w:rsidR="00FC7909" w14:paraId="7EE08746" w14:textId="77777777" w:rsidTr="00FC7909">
        <w:tc>
          <w:tcPr>
            <w:tcW w:w="9628" w:type="dxa"/>
          </w:tcPr>
          <w:p w14:paraId="43C1DA4D" w14:textId="3BC1883F" w:rsidR="00FC7909" w:rsidRDefault="00FC7909" w:rsidP="007163EA">
            <w:pPr>
              <w:spacing w:line="360" w:lineRule="auto"/>
              <w:jc w:val="both"/>
              <w:rPr>
                <w:rFonts w:ascii="Times New Roman" w:hAnsi="Times New Roman" w:cs="Times New Roman"/>
                <w:sz w:val="20"/>
                <w:szCs w:val="20"/>
              </w:rPr>
            </w:pPr>
            <w:r>
              <w:rPr>
                <w:rFonts w:ascii="Times New Roman" w:hAnsi="Times New Roman" w:cs="Times New Roman"/>
                <w:noProof/>
                <w:sz w:val="20"/>
                <w:szCs w:val="20"/>
                <w:lang w:val="en-GB" w:eastAsia="en-GB" w:bidi="ar-SA"/>
              </w:rPr>
              <w:drawing>
                <wp:inline distT="0" distB="0" distL="0" distR="0" wp14:anchorId="0A94B5BA" wp14:editId="41F09158">
                  <wp:extent cx="3240031" cy="2429261"/>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1.tiff"/>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40031" cy="2429261"/>
                          </a:xfrm>
                          <a:prstGeom prst="rect">
                            <a:avLst/>
                          </a:prstGeom>
                        </pic:spPr>
                      </pic:pic>
                    </a:graphicData>
                  </a:graphic>
                </wp:inline>
              </w:drawing>
            </w:r>
          </w:p>
        </w:tc>
      </w:tr>
    </w:tbl>
    <w:p w14:paraId="148031F4" w14:textId="53CF46B4" w:rsidR="00FC7909" w:rsidRDefault="00FC7909" w:rsidP="00FC7909">
      <w:pPr>
        <w:spacing w:line="360" w:lineRule="auto"/>
        <w:jc w:val="both"/>
        <w:rPr>
          <w:rFonts w:ascii="Times New Roman" w:hAnsi="Times New Roman" w:cs="Times New Roman"/>
          <w:b/>
          <w:sz w:val="20"/>
          <w:szCs w:val="20"/>
        </w:rPr>
      </w:pPr>
      <w:r w:rsidRPr="00FC7909">
        <w:rPr>
          <w:rFonts w:ascii="Times New Roman" w:hAnsi="Times New Roman" w:cs="Times New Roman"/>
          <w:b/>
          <w:sz w:val="20"/>
          <w:szCs w:val="20"/>
        </w:rPr>
        <w:t>Figure. 1: Soils along the erosion-deposition gradient (soil classification according to WRB, IUSS 2015); for soil properties see Table</w:t>
      </w:r>
      <w:r>
        <w:rPr>
          <w:rFonts w:ascii="Times New Roman" w:hAnsi="Times New Roman" w:cs="Times New Roman"/>
          <w:b/>
          <w:sz w:val="20"/>
          <w:szCs w:val="20"/>
        </w:rPr>
        <w:t xml:space="preserve"> </w:t>
      </w:r>
      <w:r w:rsidRPr="00FC7909">
        <w:rPr>
          <w:rFonts w:ascii="Times New Roman" w:hAnsi="Times New Roman" w:cs="Times New Roman"/>
          <w:b/>
          <w:sz w:val="20"/>
          <w:szCs w:val="20"/>
        </w:rPr>
        <w:t>S1 (supplement)</w:t>
      </w:r>
      <w:r w:rsidR="00D9631C">
        <w:rPr>
          <w:rFonts w:ascii="Times New Roman" w:hAnsi="Times New Roman" w:cs="Times New Roman"/>
          <w:b/>
          <w:sz w:val="20"/>
          <w:szCs w:val="20"/>
        </w:rPr>
        <w:t>.</w:t>
      </w:r>
    </w:p>
    <w:p w14:paraId="51D84ABF" w14:textId="77777777" w:rsidR="00D9631C" w:rsidRDefault="00D9631C" w:rsidP="00FC7909">
      <w:pPr>
        <w:spacing w:line="360" w:lineRule="auto"/>
        <w:jc w:val="both"/>
        <w:rPr>
          <w:rFonts w:ascii="Times New Roman" w:hAnsi="Times New Roman" w:cs="Times New Roman"/>
          <w:b/>
          <w:sz w:val="20"/>
          <w:szCs w:val="20"/>
        </w:rPr>
      </w:pPr>
    </w:p>
    <w:p w14:paraId="7EB422B2" w14:textId="0A3C7B77" w:rsidR="007B5040" w:rsidRPr="00D9631C" w:rsidRDefault="00FC7909" w:rsidP="007B5040">
      <w:pPr>
        <w:spacing w:line="360" w:lineRule="auto"/>
        <w:ind w:firstLine="709"/>
        <w:jc w:val="both"/>
        <w:rPr>
          <w:rFonts w:ascii="Times New Roman" w:hAnsi="Times New Roman" w:cs="Times New Roman"/>
          <w:color w:val="FF0000"/>
          <w:sz w:val="20"/>
          <w:szCs w:val="20"/>
        </w:rPr>
      </w:pPr>
      <w:r w:rsidRPr="00D9631C">
        <w:rPr>
          <w:rFonts w:ascii="Times New Roman" w:hAnsi="Times New Roman" w:cs="Times New Roman"/>
          <w:color w:val="FF0000"/>
          <w:sz w:val="20"/>
          <w:szCs w:val="20"/>
        </w:rPr>
        <w:t>Bulk density was measured using undisturbed soil cores of 100 cm</w:t>
      </w:r>
      <w:r w:rsidRPr="00D9631C">
        <w:rPr>
          <w:rFonts w:ascii="Times New Roman" w:hAnsi="Times New Roman" w:cs="Times New Roman"/>
          <w:color w:val="FF0000"/>
          <w:sz w:val="20"/>
          <w:szCs w:val="20"/>
          <w:vertAlign w:val="superscript"/>
        </w:rPr>
        <w:t>3</w:t>
      </w:r>
      <w:r w:rsidRPr="00D9631C">
        <w:rPr>
          <w:rFonts w:ascii="Times New Roman" w:hAnsi="Times New Roman" w:cs="Times New Roman"/>
          <w:color w:val="FF0000"/>
          <w:sz w:val="20"/>
          <w:szCs w:val="20"/>
        </w:rPr>
        <w:t xml:space="preserve">. Bulk soil samples were air dried, gently crushed and sieved at 2mm to separate the fine earth fraction (&lt; 2 mm) from the gravel (&gt; 2 mm). The particle size distribution of the fine earth was determined by a combined wet sieving (&gt; 63 </w:t>
      </w:r>
      <w:proofErr w:type="spellStart"/>
      <w:r w:rsidRPr="00D9631C">
        <w:rPr>
          <w:rFonts w:ascii="Times New Roman" w:hAnsi="Times New Roman" w:cs="Times New Roman"/>
          <w:color w:val="FF0000"/>
          <w:sz w:val="20"/>
          <w:szCs w:val="20"/>
        </w:rPr>
        <w:t>μm</w:t>
      </w:r>
      <w:proofErr w:type="spellEnd"/>
      <w:r w:rsidRPr="00D9631C">
        <w:rPr>
          <w:rFonts w:ascii="Times New Roman" w:hAnsi="Times New Roman" w:cs="Times New Roman"/>
          <w:color w:val="FF0000"/>
          <w:sz w:val="20"/>
          <w:szCs w:val="20"/>
        </w:rPr>
        <w:t xml:space="preserve">) and pipette (&lt; 20 </w:t>
      </w:r>
      <w:proofErr w:type="spellStart"/>
      <w:r w:rsidRPr="00D9631C">
        <w:rPr>
          <w:rFonts w:ascii="Times New Roman" w:hAnsi="Times New Roman" w:cs="Times New Roman"/>
          <w:color w:val="FF0000"/>
          <w:sz w:val="20"/>
          <w:szCs w:val="20"/>
        </w:rPr>
        <w:t>μm</w:t>
      </w:r>
      <w:proofErr w:type="spellEnd"/>
      <w:r w:rsidRPr="00D9631C">
        <w:rPr>
          <w:rFonts w:ascii="Times New Roman" w:hAnsi="Times New Roman" w:cs="Times New Roman"/>
          <w:color w:val="FF0000"/>
          <w:sz w:val="20"/>
          <w:szCs w:val="20"/>
        </w:rPr>
        <w:t>) method; pretreatment for particle size analysis was performed by wet oxidation of the OM using H</w:t>
      </w:r>
      <w:r w:rsidRPr="00D9631C">
        <w:rPr>
          <w:rFonts w:ascii="Times New Roman" w:hAnsi="Times New Roman" w:cs="Times New Roman"/>
          <w:color w:val="FF0000"/>
          <w:sz w:val="20"/>
          <w:szCs w:val="20"/>
          <w:vertAlign w:val="subscript"/>
        </w:rPr>
        <w:t>2</w:t>
      </w:r>
      <w:r w:rsidRPr="00D9631C">
        <w:rPr>
          <w:rFonts w:ascii="Times New Roman" w:hAnsi="Times New Roman" w:cs="Times New Roman"/>
          <w:color w:val="FF0000"/>
          <w:sz w:val="20"/>
          <w:szCs w:val="20"/>
        </w:rPr>
        <w:t>O</w:t>
      </w:r>
      <w:r w:rsidRPr="00D9631C">
        <w:rPr>
          <w:rFonts w:ascii="Times New Roman" w:hAnsi="Times New Roman" w:cs="Times New Roman"/>
          <w:color w:val="FF0000"/>
          <w:sz w:val="20"/>
          <w:szCs w:val="20"/>
          <w:vertAlign w:val="subscript"/>
        </w:rPr>
        <w:t>2</w:t>
      </w:r>
      <w:r w:rsidRPr="00D9631C">
        <w:rPr>
          <w:rFonts w:ascii="Times New Roman" w:hAnsi="Times New Roman" w:cs="Times New Roman"/>
          <w:color w:val="FF0000"/>
          <w:sz w:val="20"/>
          <w:szCs w:val="20"/>
        </w:rPr>
        <w:t xml:space="preserve"> (10 Vol. %) at 80 </w:t>
      </w:r>
      <w:r w:rsidR="00296B0A" w:rsidRPr="00D9631C">
        <w:rPr>
          <w:rFonts w:ascii="Times New Roman" w:hAnsi="Times New Roman" w:cs="Times New Roman"/>
          <w:color w:val="FF0000"/>
          <w:sz w:val="20"/>
          <w:szCs w:val="20"/>
        </w:rPr>
        <w:t>°</w:t>
      </w:r>
      <w:r w:rsidRPr="00D9631C">
        <w:rPr>
          <w:rFonts w:ascii="Times New Roman" w:hAnsi="Times New Roman" w:cs="Times New Roman"/>
          <w:color w:val="FF0000"/>
          <w:sz w:val="20"/>
          <w:szCs w:val="20"/>
        </w:rPr>
        <w:t>C and dispersion by shaking the sample end over end for 16 h with a 0.01 M Na</w:t>
      </w:r>
      <w:r w:rsidRPr="00D9631C">
        <w:rPr>
          <w:rFonts w:ascii="Times New Roman" w:hAnsi="Times New Roman" w:cs="Times New Roman"/>
          <w:color w:val="FF0000"/>
          <w:sz w:val="20"/>
          <w:szCs w:val="20"/>
          <w:vertAlign w:val="subscript"/>
        </w:rPr>
        <w:t>4</w:t>
      </w:r>
      <w:r w:rsidRPr="00D9631C">
        <w:rPr>
          <w:rFonts w:ascii="Times New Roman" w:hAnsi="Times New Roman" w:cs="Times New Roman"/>
          <w:color w:val="FF0000"/>
          <w:sz w:val="20"/>
          <w:szCs w:val="20"/>
        </w:rPr>
        <w:t>P</w:t>
      </w:r>
      <w:r w:rsidRPr="00D9631C">
        <w:rPr>
          <w:rFonts w:ascii="Times New Roman" w:hAnsi="Times New Roman" w:cs="Times New Roman"/>
          <w:color w:val="FF0000"/>
          <w:sz w:val="20"/>
          <w:szCs w:val="20"/>
          <w:vertAlign w:val="subscript"/>
        </w:rPr>
        <w:t>2</w:t>
      </w:r>
      <w:r w:rsidRPr="00D9631C">
        <w:rPr>
          <w:rFonts w:ascii="Times New Roman" w:hAnsi="Times New Roman" w:cs="Times New Roman"/>
          <w:color w:val="FF0000"/>
          <w:sz w:val="20"/>
          <w:szCs w:val="20"/>
        </w:rPr>
        <w:t>O</w:t>
      </w:r>
      <w:r w:rsidRPr="00D9631C">
        <w:rPr>
          <w:rFonts w:ascii="Times New Roman" w:hAnsi="Times New Roman" w:cs="Times New Roman"/>
          <w:color w:val="FF0000"/>
          <w:sz w:val="20"/>
          <w:szCs w:val="20"/>
          <w:vertAlign w:val="subscript"/>
        </w:rPr>
        <w:t>7</w:t>
      </w:r>
      <w:r w:rsidRPr="00D9631C">
        <w:rPr>
          <w:rFonts w:ascii="Times New Roman" w:hAnsi="Times New Roman" w:cs="Times New Roman"/>
          <w:color w:val="FF0000"/>
          <w:sz w:val="20"/>
          <w:szCs w:val="20"/>
        </w:rPr>
        <w:t xml:space="preserve"> solution</w:t>
      </w:r>
      <w:r w:rsidR="007E5503" w:rsidRPr="00D9631C">
        <w:rPr>
          <w:rFonts w:ascii="Times New Roman" w:hAnsi="Times New Roman" w:cs="Times New Roman"/>
          <w:color w:val="FF0000"/>
          <w:sz w:val="20"/>
          <w:szCs w:val="20"/>
        </w:rPr>
        <w:t xml:space="preserve"> </w:t>
      </w:r>
      <w:r w:rsidR="007E5503" w:rsidRPr="00D9631C">
        <w:rPr>
          <w:rFonts w:ascii="Times New Roman" w:hAnsi="Times New Roman" w:cs="Times New Roman"/>
          <w:color w:val="FF0000"/>
          <w:sz w:val="20"/>
          <w:szCs w:val="20"/>
        </w:rPr>
        <w:fldChar w:fldCharType="begin" w:fldLock="1"/>
      </w:r>
      <w:r w:rsidR="00DE4B28" w:rsidRPr="00D9631C">
        <w:rPr>
          <w:rFonts w:ascii="Times New Roman" w:hAnsi="Times New Roman" w:cs="Times New Roman"/>
          <w:color w:val="FF0000"/>
          <w:sz w:val="20"/>
          <w:szCs w:val="20"/>
        </w:rPr>
        <w:instrText>ADDIN CSL_CITATION {"citationItems":[{"id":"ITEM-1","itemData":{"author":[{"dropping-particle":"","family":"Schlichting","given":"E.","non-dropping-particle":"","parse-names":false,"suffix":""},{"dropping-particle":"","family":"Blume","given":"H. P.","non-dropping-particle":"","parse-names":false,"suffix":""},{"dropping-particle":"","family":"Stahr","given":"K.","non-dropping-particle":"","parse-names":false,"suffix":""}],"id":"ITEM-1","issued":{"date-parts":[["1995"]]},"publisher":"Blackwell","publisher-place":"Berlin, Wien, Germany, Austria","title":"Soils Practical (in German)","type":"book"},"uris":["http://www.mendeley.com/documents/?uuid=078e6e49-24b5-47e4-9c0d-e101365f81d2"]}],"mendeley":{"formattedCitation":"(Schlichting et al., 1995)","plainTextFormattedCitation":"(Schlichting et al., 1995)","previouslyFormattedCitation":"(Schlichting et al., 1995)"},"properties":{"noteIndex":0},"schema":"https://github.com/citation-style-language/schema/raw/master/csl-citation.json"}</w:instrText>
      </w:r>
      <w:r w:rsidR="007E5503" w:rsidRPr="00D9631C">
        <w:rPr>
          <w:rFonts w:ascii="Times New Roman" w:hAnsi="Times New Roman" w:cs="Times New Roman"/>
          <w:color w:val="FF0000"/>
          <w:sz w:val="20"/>
          <w:szCs w:val="20"/>
        </w:rPr>
        <w:fldChar w:fldCharType="separate"/>
      </w:r>
      <w:r w:rsidR="007E5503" w:rsidRPr="00D9631C">
        <w:rPr>
          <w:rFonts w:ascii="Times New Roman" w:hAnsi="Times New Roman" w:cs="Times New Roman"/>
          <w:noProof/>
          <w:color w:val="FF0000"/>
          <w:sz w:val="20"/>
          <w:szCs w:val="20"/>
        </w:rPr>
        <w:t>(Schlichting et al., 1995)</w:t>
      </w:r>
      <w:r w:rsidR="007E5503" w:rsidRPr="00D9631C">
        <w:rPr>
          <w:rFonts w:ascii="Times New Roman" w:hAnsi="Times New Roman" w:cs="Times New Roman"/>
          <w:color w:val="FF0000"/>
          <w:sz w:val="20"/>
          <w:szCs w:val="20"/>
        </w:rPr>
        <w:fldChar w:fldCharType="end"/>
      </w:r>
      <w:r w:rsidRPr="00D9631C">
        <w:rPr>
          <w:rFonts w:ascii="Times New Roman" w:hAnsi="Times New Roman" w:cs="Times New Roman"/>
          <w:color w:val="FF0000"/>
          <w:sz w:val="20"/>
          <w:szCs w:val="20"/>
        </w:rPr>
        <w:t>. Soil pH was measured using a glass electrode in 0.01 M CaCl</w:t>
      </w:r>
      <w:r w:rsidRPr="00D9631C">
        <w:rPr>
          <w:rFonts w:ascii="Times New Roman" w:hAnsi="Times New Roman" w:cs="Times New Roman"/>
          <w:color w:val="FF0000"/>
          <w:sz w:val="20"/>
          <w:szCs w:val="20"/>
          <w:vertAlign w:val="subscript"/>
        </w:rPr>
        <w:t xml:space="preserve">2 </w:t>
      </w:r>
      <w:r w:rsidRPr="00D9631C">
        <w:rPr>
          <w:rFonts w:ascii="Times New Roman" w:hAnsi="Times New Roman" w:cs="Times New Roman"/>
          <w:color w:val="FF0000"/>
          <w:sz w:val="20"/>
          <w:szCs w:val="20"/>
        </w:rPr>
        <w:t>suspensions at a soil to solution ratio of 1:5 (w/v) after a 60-min equilibration period. Total C and N was determined by dry combustion using an elemental analyzer (</w:t>
      </w:r>
      <w:proofErr w:type="spellStart"/>
      <w:r w:rsidRPr="00D9631C">
        <w:rPr>
          <w:rFonts w:ascii="Times New Roman" w:hAnsi="Times New Roman" w:cs="Times New Roman"/>
          <w:color w:val="FF0000"/>
          <w:sz w:val="20"/>
          <w:szCs w:val="20"/>
        </w:rPr>
        <w:t>Vario</w:t>
      </w:r>
      <w:proofErr w:type="spellEnd"/>
      <w:r w:rsidRPr="00D9631C">
        <w:rPr>
          <w:rFonts w:ascii="Times New Roman" w:hAnsi="Times New Roman" w:cs="Times New Roman"/>
          <w:color w:val="FF0000"/>
          <w:sz w:val="20"/>
          <w:szCs w:val="20"/>
        </w:rPr>
        <w:t xml:space="preserve"> EL, </w:t>
      </w:r>
      <w:proofErr w:type="spellStart"/>
      <w:r w:rsidRPr="00D9631C">
        <w:rPr>
          <w:rFonts w:ascii="Times New Roman" w:hAnsi="Times New Roman" w:cs="Times New Roman"/>
          <w:color w:val="FF0000"/>
          <w:sz w:val="20"/>
          <w:szCs w:val="20"/>
        </w:rPr>
        <w:t>Elementar</w:t>
      </w:r>
      <w:proofErr w:type="spellEnd"/>
      <w:r w:rsidRPr="00D9631C">
        <w:rPr>
          <w:rFonts w:ascii="Times New Roman" w:hAnsi="Times New Roman" w:cs="Times New Roman"/>
          <w:color w:val="FF0000"/>
          <w:sz w:val="20"/>
          <w:szCs w:val="20"/>
        </w:rPr>
        <w:t xml:space="preserve"> </w:t>
      </w:r>
      <w:proofErr w:type="spellStart"/>
      <w:r w:rsidRPr="00D9631C">
        <w:rPr>
          <w:rFonts w:ascii="Times New Roman" w:hAnsi="Times New Roman" w:cs="Times New Roman"/>
          <w:color w:val="FF0000"/>
          <w:sz w:val="20"/>
          <w:szCs w:val="20"/>
        </w:rPr>
        <w:t>Analysensysteme</w:t>
      </w:r>
      <w:proofErr w:type="spellEnd"/>
      <w:r w:rsidRPr="00D9631C">
        <w:rPr>
          <w:rFonts w:ascii="Times New Roman" w:hAnsi="Times New Roman" w:cs="Times New Roman"/>
          <w:color w:val="FF0000"/>
          <w:sz w:val="20"/>
          <w:szCs w:val="20"/>
        </w:rPr>
        <w:t xml:space="preserve">, </w:t>
      </w:r>
      <w:proofErr w:type="gramStart"/>
      <w:r w:rsidRPr="00D9631C">
        <w:rPr>
          <w:rFonts w:ascii="Times New Roman" w:hAnsi="Times New Roman" w:cs="Times New Roman"/>
          <w:color w:val="FF0000"/>
          <w:sz w:val="20"/>
          <w:szCs w:val="20"/>
        </w:rPr>
        <w:t>Hanau</w:t>
      </w:r>
      <w:proofErr w:type="gramEnd"/>
      <w:r w:rsidRPr="00D9631C">
        <w:rPr>
          <w:rFonts w:ascii="Times New Roman" w:hAnsi="Times New Roman" w:cs="Times New Roman"/>
          <w:color w:val="FF0000"/>
          <w:sz w:val="20"/>
          <w:szCs w:val="20"/>
        </w:rPr>
        <w:t>, Germany)</w:t>
      </w:r>
      <w:r w:rsidR="00296B0A" w:rsidRPr="00D9631C">
        <w:rPr>
          <w:rFonts w:ascii="Times New Roman" w:hAnsi="Times New Roman" w:cs="Times New Roman"/>
          <w:color w:val="FF0000"/>
          <w:sz w:val="20"/>
          <w:szCs w:val="20"/>
        </w:rPr>
        <w:t xml:space="preserve">. </w:t>
      </w:r>
      <w:r w:rsidRPr="00D9631C">
        <w:rPr>
          <w:rFonts w:ascii="Times New Roman" w:hAnsi="Times New Roman" w:cs="Times New Roman"/>
          <w:color w:val="FF0000"/>
          <w:sz w:val="20"/>
          <w:szCs w:val="20"/>
        </w:rPr>
        <w:t>CaCO</w:t>
      </w:r>
      <w:r w:rsidRPr="00D9631C">
        <w:rPr>
          <w:rFonts w:ascii="Times New Roman" w:hAnsi="Times New Roman" w:cs="Times New Roman"/>
          <w:color w:val="FF0000"/>
          <w:sz w:val="20"/>
          <w:szCs w:val="20"/>
          <w:vertAlign w:val="subscript"/>
        </w:rPr>
        <w:t>3</w:t>
      </w:r>
      <w:r w:rsidRPr="00D9631C">
        <w:rPr>
          <w:rFonts w:ascii="Times New Roman" w:hAnsi="Times New Roman" w:cs="Times New Roman"/>
          <w:color w:val="FF0000"/>
          <w:sz w:val="20"/>
          <w:szCs w:val="20"/>
        </w:rPr>
        <w:t xml:space="preserve"> was determined </w:t>
      </w:r>
      <w:proofErr w:type="spellStart"/>
      <w:r w:rsidRPr="00D9631C">
        <w:rPr>
          <w:rFonts w:ascii="Times New Roman" w:hAnsi="Times New Roman" w:cs="Times New Roman"/>
          <w:color w:val="FF0000"/>
          <w:sz w:val="20"/>
          <w:szCs w:val="20"/>
        </w:rPr>
        <w:t>conductometrically</w:t>
      </w:r>
      <w:proofErr w:type="spellEnd"/>
      <w:r w:rsidRPr="00D9631C">
        <w:rPr>
          <w:rFonts w:ascii="Times New Roman" w:hAnsi="Times New Roman" w:cs="Times New Roman"/>
          <w:color w:val="FF0000"/>
          <w:sz w:val="20"/>
          <w:szCs w:val="20"/>
        </w:rPr>
        <w:t xml:space="preserve"> using a </w:t>
      </w:r>
      <w:proofErr w:type="spellStart"/>
      <w:r w:rsidRPr="00D9631C">
        <w:rPr>
          <w:rFonts w:ascii="Times New Roman" w:hAnsi="Times New Roman" w:cs="Times New Roman"/>
          <w:color w:val="FF0000"/>
          <w:sz w:val="20"/>
          <w:szCs w:val="20"/>
        </w:rPr>
        <w:t>Scheibler</w:t>
      </w:r>
      <w:proofErr w:type="spellEnd"/>
      <w:r w:rsidRPr="00D9631C">
        <w:rPr>
          <w:rFonts w:ascii="Times New Roman" w:hAnsi="Times New Roman" w:cs="Times New Roman"/>
          <w:color w:val="FF0000"/>
          <w:sz w:val="20"/>
          <w:szCs w:val="20"/>
        </w:rPr>
        <w:t xml:space="preserve"> apparatus (</w:t>
      </w:r>
      <w:proofErr w:type="spellStart"/>
      <w:r w:rsidRPr="00D9631C">
        <w:rPr>
          <w:rFonts w:ascii="Times New Roman" w:hAnsi="Times New Roman" w:cs="Times New Roman"/>
          <w:color w:val="FF0000"/>
          <w:sz w:val="20"/>
          <w:szCs w:val="20"/>
        </w:rPr>
        <w:t>Schlichting</w:t>
      </w:r>
      <w:proofErr w:type="spellEnd"/>
      <w:r w:rsidRPr="00D9631C">
        <w:rPr>
          <w:rFonts w:ascii="Times New Roman" w:hAnsi="Times New Roman" w:cs="Times New Roman"/>
          <w:color w:val="FF0000"/>
          <w:sz w:val="20"/>
          <w:szCs w:val="20"/>
        </w:rPr>
        <w:t xml:space="preserve"> et al. 1995). The </w:t>
      </w:r>
      <w:r w:rsidR="00296B0A" w:rsidRPr="00D9631C">
        <w:rPr>
          <w:rFonts w:ascii="Times New Roman" w:hAnsi="Times New Roman" w:cs="Times New Roman"/>
          <w:color w:val="FF0000"/>
          <w:sz w:val="20"/>
          <w:szCs w:val="20"/>
        </w:rPr>
        <w:t>S</w:t>
      </w:r>
      <w:r w:rsidRPr="00D9631C">
        <w:rPr>
          <w:rFonts w:ascii="Times New Roman" w:hAnsi="Times New Roman" w:cs="Times New Roman"/>
          <w:color w:val="FF0000"/>
          <w:sz w:val="20"/>
          <w:szCs w:val="20"/>
        </w:rPr>
        <w:t>OC content was calculated as the difference between total C and CO</w:t>
      </w:r>
      <w:r w:rsidRPr="00D9631C">
        <w:rPr>
          <w:rFonts w:ascii="Times New Roman" w:hAnsi="Times New Roman" w:cs="Times New Roman"/>
          <w:color w:val="FF0000"/>
          <w:sz w:val="20"/>
          <w:szCs w:val="20"/>
          <w:vertAlign w:val="subscript"/>
        </w:rPr>
        <w:t>3</w:t>
      </w:r>
      <w:r w:rsidRPr="00D9631C">
        <w:rPr>
          <w:rFonts w:ascii="Times New Roman" w:hAnsi="Times New Roman" w:cs="Times New Roman"/>
          <w:color w:val="FF0000"/>
          <w:sz w:val="20"/>
          <w:szCs w:val="20"/>
        </w:rPr>
        <w:t>-C.</w:t>
      </w:r>
    </w:p>
    <w:p w14:paraId="4395FFCE" w14:textId="27732FDE" w:rsidR="00FC7909" w:rsidRPr="00FC7909" w:rsidRDefault="00296B0A" w:rsidP="007B5040">
      <w:pPr>
        <w:spacing w:line="360" w:lineRule="auto"/>
        <w:ind w:firstLine="709"/>
        <w:jc w:val="both"/>
        <w:rPr>
          <w:rFonts w:ascii="Times New Roman" w:hAnsi="Times New Roman" w:cs="Times New Roman"/>
          <w:sz w:val="20"/>
          <w:szCs w:val="20"/>
        </w:rPr>
      </w:pPr>
      <w:r>
        <w:rPr>
          <w:rFonts w:ascii="Times New Roman" w:hAnsi="Times New Roman" w:cs="Times New Roman"/>
          <w:sz w:val="20"/>
          <w:szCs w:val="20"/>
        </w:rPr>
        <w:lastRenderedPageBreak/>
        <w:t>To test our hypothes</w:t>
      </w:r>
      <w:r w:rsidR="00E53359">
        <w:rPr>
          <w:rFonts w:ascii="Times New Roman" w:hAnsi="Times New Roman" w:cs="Times New Roman"/>
          <w:sz w:val="20"/>
          <w:szCs w:val="20"/>
        </w:rPr>
        <w:t>is</w:t>
      </w:r>
      <w:r w:rsidR="007B5040" w:rsidRPr="00A85604">
        <w:rPr>
          <w:rFonts w:ascii="Times New Roman" w:hAnsi="Times New Roman" w:cs="Times New Roman"/>
          <w:sz w:val="20"/>
          <w:szCs w:val="20"/>
        </w:rPr>
        <w:t xml:space="preserve"> we set up a randomized block design with four soil types and three cultivars of winter wheat in four replicates (Fig.2). To cover the centennial breeding progress in the </w:t>
      </w:r>
      <w:proofErr w:type="spellStart"/>
      <w:r w:rsidR="007B5040" w:rsidRPr="00A85604">
        <w:rPr>
          <w:rFonts w:ascii="Times New Roman" w:hAnsi="Times New Roman" w:cs="Times New Roman"/>
          <w:sz w:val="20"/>
          <w:szCs w:val="20"/>
        </w:rPr>
        <w:t>Uckermark</w:t>
      </w:r>
      <w:proofErr w:type="spellEnd"/>
      <w:r w:rsidR="007B5040" w:rsidRPr="00A85604">
        <w:rPr>
          <w:rFonts w:ascii="Times New Roman" w:hAnsi="Times New Roman" w:cs="Times New Roman"/>
          <w:sz w:val="20"/>
          <w:szCs w:val="20"/>
        </w:rPr>
        <w:t xml:space="preserve"> region the following varieties were selected: </w:t>
      </w:r>
      <w:proofErr w:type="spellStart"/>
      <w:r w:rsidR="007B5040" w:rsidRPr="00A85604">
        <w:rPr>
          <w:rFonts w:ascii="Times New Roman" w:hAnsi="Times New Roman" w:cs="Times New Roman"/>
          <w:sz w:val="20"/>
          <w:szCs w:val="20"/>
        </w:rPr>
        <w:t>Ostpreussischer</w:t>
      </w:r>
      <w:proofErr w:type="spellEnd"/>
      <w:r w:rsidR="007B5040" w:rsidRPr="00A85604">
        <w:rPr>
          <w:rFonts w:ascii="Times New Roman" w:hAnsi="Times New Roman" w:cs="Times New Roman"/>
          <w:sz w:val="20"/>
          <w:szCs w:val="20"/>
        </w:rPr>
        <w:t xml:space="preserve"> </w:t>
      </w:r>
      <w:proofErr w:type="spellStart"/>
      <w:r w:rsidR="007B5040" w:rsidRPr="00A85604">
        <w:rPr>
          <w:rFonts w:ascii="Times New Roman" w:hAnsi="Times New Roman" w:cs="Times New Roman"/>
          <w:sz w:val="20"/>
          <w:szCs w:val="20"/>
        </w:rPr>
        <w:t>Eppweizen</w:t>
      </w:r>
      <w:proofErr w:type="spellEnd"/>
      <w:r w:rsidR="007B5040" w:rsidRPr="00A85604">
        <w:rPr>
          <w:rFonts w:ascii="Times New Roman" w:hAnsi="Times New Roman" w:cs="Times New Roman"/>
          <w:sz w:val="20"/>
          <w:szCs w:val="20"/>
        </w:rPr>
        <w:t xml:space="preserve"> (1910), </w:t>
      </w:r>
      <w:proofErr w:type="spellStart"/>
      <w:r w:rsidR="007B5040" w:rsidRPr="00A85604">
        <w:rPr>
          <w:rFonts w:ascii="Times New Roman" w:hAnsi="Times New Roman" w:cs="Times New Roman"/>
          <w:sz w:val="20"/>
          <w:szCs w:val="20"/>
        </w:rPr>
        <w:t>Hadmerslebener</w:t>
      </w:r>
      <w:proofErr w:type="spellEnd"/>
      <w:r w:rsidR="007B5040" w:rsidRPr="00A85604">
        <w:rPr>
          <w:rFonts w:ascii="Times New Roman" w:hAnsi="Times New Roman" w:cs="Times New Roman"/>
          <w:sz w:val="20"/>
          <w:szCs w:val="20"/>
        </w:rPr>
        <w:t xml:space="preserve"> </w:t>
      </w:r>
      <w:proofErr w:type="spellStart"/>
      <w:r w:rsidR="007B5040" w:rsidRPr="00A85604">
        <w:rPr>
          <w:rFonts w:ascii="Times New Roman" w:hAnsi="Times New Roman" w:cs="Times New Roman"/>
          <w:sz w:val="20"/>
          <w:szCs w:val="20"/>
        </w:rPr>
        <w:t>Qualitas</w:t>
      </w:r>
      <w:proofErr w:type="spellEnd"/>
      <w:r w:rsidR="007B5040" w:rsidRPr="00A85604">
        <w:rPr>
          <w:rFonts w:ascii="Times New Roman" w:hAnsi="Times New Roman" w:cs="Times New Roman"/>
          <w:sz w:val="20"/>
          <w:szCs w:val="20"/>
        </w:rPr>
        <w:t xml:space="preserve"> (1957), and </w:t>
      </w:r>
      <w:proofErr w:type="spellStart"/>
      <w:r w:rsidR="007B5040" w:rsidRPr="00A85604">
        <w:rPr>
          <w:rFonts w:ascii="Times New Roman" w:hAnsi="Times New Roman" w:cs="Times New Roman"/>
          <w:sz w:val="20"/>
          <w:szCs w:val="20"/>
        </w:rPr>
        <w:t>Ponticus</w:t>
      </w:r>
      <w:proofErr w:type="spellEnd"/>
      <w:r w:rsidR="007B5040" w:rsidRPr="00A85604">
        <w:rPr>
          <w:rFonts w:ascii="Times New Roman" w:hAnsi="Times New Roman" w:cs="Times New Roman"/>
          <w:sz w:val="20"/>
          <w:szCs w:val="20"/>
        </w:rPr>
        <w:t xml:space="preserve"> (2015). By this selection we want to check, whether root traits of cultivars changed over decades like </w:t>
      </w:r>
      <w:proofErr w:type="spellStart"/>
      <w:r w:rsidR="007B5040" w:rsidRPr="00A85604">
        <w:rPr>
          <w:rFonts w:ascii="Times New Roman" w:hAnsi="Times New Roman" w:cs="Times New Roman"/>
          <w:sz w:val="20"/>
          <w:szCs w:val="20"/>
        </w:rPr>
        <w:t>grain</w:t>
      </w:r>
      <w:proofErr w:type="gramStart"/>
      <w:r w:rsidR="007B5040" w:rsidRPr="00A85604">
        <w:rPr>
          <w:rFonts w:ascii="Times New Roman" w:hAnsi="Times New Roman" w:cs="Times New Roman"/>
          <w:sz w:val="20"/>
          <w:szCs w:val="20"/>
        </w:rPr>
        <w:t>:straw</w:t>
      </w:r>
      <w:proofErr w:type="spellEnd"/>
      <w:proofErr w:type="gramEnd"/>
      <w:r w:rsidR="007B5040" w:rsidRPr="00A85604">
        <w:rPr>
          <w:rFonts w:ascii="Times New Roman" w:hAnsi="Times New Roman" w:cs="Times New Roman"/>
          <w:sz w:val="20"/>
          <w:szCs w:val="20"/>
        </w:rPr>
        <w:t xml:space="preserve"> ratios did and, therefore, modulate long-term C inputs into subsoils.</w:t>
      </w:r>
      <w:r w:rsidR="007B5040">
        <w:rPr>
          <w:rFonts w:ascii="Times New Roman" w:hAnsi="Times New Roman" w:cs="Times New Roman"/>
          <w:sz w:val="20"/>
          <w:szCs w:val="20"/>
        </w:rPr>
        <w:t xml:space="preserve"> </w:t>
      </w:r>
      <w:r w:rsidR="00FC7909" w:rsidRPr="00FC7909">
        <w:rPr>
          <w:rFonts w:ascii="Times New Roman" w:hAnsi="Times New Roman" w:cs="Times New Roman"/>
          <w:sz w:val="20"/>
          <w:szCs w:val="20"/>
        </w:rPr>
        <w:t xml:space="preserve">At each block wheat cultivars were sown in each four adjacent plots with parallel stripes of 1.5 m width and 7 m length (Fig.2). Sowing date was on October, 6th, 2022, (300 grains per m², seed germination October, 17th, </w:t>
      </w:r>
      <w:proofErr w:type="spellStart"/>
      <w:r w:rsidR="00FC7909" w:rsidRPr="00FC7909">
        <w:rPr>
          <w:rFonts w:ascii="Times New Roman" w:hAnsi="Times New Roman" w:cs="Times New Roman"/>
          <w:sz w:val="20"/>
          <w:szCs w:val="20"/>
        </w:rPr>
        <w:t>preceeding</w:t>
      </w:r>
      <w:proofErr w:type="spellEnd"/>
      <w:r w:rsidR="00FC7909" w:rsidRPr="00FC7909">
        <w:rPr>
          <w:rFonts w:ascii="Times New Roman" w:hAnsi="Times New Roman" w:cs="Times New Roman"/>
          <w:sz w:val="20"/>
          <w:szCs w:val="20"/>
        </w:rPr>
        <w:t xml:space="preserve"> crop: summer barley). Harvest took place on July, 27th, 2023. Each plot was fertilized with 80 kg N ha-1 (calcium ammonium nitrate, May, 5th, 2023), 27 kg Mg ha-1 and 22 kg S ha-1 (February, 28th, 2023).  Annual precipitation in 2022 and 2023 and annual mean temperatures in 2022 and 2023 are provided in the supplement (Figure S1).</w:t>
      </w:r>
    </w:p>
    <w:tbl>
      <w:tblPr>
        <w:tblStyle w:val="Tabellenraster"/>
        <w:tblW w:w="0" w:type="auto"/>
        <w:tblLook w:val="04A0" w:firstRow="1" w:lastRow="0" w:firstColumn="1" w:lastColumn="0" w:noHBand="0" w:noVBand="1"/>
      </w:tblPr>
      <w:tblGrid>
        <w:gridCol w:w="9628"/>
      </w:tblGrid>
      <w:tr w:rsidR="00FC7909" w14:paraId="5D6DD2D4" w14:textId="77777777" w:rsidTr="00FC7909">
        <w:tc>
          <w:tcPr>
            <w:tcW w:w="9628" w:type="dxa"/>
          </w:tcPr>
          <w:p w14:paraId="0B913A14" w14:textId="781CEAE6" w:rsidR="00FC7909" w:rsidRDefault="00FC7909" w:rsidP="00FC7909">
            <w:pPr>
              <w:spacing w:line="360" w:lineRule="auto"/>
              <w:jc w:val="both"/>
              <w:rPr>
                <w:rFonts w:ascii="Times New Roman" w:hAnsi="Times New Roman" w:cs="Times New Roman"/>
                <w:sz w:val="20"/>
                <w:szCs w:val="20"/>
              </w:rPr>
            </w:pPr>
            <w:r>
              <w:rPr>
                <w:rFonts w:ascii="Times New Roman" w:hAnsi="Times New Roman" w:cs="Times New Roman"/>
                <w:noProof/>
                <w:sz w:val="20"/>
                <w:szCs w:val="20"/>
                <w:lang w:val="en-GB" w:eastAsia="en-GB" w:bidi="ar-SA"/>
              </w:rPr>
              <w:drawing>
                <wp:inline distT="0" distB="0" distL="0" distR="0" wp14:anchorId="086C5F29" wp14:editId="01382604">
                  <wp:extent cx="5931408" cy="244158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bb2-BG-2025.jpg"/>
                          <pic:cNvPicPr/>
                        </pic:nvPicPr>
                        <pic:blipFill rotWithShape="1">
                          <a:blip r:embed="rId8">
                            <a:extLst>
                              <a:ext uri="{28A0092B-C50C-407E-A947-70E740481C1C}">
                                <a14:useLocalDpi xmlns:a14="http://schemas.microsoft.com/office/drawing/2010/main" val="0"/>
                              </a:ext>
                            </a:extLst>
                          </a:blip>
                          <a:srcRect b="45119"/>
                          <a:stretch/>
                        </pic:blipFill>
                        <pic:spPr bwMode="auto">
                          <a:xfrm>
                            <a:off x="0" y="0"/>
                            <a:ext cx="5937179" cy="2443956"/>
                          </a:xfrm>
                          <a:prstGeom prst="rect">
                            <a:avLst/>
                          </a:prstGeom>
                          <a:ln>
                            <a:noFill/>
                          </a:ln>
                          <a:extLst>
                            <a:ext uri="{53640926-AAD7-44D8-BBD7-CCE9431645EC}">
                              <a14:shadowObscured xmlns:a14="http://schemas.microsoft.com/office/drawing/2010/main"/>
                            </a:ext>
                          </a:extLst>
                        </pic:spPr>
                      </pic:pic>
                    </a:graphicData>
                  </a:graphic>
                </wp:inline>
              </w:drawing>
            </w:r>
          </w:p>
        </w:tc>
      </w:tr>
    </w:tbl>
    <w:p w14:paraId="74BEF0F6" w14:textId="52ECA121" w:rsidR="00FC7909" w:rsidRPr="00FC7909" w:rsidRDefault="00FC7909" w:rsidP="00FC7909">
      <w:pPr>
        <w:spacing w:line="360" w:lineRule="auto"/>
        <w:jc w:val="both"/>
        <w:rPr>
          <w:rFonts w:ascii="Times New Roman" w:hAnsi="Times New Roman" w:cs="Times New Roman"/>
          <w:b/>
          <w:sz w:val="20"/>
          <w:szCs w:val="20"/>
        </w:rPr>
      </w:pPr>
      <w:r w:rsidRPr="00FC7909">
        <w:rPr>
          <w:rFonts w:ascii="Times New Roman" w:hAnsi="Times New Roman" w:cs="Times New Roman"/>
          <w:b/>
          <w:sz w:val="20"/>
          <w:szCs w:val="20"/>
        </w:rPr>
        <w:t xml:space="preserve">Figure 2: Image of crop canopy on June 21st, 2023 (left); single block design (right); O = </w:t>
      </w:r>
      <w:proofErr w:type="spellStart"/>
      <w:r w:rsidRPr="00FC7909">
        <w:rPr>
          <w:rFonts w:ascii="Times New Roman" w:hAnsi="Times New Roman" w:cs="Times New Roman"/>
          <w:b/>
          <w:sz w:val="20"/>
          <w:szCs w:val="20"/>
        </w:rPr>
        <w:t>Ostpreu</w:t>
      </w:r>
      <w:r w:rsidR="00E53359">
        <w:rPr>
          <w:rFonts w:ascii="Times New Roman" w:hAnsi="Times New Roman" w:cs="Times New Roman"/>
          <w:b/>
          <w:sz w:val="20"/>
          <w:szCs w:val="20"/>
        </w:rPr>
        <w:t>ß</w:t>
      </w:r>
      <w:r w:rsidRPr="00FC7909">
        <w:rPr>
          <w:rFonts w:ascii="Times New Roman" w:hAnsi="Times New Roman" w:cs="Times New Roman"/>
          <w:b/>
          <w:sz w:val="20"/>
          <w:szCs w:val="20"/>
        </w:rPr>
        <w:t>i</w:t>
      </w:r>
      <w:r w:rsidR="00E53359">
        <w:rPr>
          <w:rFonts w:ascii="Times New Roman" w:hAnsi="Times New Roman" w:cs="Times New Roman"/>
          <w:b/>
          <w:sz w:val="20"/>
          <w:szCs w:val="20"/>
        </w:rPr>
        <w:t>s</w:t>
      </w:r>
      <w:r w:rsidR="00911F6B">
        <w:rPr>
          <w:rFonts w:ascii="Times New Roman" w:hAnsi="Times New Roman" w:cs="Times New Roman"/>
          <w:b/>
          <w:sz w:val="20"/>
          <w:szCs w:val="20"/>
        </w:rPr>
        <w:t>cher</w:t>
      </w:r>
      <w:proofErr w:type="spellEnd"/>
      <w:r w:rsidR="00911F6B">
        <w:rPr>
          <w:rFonts w:ascii="Times New Roman" w:hAnsi="Times New Roman" w:cs="Times New Roman"/>
          <w:b/>
          <w:sz w:val="20"/>
          <w:szCs w:val="20"/>
        </w:rPr>
        <w:t xml:space="preserve"> </w:t>
      </w:r>
      <w:proofErr w:type="spellStart"/>
      <w:r w:rsidRPr="00FC7909">
        <w:rPr>
          <w:rFonts w:ascii="Times New Roman" w:hAnsi="Times New Roman" w:cs="Times New Roman"/>
          <w:b/>
          <w:sz w:val="20"/>
          <w:szCs w:val="20"/>
        </w:rPr>
        <w:t>Eppweizen</w:t>
      </w:r>
      <w:proofErr w:type="spellEnd"/>
      <w:r w:rsidRPr="00FC7909">
        <w:rPr>
          <w:rFonts w:ascii="Times New Roman" w:hAnsi="Times New Roman" w:cs="Times New Roman"/>
          <w:b/>
          <w:sz w:val="20"/>
          <w:szCs w:val="20"/>
        </w:rPr>
        <w:t xml:space="preserve"> (1910); H = </w:t>
      </w:r>
      <w:proofErr w:type="spellStart"/>
      <w:r w:rsidRPr="00FC7909">
        <w:rPr>
          <w:rFonts w:ascii="Times New Roman" w:hAnsi="Times New Roman" w:cs="Times New Roman"/>
          <w:b/>
          <w:sz w:val="20"/>
          <w:szCs w:val="20"/>
        </w:rPr>
        <w:t>Hadmerslebener</w:t>
      </w:r>
      <w:proofErr w:type="spellEnd"/>
      <w:r w:rsidRPr="00FC7909">
        <w:rPr>
          <w:rFonts w:ascii="Times New Roman" w:hAnsi="Times New Roman" w:cs="Times New Roman"/>
          <w:b/>
          <w:sz w:val="20"/>
          <w:szCs w:val="20"/>
        </w:rPr>
        <w:t xml:space="preserve"> </w:t>
      </w:r>
      <w:proofErr w:type="spellStart"/>
      <w:r w:rsidRPr="00FC7909">
        <w:rPr>
          <w:rFonts w:ascii="Times New Roman" w:hAnsi="Times New Roman" w:cs="Times New Roman"/>
          <w:b/>
          <w:sz w:val="20"/>
          <w:szCs w:val="20"/>
        </w:rPr>
        <w:t>Qualitas</w:t>
      </w:r>
      <w:proofErr w:type="spellEnd"/>
      <w:r w:rsidRPr="00FC7909">
        <w:rPr>
          <w:rFonts w:ascii="Times New Roman" w:hAnsi="Times New Roman" w:cs="Times New Roman"/>
          <w:b/>
          <w:sz w:val="20"/>
          <w:szCs w:val="20"/>
        </w:rPr>
        <w:t xml:space="preserve"> (1957), P = </w:t>
      </w:r>
      <w:proofErr w:type="spellStart"/>
      <w:r w:rsidRPr="00FC7909">
        <w:rPr>
          <w:rFonts w:ascii="Times New Roman" w:hAnsi="Times New Roman" w:cs="Times New Roman"/>
          <w:b/>
          <w:sz w:val="20"/>
          <w:szCs w:val="20"/>
        </w:rPr>
        <w:t>Ponticus</w:t>
      </w:r>
      <w:proofErr w:type="spellEnd"/>
      <w:r w:rsidRPr="00FC7909">
        <w:rPr>
          <w:rFonts w:ascii="Times New Roman" w:hAnsi="Times New Roman" w:cs="Times New Roman"/>
          <w:b/>
          <w:sz w:val="20"/>
          <w:szCs w:val="20"/>
        </w:rPr>
        <w:t xml:space="preserve"> (2015).</w:t>
      </w:r>
    </w:p>
    <w:p w14:paraId="5878019E" w14:textId="77777777" w:rsidR="007163EA" w:rsidRPr="00DF0492" w:rsidRDefault="007163EA" w:rsidP="007163EA">
      <w:pPr>
        <w:spacing w:line="360" w:lineRule="auto"/>
        <w:jc w:val="both"/>
        <w:rPr>
          <w:rFonts w:ascii="Times New Roman" w:hAnsi="Times New Roman" w:cs="Times New Roman"/>
          <w:sz w:val="20"/>
          <w:szCs w:val="20"/>
        </w:rPr>
      </w:pPr>
    </w:p>
    <w:p w14:paraId="0EE2F254" w14:textId="21C60E15" w:rsidR="007163EA" w:rsidRPr="007163EA" w:rsidRDefault="007163EA" w:rsidP="007163EA">
      <w:pPr>
        <w:spacing w:line="360" w:lineRule="auto"/>
        <w:jc w:val="both"/>
        <w:rPr>
          <w:rFonts w:ascii="Times New Roman" w:hAnsi="Times New Roman" w:cs="Times New Roman"/>
          <w:b/>
          <w:sz w:val="20"/>
          <w:szCs w:val="20"/>
          <w:lang w:val="en-GB"/>
        </w:rPr>
      </w:pPr>
      <w:r w:rsidRPr="007163EA">
        <w:rPr>
          <w:rFonts w:ascii="Times New Roman" w:hAnsi="Times New Roman" w:cs="Times New Roman"/>
          <w:b/>
          <w:sz w:val="20"/>
          <w:szCs w:val="20"/>
          <w:lang w:val="en-GB"/>
        </w:rPr>
        <w:t xml:space="preserve">2.2 Intercepted Photosynthetically Active Radiation (IPAR) </w:t>
      </w:r>
    </w:p>
    <w:p w14:paraId="33773185" w14:textId="72C08306"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lang w:val="en-GB"/>
        </w:rPr>
        <w:t xml:space="preserve">The canopy analysis system sensor </w:t>
      </w:r>
      <w:proofErr w:type="spellStart"/>
      <w:r w:rsidRPr="00DF0492">
        <w:rPr>
          <w:rFonts w:ascii="Times New Roman" w:hAnsi="Times New Roman" w:cs="Times New Roman"/>
          <w:sz w:val="20"/>
          <w:szCs w:val="20"/>
        </w:rPr>
        <w:t>SunScan</w:t>
      </w:r>
      <w:proofErr w:type="spellEnd"/>
      <w:r w:rsidRPr="00DF0492">
        <w:rPr>
          <w:rFonts w:ascii="Times New Roman" w:hAnsi="Times New Roman" w:cs="Times New Roman"/>
          <w:sz w:val="20"/>
          <w:szCs w:val="20"/>
        </w:rPr>
        <w:t xml:space="preserve"> (</w:t>
      </w:r>
      <w:proofErr w:type="spellStart"/>
      <w:r w:rsidRPr="00DF0492">
        <w:rPr>
          <w:rFonts w:ascii="Times New Roman" w:hAnsi="Times New Roman" w:cs="Times New Roman"/>
          <w:sz w:val="20"/>
          <w:szCs w:val="20"/>
        </w:rPr>
        <w:t>SunScan</w:t>
      </w:r>
      <w:proofErr w:type="spellEnd"/>
      <w:r w:rsidRPr="00DF0492">
        <w:rPr>
          <w:rFonts w:ascii="Times New Roman" w:hAnsi="Times New Roman" w:cs="Times New Roman"/>
          <w:sz w:val="20"/>
          <w:szCs w:val="20"/>
        </w:rPr>
        <w:t xml:space="preserve"> SS1; Delta-T Devices Ltd., Cambridge, UK) combined with its BF5 sensor</w:t>
      </w:r>
      <w:r w:rsidRPr="00DF0492">
        <w:rPr>
          <w:rFonts w:ascii="Times New Roman" w:hAnsi="Times New Roman" w:cs="Times New Roman"/>
          <w:sz w:val="20"/>
          <w:szCs w:val="20"/>
          <w:lang w:val="en-GB"/>
        </w:rPr>
        <w:t>, capable of measuring incident and transmitted Photosynthetically Active Radiation (PAR), was used to calculate Intercepted Photosynthetically Active Radiation (IPAR) and Leaf Area Index (LAI). These measures were carried out at BBCH 37, 69, 85 and 92.</w:t>
      </w:r>
    </w:p>
    <w:p w14:paraId="7EB38D36" w14:textId="77777777" w:rsidR="007163EA" w:rsidRPr="00DF0492" w:rsidRDefault="007163EA" w:rsidP="007163EA">
      <w:pPr>
        <w:spacing w:line="360" w:lineRule="auto"/>
        <w:jc w:val="both"/>
        <w:rPr>
          <w:rFonts w:ascii="Times New Roman" w:hAnsi="Times New Roman" w:cs="Times New Roman"/>
          <w:sz w:val="20"/>
          <w:szCs w:val="20"/>
          <w:lang w:val="en-GB"/>
        </w:rPr>
      </w:pPr>
    </w:p>
    <w:p w14:paraId="493D3EE9" w14:textId="5AA8C65E" w:rsidR="007163EA" w:rsidRPr="007163EA" w:rsidRDefault="007163EA" w:rsidP="007163EA">
      <w:pPr>
        <w:spacing w:line="360" w:lineRule="auto"/>
        <w:jc w:val="both"/>
        <w:rPr>
          <w:rFonts w:ascii="Times New Roman" w:hAnsi="Times New Roman" w:cs="Times New Roman"/>
          <w:b/>
          <w:sz w:val="20"/>
          <w:szCs w:val="20"/>
          <w:lang w:val="en-GB"/>
        </w:rPr>
      </w:pPr>
      <w:r w:rsidRPr="007163EA">
        <w:rPr>
          <w:rFonts w:ascii="Times New Roman" w:hAnsi="Times New Roman" w:cs="Times New Roman"/>
          <w:b/>
          <w:sz w:val="20"/>
          <w:szCs w:val="20"/>
          <w:lang w:val="en-GB"/>
        </w:rPr>
        <w:t>2.3 Above-ground biomass</w:t>
      </w:r>
    </w:p>
    <w:p w14:paraId="4DA358DF" w14:textId="2F7C28A7" w:rsidR="007163EA" w:rsidRPr="00DF0492" w:rsidRDefault="007163EA" w:rsidP="007163EA">
      <w:pPr>
        <w:spacing w:line="360" w:lineRule="auto"/>
        <w:ind w:firstLine="709"/>
        <w:jc w:val="both"/>
        <w:rPr>
          <w:rFonts w:ascii="Times New Roman" w:hAnsi="Times New Roman" w:cs="Times New Roman"/>
          <w:sz w:val="20"/>
          <w:szCs w:val="20"/>
          <w:lang w:val="en-GB"/>
        </w:rPr>
      </w:pPr>
      <w:r w:rsidRPr="00DF0492">
        <w:rPr>
          <w:rFonts w:ascii="Times New Roman" w:hAnsi="Times New Roman" w:cs="Times New Roman"/>
          <w:sz w:val="20"/>
          <w:szCs w:val="20"/>
          <w:lang w:val="en-GB"/>
        </w:rPr>
        <w:t>Above-ground biomasses (total shoot, straw and grain) were determined gravimetrically from wheat plants harvested from 1 m² subplots in four replicates for BBCH 92. Dry mass was measured after drying samples at 60°C for over 24 hours</w:t>
      </w:r>
      <w:r w:rsidR="00DB5899">
        <w:rPr>
          <w:rFonts w:ascii="Times New Roman" w:hAnsi="Times New Roman" w:cs="Times New Roman"/>
          <w:sz w:val="20"/>
          <w:szCs w:val="20"/>
          <w:lang w:val="en-GB"/>
        </w:rPr>
        <w:t xml:space="preserve"> </w:t>
      </w:r>
      <w:r w:rsidR="00DB5899">
        <w:rPr>
          <w:rFonts w:ascii="Times New Roman" w:hAnsi="Times New Roman" w:cs="Times New Roman"/>
          <w:sz w:val="20"/>
          <w:szCs w:val="20"/>
          <w:lang w:val="en-GB"/>
        </w:rPr>
        <w:fldChar w:fldCharType="begin" w:fldLock="1"/>
      </w:r>
      <w:r w:rsidR="00DB5899">
        <w:rPr>
          <w:rFonts w:ascii="Times New Roman" w:hAnsi="Times New Roman" w:cs="Times New Roman"/>
          <w:sz w:val="20"/>
          <w:szCs w:val="20"/>
          <w:lang w:val="en-GB"/>
        </w:rPr>
        <w:instrText>ADDIN CSL_CITATION {"citationItems":[{"id":"ITEM-1","itemData":{"DOI":"10.1002/jpln.201600536","ISSN":"15222624","abstract":"Agricultural soil landscapes of hummocky ground moraines are characterized by 3D spatial patterns of soil types that result from profile modifications due to the combined effect of water and tillage erosion. We hypothesize that crops reflect such soil landscape patterns by increased or reduced plant and root growth. Root development may depend on the thickness and vertical sequence of soil horizons as well as on the structural development state of these horizons at different landscape positions. The hypotheses were tested using field data of the root density (RD) and the root lengths (RL) of winter wheat using the minirhizotron technique. We compared data from plots at the CarboZALF-D site (NE Germany) that are representing a non-eroded reference soil profile (Albic Luvisol) at a plateau position, a strongly eroded profile at steep slope (Calcaric Regosol), and a depositional profile at the footslope (Anocolluvic Regosol). At each of these plots, three Plexiglas access tubes were installed down to approx. 1.5 m soil depth. Root measurements were carried out during the growing season of winter wheat (September 2014–August 2015) on six dates. The root length density (RLD) and the root biomass density were derived from RD values assuming a mean specific root length of 100 m g−1. Values of RD and RLD were highest for the Anocolluvic Regosol and lowest for the Calcaric Regosol. The maximum root penetration depth was lower in the Anocolluvic Regosol because of a relatively high and fluctuating water table at this landscape position. Results revealed positive relations between below-ground (root) and above-ground crop parameters (i.e., leaf area index, plant height, biomass, and yield) for the three soil types. Observed root densities and root lengths in soils at the three landscape positions corroborated the hypothesis that the root system was reflecting erosion-induced soil profile modifications. Soil landscape position dependent root growth should be considered when attempting to quantify landscape scale water and element balances as well as agricultural productivity.","author":[{"dropping-particle":"","family":"Herbrich","given":"Marcus","non-dropping-particle":"","parse-names":false,"suffix":""},{"dropping-particle":"","family":"Gerke","given":"Horst H.","non-dropping-particle":"","parse-names":false,"suffix":""},{"dropping-particle":"","family":"Sommer","given":"Michael","non-dropping-particle":"","parse-names":false,"suffix":""}],"container-title":"Journal of Plant Nutrition and Soil Science","id":"ITEM-1","issue":"2","issued":{"date-parts":[["2018"]]},"page":"147-157","title":"Root development of winter wheat in erosion-affected soils depending on the position in a hummocky ground moraine soil landscape","type":"article-journal","volume":"181"},"uris":["http://www.mendeley.com/documents/?uuid=8fd97966-a688-4d7a-81ff-28ab8ebbf76b"]}],"mendeley":{"formattedCitation":"(Herbrich et al., 2018)","plainTextFormattedCitation":"(Herbrich et al., 2018)","previouslyFormattedCitation":"(Herbrich et al., 2018)"},"properties":{"noteIndex":0},"schema":"https://github.com/citation-style-language/schema/raw/master/csl-citation.json"}</w:instrText>
      </w:r>
      <w:r w:rsidR="00DB5899">
        <w:rPr>
          <w:rFonts w:ascii="Times New Roman" w:hAnsi="Times New Roman" w:cs="Times New Roman"/>
          <w:sz w:val="20"/>
          <w:szCs w:val="20"/>
          <w:lang w:val="en-GB"/>
        </w:rPr>
        <w:fldChar w:fldCharType="separate"/>
      </w:r>
      <w:r w:rsidR="00DB5899" w:rsidRPr="00DB5899">
        <w:rPr>
          <w:rFonts w:ascii="Times New Roman" w:hAnsi="Times New Roman" w:cs="Times New Roman"/>
          <w:noProof/>
          <w:sz w:val="20"/>
          <w:szCs w:val="20"/>
          <w:lang w:val="en-GB"/>
        </w:rPr>
        <w:t>(Herbrich et al., 2018)</w:t>
      </w:r>
      <w:r w:rsidR="00DB5899">
        <w:rPr>
          <w:rFonts w:ascii="Times New Roman" w:hAnsi="Times New Roman" w:cs="Times New Roman"/>
          <w:sz w:val="20"/>
          <w:szCs w:val="20"/>
          <w:lang w:val="en-GB"/>
        </w:rPr>
        <w:fldChar w:fldCharType="end"/>
      </w:r>
      <w:r w:rsidRPr="00DF0492">
        <w:rPr>
          <w:rFonts w:ascii="Times New Roman" w:hAnsi="Times New Roman" w:cs="Times New Roman"/>
          <w:sz w:val="20"/>
          <w:szCs w:val="20"/>
          <w:lang w:val="en-GB"/>
        </w:rPr>
        <w:t>.</w:t>
      </w:r>
    </w:p>
    <w:p w14:paraId="0E952FE4" w14:textId="77777777" w:rsidR="007163EA" w:rsidRPr="00DF0492" w:rsidRDefault="007163EA" w:rsidP="007163EA">
      <w:pPr>
        <w:spacing w:line="360" w:lineRule="auto"/>
        <w:jc w:val="both"/>
        <w:rPr>
          <w:rFonts w:ascii="Times New Roman" w:hAnsi="Times New Roman" w:cs="Times New Roman"/>
          <w:sz w:val="20"/>
          <w:szCs w:val="20"/>
          <w:lang w:val="en-GB"/>
        </w:rPr>
      </w:pPr>
    </w:p>
    <w:p w14:paraId="0C5AFF3E" w14:textId="7FD3BB28" w:rsidR="007163EA" w:rsidRPr="007163EA" w:rsidRDefault="007163EA" w:rsidP="007163EA">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 xml:space="preserve">2.4 </w:t>
      </w:r>
      <w:proofErr w:type="spellStart"/>
      <w:r w:rsidRPr="007163EA">
        <w:rPr>
          <w:rFonts w:ascii="Times New Roman" w:hAnsi="Times New Roman" w:cs="Times New Roman"/>
          <w:b/>
          <w:sz w:val="20"/>
          <w:szCs w:val="20"/>
        </w:rPr>
        <w:t>Rhizotron</w:t>
      </w:r>
      <w:proofErr w:type="spellEnd"/>
      <w:r w:rsidRPr="007163EA">
        <w:rPr>
          <w:rFonts w:ascii="Times New Roman" w:hAnsi="Times New Roman" w:cs="Times New Roman"/>
          <w:b/>
          <w:sz w:val="20"/>
          <w:szCs w:val="20"/>
        </w:rPr>
        <w:t xml:space="preserve"> installation and </w:t>
      </w:r>
      <w:proofErr w:type="spellStart"/>
      <w:r w:rsidRPr="007163EA">
        <w:rPr>
          <w:rFonts w:ascii="Times New Roman" w:hAnsi="Times New Roman" w:cs="Times New Roman"/>
          <w:b/>
          <w:sz w:val="20"/>
          <w:szCs w:val="20"/>
        </w:rPr>
        <w:t>Rhizoscanning</w:t>
      </w:r>
      <w:proofErr w:type="spellEnd"/>
    </w:p>
    <w:p w14:paraId="19FEB6F5" w14:textId="331767A5"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Immediately after the seeding, a soil core of 1.55 m length and 6.3 mm in diameter was drilled at the center of each wheat stripe using a tractor-driven apparatus</w:t>
      </w:r>
      <w:r w:rsidR="00DB5899">
        <w:rPr>
          <w:rFonts w:ascii="Times New Roman" w:hAnsi="Times New Roman" w:cs="Times New Roman"/>
          <w:sz w:val="20"/>
          <w:szCs w:val="20"/>
        </w:rPr>
        <w:t xml:space="preserve"> </w:t>
      </w:r>
      <w:r w:rsidR="00DB5899">
        <w:rPr>
          <w:rFonts w:ascii="Times New Roman" w:hAnsi="Times New Roman" w:cs="Times New Roman"/>
          <w:sz w:val="20"/>
          <w:szCs w:val="20"/>
        </w:rPr>
        <w:fldChar w:fldCharType="begin" w:fldLock="1"/>
      </w:r>
      <w:r w:rsidR="00DB5899">
        <w:rPr>
          <w:rFonts w:ascii="Times New Roman" w:hAnsi="Times New Roman" w:cs="Times New Roman"/>
          <w:sz w:val="20"/>
          <w:szCs w:val="20"/>
        </w:rPr>
        <w:instrText>ADDIN CSL_CITATION {"citationItems":[{"id":"ITEM-1","itemData":{"DOI":"10.1016/j.catena.2019.104140","ISSN":"03418162","abstract":"Soil landscape research is faced with wide-ranging questions of soil erosion, precision farming, and agricultural risk management. Digital Soil Morphometrics is a powerful tool to provide respective answers or recommendations but requires soil data from the pedon-to-field scale with high horizontal and vertical resolutions, including the subsoil. We present an efficient sampling and measurement method for easily obtainable soil driving cores with low-destructive preparation. Elemental contents and soil organic and mineral matter composition were measured rapidly and in large numbers using a multi-sensor approach, i.e., visible and near-infrared (Vis-NIR), diffuse reflectance infrared Fourier transform (DRIFT), and X-ray fluorescence (XRF) spectroscopy. The suitability of the approach with respect to three-dimensional soil landscape models was tested using soils along a slope representing different stages of erosion and deposition in a hummocky landscape under arable land use (Calcaric Regosols, Calcic Luvisols, Luvic Stagnosols, Gleyic-Colluvic Regosols). The combination of soil core sampling, pedological description, and three spectroscopic techniques enabled rapid determination and interpretation of horizontal and vertical spatial distributions of soil organic carbon (SOC), soil organic and mineral matter composition, as well as CaCO3, Fe, and Mn contents. Depth profiles for SOC, CaCO3, and Fe contents were suitable indicators for site-specific degrees of erosion and matter transport processes at the pedon-to-field scale. Fe and Mn profiles helped identifying zones of reductive and oxic domains in subsoils (gleyzation). Further methodical developments should implement plant-availability of nutrients, characterization of Fe-oxides, and calibration of the spectroscopic techniques to field-moist samples.","author":[{"dropping-particle":"","family":"Leue","given":"Martin","non-dropping-particle":"","parse-names":false,"suffix":""},{"dropping-particle":"","family":"Hoffmann","given":"Carsten","non-dropping-particle":"","parse-names":false,"suffix":""},{"dropping-particle":"","family":"Hierold","given":"Wilfried","non-dropping-particle":"","parse-names":false,"suffix":""},{"dropping-particle":"","family":"Sommer","given":"Michael","non-dropping-particle":"","parse-names":false,"suffix":""}],"container-title":"Catena","id":"ITEM-1","issue":"June","issued":{"date-parts":[["2019"]]},"title":"In-situ multi-sensor characterization of soil cores along an erosion-deposition gradient","type":"article-journal","volume":"182"},"uris":["http://www.mendeley.com/documents/?uuid=b43e7cdf-1470-4aec-85d2-0f92f8e86462"]}],"mendeley":{"formattedCitation":"(Leue et al., 2019)","plainTextFormattedCitation":"(Leue et al., 2019)","previouslyFormattedCitation":"(Leue et al., 2019)"},"properties":{"noteIndex":0},"schema":"https://github.com/citation-style-language/schema/raw/master/csl-citation.json"}</w:instrText>
      </w:r>
      <w:r w:rsidR="00DB5899">
        <w:rPr>
          <w:rFonts w:ascii="Times New Roman" w:hAnsi="Times New Roman" w:cs="Times New Roman"/>
          <w:sz w:val="20"/>
          <w:szCs w:val="20"/>
        </w:rPr>
        <w:fldChar w:fldCharType="separate"/>
      </w:r>
      <w:r w:rsidR="00DB5899" w:rsidRPr="00DB5899">
        <w:rPr>
          <w:rFonts w:ascii="Times New Roman" w:hAnsi="Times New Roman" w:cs="Times New Roman"/>
          <w:noProof/>
          <w:sz w:val="20"/>
          <w:szCs w:val="20"/>
        </w:rPr>
        <w:t>(Leue et al., 2019)</w:t>
      </w:r>
      <w:r w:rsidR="00DB5899">
        <w:rPr>
          <w:rFonts w:ascii="Times New Roman" w:hAnsi="Times New Roman" w:cs="Times New Roman"/>
          <w:sz w:val="20"/>
          <w:szCs w:val="20"/>
        </w:rPr>
        <w:fldChar w:fldCharType="end"/>
      </w:r>
      <w:r w:rsidRPr="00DF0492">
        <w:rPr>
          <w:rFonts w:ascii="Times New Roman" w:hAnsi="Times New Roman" w:cs="Times New Roman"/>
          <w:sz w:val="20"/>
          <w:szCs w:val="20"/>
        </w:rPr>
        <w:t>. A transparent acrylic glass tube of 1.6 m le</w:t>
      </w:r>
      <w:r w:rsidR="00F70135">
        <w:rPr>
          <w:rFonts w:ascii="Times New Roman" w:hAnsi="Times New Roman" w:cs="Times New Roman"/>
          <w:sz w:val="20"/>
          <w:szCs w:val="20"/>
        </w:rPr>
        <w:t xml:space="preserve">ngth and 6.2 mm outer diameter </w:t>
      </w:r>
      <w:r w:rsidRPr="00DF0492">
        <w:rPr>
          <w:rFonts w:ascii="Times New Roman" w:hAnsi="Times New Roman" w:cs="Times New Roman"/>
          <w:sz w:val="20"/>
          <w:szCs w:val="20"/>
        </w:rPr>
        <w:t xml:space="preserve">was installed in each drill hole. </w:t>
      </w:r>
      <w:r w:rsidRPr="00911F6B">
        <w:rPr>
          <w:rFonts w:ascii="Times New Roman" w:hAnsi="Times New Roman" w:cs="Times New Roman"/>
          <w:color w:val="FF0000"/>
          <w:sz w:val="20"/>
          <w:szCs w:val="20"/>
        </w:rPr>
        <w:t>In sum over four soil sites, four plots per sites, and three wheat cultivars per plot, 48 tubes were installed</w:t>
      </w:r>
      <w:r w:rsidRPr="00DF0492">
        <w:rPr>
          <w:rFonts w:ascii="Times New Roman" w:hAnsi="Times New Roman" w:cs="Times New Roman"/>
          <w:sz w:val="20"/>
          <w:szCs w:val="20"/>
        </w:rPr>
        <w:t>. The above-ground part of the tubes was covered with black tape in order to minimize light and moisture intrusion and heat exchange</w:t>
      </w:r>
      <w:r w:rsidR="006A45EA">
        <w:rPr>
          <w:rFonts w:ascii="Times New Roman" w:hAnsi="Times New Roman" w:cs="Times New Roman"/>
          <w:sz w:val="20"/>
          <w:szCs w:val="20"/>
        </w:rPr>
        <w:t xml:space="preserve"> </w:t>
      </w: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CSL_CITATION {"citationItems":[{"id":"ITEM-1","itemData":{"DOI":"10.1002/jpln.201600536","ISSN":"15222624","abstract":"Agricultural soil landscapes of hummocky ground moraines are characterized by 3D spatial patterns of soil types that result from profile modifications due to the combined effect of water and tillage erosion. We hypothesize that crops reflect such soil landscape patterns by increased or reduced plant and root growth. Root development may depend on the thickness and vertical sequence of soil horizons as well as on the structural development state of these horizons at different landscape positions. The hypotheses were tested using field data of the root density (RD) and the root lengths (RL) of winter wheat using the minirhizotron technique. We compared data from plots at the CarboZALF-D site (NE Germany) that are representing a non-eroded reference soil profile (Albic Luvisol) at a plateau position, a strongly eroded profile at steep slope (Calcaric Regosol), and a depositional profile at the footslope (Anocolluvic Regosol). At each of these plots, three Plexiglas access tubes were installed down to approx. 1.5 m soil depth. Root measurements were carried out during the growing season of winter wheat (September 2014–August 2015) on six dates. The root length density (RLD) and the root biomass density were derived from RD values assuming a mean specific root length of 100 m g−1. Values of RD and RLD were highest for the Anocolluvic Regosol and lowest for the Calcaric Regosol. The maximum root penetration depth was lower in the Anocolluvic Regosol because of a relatively high and fluctuating water table at this landscape position. Results revealed positive relations between below-ground (root) and above-ground crop parameters (i.e., leaf area index, plant height, biomass, and yield) for the three soil types. Observed root densities and root lengths in soils at the three landscape positions corroborated the hypothesis that the root system was reflecting erosion-induced soil profile modifications. Soil landscape position dependent root growth should be considered when attempting to quantify landscape scale water and element balances as well as agricultural productivity.","author":[{"dropping-particle":"","family":"Herbrich","given":"Marcus","non-dropping-particle":"","parse-names":false,"suffix":""},{"dropping-particle":"","family":"Gerke","given":"Horst H.","non-dropping-particle":"","parse-names":false,"suffix":""},{"dropping-particle":"","family":"Sommer","given":"Michael","non-dropping-particle":"","parse-names":false,"suffix":""}],"container-title":"Journal of Plant Nutrition and Soil Science","id":"ITEM-1","issue":"2","issued":{"date-parts":[["2018"]]},"page":"147-157","title":"Root development of winter wheat in erosion-affected soils depending on the position in a hummocky ground moraine soil landscape","type":"article-journal","volume":"181"},"uris":["http://www.mendeley.com/documents/?uuid=8fd97966-a688-4d7a-81ff-28ab8ebbf76b"]}],"mendeley":{"formattedCitation":"(Herbrich et al., 2018)","plainTextFormattedCitation":"(Herbrich et al., 2018)","previouslyFormattedCitation":"(Herbrich et al., 2018)"},"properties":{"noteIndex":0},"schema":"https://github.com/citation-style-language/schema/raw/master/csl-citation.json"}</w:instrText>
      </w:r>
      <w:r w:rsidRPr="00DF0492">
        <w:rPr>
          <w:rFonts w:ascii="Times New Roman" w:hAnsi="Times New Roman" w:cs="Times New Roman"/>
          <w:sz w:val="20"/>
          <w:szCs w:val="20"/>
        </w:rPr>
        <w:fldChar w:fldCharType="separate"/>
      </w:r>
      <w:r w:rsidRPr="00DF0492">
        <w:rPr>
          <w:rFonts w:ascii="Times New Roman" w:hAnsi="Times New Roman" w:cs="Times New Roman"/>
          <w:noProof/>
          <w:sz w:val="20"/>
          <w:szCs w:val="20"/>
        </w:rPr>
        <w:t>(Herbrich et al., 2018)</w:t>
      </w:r>
      <w:r w:rsidRPr="00DF0492">
        <w:rPr>
          <w:rFonts w:ascii="Times New Roman" w:hAnsi="Times New Roman" w:cs="Times New Roman"/>
          <w:sz w:val="20"/>
          <w:szCs w:val="20"/>
        </w:rPr>
        <w:fldChar w:fldCharType="end"/>
      </w:r>
      <w:r w:rsidRPr="00DF0492">
        <w:rPr>
          <w:rFonts w:ascii="Times New Roman" w:hAnsi="Times New Roman" w:cs="Times New Roman"/>
          <w:sz w:val="20"/>
          <w:szCs w:val="20"/>
        </w:rPr>
        <w:t>.</w:t>
      </w:r>
    </w:p>
    <w:p w14:paraId="5BBD88C7" w14:textId="3E0F8831"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lastRenderedPageBreak/>
        <w:t xml:space="preserve">At 12 dates (BBCH-scale) plus one after harvest (Fig. </w:t>
      </w:r>
      <w:r w:rsidR="00DB5899">
        <w:rPr>
          <w:rFonts w:ascii="Times New Roman" w:hAnsi="Times New Roman" w:cs="Times New Roman"/>
          <w:sz w:val="20"/>
          <w:szCs w:val="20"/>
        </w:rPr>
        <w:t>3</w:t>
      </w:r>
      <w:r w:rsidRPr="00DF0492">
        <w:rPr>
          <w:rFonts w:ascii="Times New Roman" w:hAnsi="Times New Roman" w:cs="Times New Roman"/>
          <w:sz w:val="20"/>
          <w:szCs w:val="20"/>
        </w:rPr>
        <w:t xml:space="preserve">), </w:t>
      </w:r>
      <w:proofErr w:type="spellStart"/>
      <w:r w:rsidRPr="00DF0492">
        <w:rPr>
          <w:rFonts w:ascii="Times New Roman" w:hAnsi="Times New Roman" w:cs="Times New Roman"/>
          <w:sz w:val="20"/>
          <w:szCs w:val="20"/>
        </w:rPr>
        <w:t>rhizoscans</w:t>
      </w:r>
      <w:proofErr w:type="spellEnd"/>
      <w:r w:rsidRPr="00DF0492">
        <w:rPr>
          <w:rFonts w:ascii="Times New Roman" w:hAnsi="Times New Roman" w:cs="Times New Roman"/>
          <w:sz w:val="20"/>
          <w:szCs w:val="20"/>
        </w:rPr>
        <w:t xml:space="preserve"> were taken inside the tubes using the mini-</w:t>
      </w:r>
      <w:proofErr w:type="spellStart"/>
      <w:r w:rsidRPr="00DF0492">
        <w:rPr>
          <w:rFonts w:ascii="Times New Roman" w:hAnsi="Times New Roman" w:cs="Times New Roman"/>
          <w:sz w:val="20"/>
          <w:szCs w:val="20"/>
        </w:rPr>
        <w:t>rhizotron</w:t>
      </w:r>
      <w:proofErr w:type="spellEnd"/>
      <w:r w:rsidRPr="00DF0492">
        <w:rPr>
          <w:rFonts w:ascii="Times New Roman" w:hAnsi="Times New Roman" w:cs="Times New Roman"/>
          <w:sz w:val="20"/>
          <w:szCs w:val="20"/>
        </w:rPr>
        <w:t xml:space="preserve"> imaging system CI 600 (Root Imager CI 600; CID Inc., Camas, USA): October 26</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2022 (BBCH </w:t>
      </w:r>
      <w:proofErr w:type="spellStart"/>
      <w:r w:rsidRPr="00DF0492">
        <w:rPr>
          <w:rFonts w:ascii="Times New Roman" w:hAnsi="Times New Roman" w:cs="Times New Roman"/>
          <w:sz w:val="20"/>
          <w:szCs w:val="20"/>
        </w:rPr>
        <w:t>Rg</w:t>
      </w:r>
      <w:proofErr w:type="spellEnd"/>
      <w:r w:rsidRPr="00DF0492">
        <w:rPr>
          <w:rFonts w:ascii="Times New Roman" w:hAnsi="Times New Roman" w:cs="Times New Roman"/>
          <w:sz w:val="20"/>
          <w:szCs w:val="20"/>
        </w:rPr>
        <w:t>-ca: 11-12, other sites: 12), November 07</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(BBCH RG-ca: 13, other sites: 13-15), November 21</w:t>
      </w:r>
      <w:r w:rsidRPr="00DF0492">
        <w:rPr>
          <w:rFonts w:ascii="Times New Roman" w:hAnsi="Times New Roman" w:cs="Times New Roman"/>
          <w:sz w:val="20"/>
          <w:szCs w:val="20"/>
          <w:vertAlign w:val="superscript"/>
        </w:rPr>
        <w:t>st</w:t>
      </w:r>
      <w:r w:rsidRPr="00DF0492">
        <w:rPr>
          <w:rFonts w:ascii="Times New Roman" w:hAnsi="Times New Roman" w:cs="Times New Roman"/>
          <w:sz w:val="20"/>
          <w:szCs w:val="20"/>
        </w:rPr>
        <w:t xml:space="preserve"> (BBCH </w:t>
      </w:r>
      <w:proofErr w:type="spellStart"/>
      <w:r w:rsidRPr="00DF0492">
        <w:rPr>
          <w:rFonts w:ascii="Times New Roman" w:hAnsi="Times New Roman" w:cs="Times New Roman"/>
          <w:sz w:val="20"/>
          <w:szCs w:val="20"/>
        </w:rPr>
        <w:t>Rg</w:t>
      </w:r>
      <w:proofErr w:type="spellEnd"/>
      <w:r w:rsidRPr="00DF0492">
        <w:rPr>
          <w:rFonts w:ascii="Times New Roman" w:hAnsi="Times New Roman" w:cs="Times New Roman"/>
          <w:sz w:val="20"/>
          <w:szCs w:val="20"/>
        </w:rPr>
        <w:t>-ca: 13-15, other sites: 22), January 10</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2023 (BBCH </w:t>
      </w:r>
      <w:proofErr w:type="spellStart"/>
      <w:r w:rsidRPr="00DF0492">
        <w:rPr>
          <w:rFonts w:ascii="Times New Roman" w:hAnsi="Times New Roman" w:cs="Times New Roman"/>
          <w:sz w:val="20"/>
          <w:szCs w:val="20"/>
        </w:rPr>
        <w:t>Rg</w:t>
      </w:r>
      <w:proofErr w:type="spellEnd"/>
      <w:r w:rsidRPr="00DF0492">
        <w:rPr>
          <w:rFonts w:ascii="Times New Roman" w:hAnsi="Times New Roman" w:cs="Times New Roman"/>
          <w:sz w:val="20"/>
          <w:szCs w:val="20"/>
        </w:rPr>
        <w:t>-ca: 20-23, other sites: 21-26), February 06</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(BBCH </w:t>
      </w:r>
      <w:proofErr w:type="spellStart"/>
      <w:r w:rsidRPr="00DF0492">
        <w:rPr>
          <w:rFonts w:ascii="Times New Roman" w:hAnsi="Times New Roman" w:cs="Times New Roman"/>
          <w:sz w:val="20"/>
          <w:szCs w:val="20"/>
        </w:rPr>
        <w:t>Rg</w:t>
      </w:r>
      <w:proofErr w:type="spellEnd"/>
      <w:r w:rsidRPr="00DF0492">
        <w:rPr>
          <w:rFonts w:ascii="Times New Roman" w:hAnsi="Times New Roman" w:cs="Times New Roman"/>
          <w:sz w:val="20"/>
          <w:szCs w:val="20"/>
        </w:rPr>
        <w:t>-ca: 20-23, other sites: 21-26), March 21</w:t>
      </w:r>
      <w:r w:rsidRPr="00DF0492">
        <w:rPr>
          <w:rFonts w:ascii="Times New Roman" w:hAnsi="Times New Roman" w:cs="Times New Roman"/>
          <w:sz w:val="20"/>
          <w:szCs w:val="20"/>
          <w:vertAlign w:val="superscript"/>
        </w:rPr>
        <w:t>st</w:t>
      </w:r>
      <w:r w:rsidRPr="00DF0492">
        <w:rPr>
          <w:rFonts w:ascii="Times New Roman" w:hAnsi="Times New Roman" w:cs="Times New Roman"/>
          <w:sz w:val="20"/>
          <w:szCs w:val="20"/>
        </w:rPr>
        <w:t xml:space="preserve"> (BBCH 24-29), April 4</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(BBCH 24-29), April 26</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(BBCH </w:t>
      </w:r>
      <w:proofErr w:type="spellStart"/>
      <w:r w:rsidRPr="00DF0492">
        <w:rPr>
          <w:rFonts w:ascii="Times New Roman" w:hAnsi="Times New Roman" w:cs="Times New Roman"/>
          <w:sz w:val="20"/>
          <w:szCs w:val="20"/>
        </w:rPr>
        <w:t>Rg</w:t>
      </w:r>
      <w:proofErr w:type="spellEnd"/>
      <w:r w:rsidRPr="00DF0492">
        <w:rPr>
          <w:rFonts w:ascii="Times New Roman" w:hAnsi="Times New Roman" w:cs="Times New Roman"/>
          <w:sz w:val="20"/>
          <w:szCs w:val="20"/>
        </w:rPr>
        <w:t>-ca: 30, other sites: 31), May 22</w:t>
      </w:r>
      <w:r w:rsidRPr="00DF0492">
        <w:rPr>
          <w:rFonts w:ascii="Times New Roman" w:hAnsi="Times New Roman" w:cs="Times New Roman"/>
          <w:sz w:val="20"/>
          <w:szCs w:val="20"/>
          <w:vertAlign w:val="superscript"/>
        </w:rPr>
        <w:t>nd</w:t>
      </w:r>
      <w:r w:rsidRPr="00DF0492">
        <w:rPr>
          <w:rFonts w:ascii="Times New Roman" w:hAnsi="Times New Roman" w:cs="Times New Roman"/>
          <w:sz w:val="20"/>
          <w:szCs w:val="20"/>
        </w:rPr>
        <w:t xml:space="preserve"> (BBCH 37), June 14</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(BBCH 69), July 4</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(BBCH 85) and July 27</w:t>
      </w:r>
      <w:r w:rsidRPr="00DF0492">
        <w:rPr>
          <w:rFonts w:ascii="Times New Roman" w:hAnsi="Times New Roman" w:cs="Times New Roman"/>
          <w:sz w:val="20"/>
          <w:szCs w:val="20"/>
          <w:vertAlign w:val="superscript"/>
        </w:rPr>
        <w:t>th</w:t>
      </w:r>
      <w:r w:rsidRPr="00DF0492">
        <w:rPr>
          <w:rFonts w:ascii="Times New Roman" w:hAnsi="Times New Roman" w:cs="Times New Roman"/>
          <w:sz w:val="20"/>
          <w:szCs w:val="20"/>
        </w:rPr>
        <w:t xml:space="preserve"> 2023 (BBCH 92).</w:t>
      </w:r>
    </w:p>
    <w:p w14:paraId="113527D7" w14:textId="5BD57728"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 xml:space="preserve">The rotating scanner yields 360°-images of the tube-soil interface with 215.9 mm height and 195.7 mm width at a resolution of 300 dpi. After each scan, the scanner is pushed perpendicularly downwards in fixed steps. A horizontal overlapping of 1 cm ensured </w:t>
      </w:r>
      <w:r w:rsidR="00EA3C97">
        <w:rPr>
          <w:rFonts w:ascii="Times New Roman" w:hAnsi="Times New Roman" w:cs="Times New Roman"/>
          <w:sz w:val="20"/>
          <w:szCs w:val="20"/>
        </w:rPr>
        <w:t>the later merging of the images</w:t>
      </w:r>
      <w:r w:rsidRPr="00DF0492">
        <w:rPr>
          <w:rFonts w:ascii="Times New Roman" w:hAnsi="Times New Roman" w:cs="Times New Roman"/>
          <w:sz w:val="20"/>
          <w:szCs w:val="20"/>
        </w:rPr>
        <w:t>. Particular attention was payed to maintaining both the soil and the plant population around the tube undisturbed.</w:t>
      </w:r>
    </w:p>
    <w:p w14:paraId="3F462C03" w14:textId="77777777" w:rsidR="007163EA" w:rsidRPr="00DF0492" w:rsidRDefault="007163EA" w:rsidP="007163EA">
      <w:pPr>
        <w:spacing w:line="360" w:lineRule="auto"/>
        <w:ind w:firstLine="709"/>
        <w:jc w:val="both"/>
        <w:rPr>
          <w:rFonts w:ascii="Times New Roman" w:hAnsi="Times New Roman" w:cs="Times New Roman"/>
          <w:sz w:val="20"/>
          <w:szCs w:val="20"/>
        </w:rPr>
      </w:pPr>
    </w:p>
    <w:p w14:paraId="02133ED1" w14:textId="67C92F98" w:rsidR="007163EA" w:rsidRPr="007163EA" w:rsidRDefault="007163EA" w:rsidP="007163EA">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2.5 Root segmentation and image analysis</w:t>
      </w:r>
    </w:p>
    <w:p w14:paraId="375D9598" w14:textId="7B056537"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 xml:space="preserve">The raw images from </w:t>
      </w:r>
      <w:proofErr w:type="spellStart"/>
      <w:r w:rsidRPr="00DF0492">
        <w:rPr>
          <w:rFonts w:ascii="Times New Roman" w:hAnsi="Times New Roman" w:cs="Times New Roman"/>
          <w:sz w:val="20"/>
          <w:szCs w:val="20"/>
        </w:rPr>
        <w:t>rhizoscan</w:t>
      </w:r>
      <w:proofErr w:type="spellEnd"/>
      <w:r w:rsidRPr="00DF0492">
        <w:rPr>
          <w:rFonts w:ascii="Times New Roman" w:hAnsi="Times New Roman" w:cs="Times New Roman"/>
          <w:sz w:val="20"/>
          <w:szCs w:val="20"/>
        </w:rPr>
        <w:t xml:space="preserve"> underwent processing in two steps. Firstly, a deep-learning model</w:t>
      </w:r>
      <w:r w:rsidR="00F70135">
        <w:rPr>
          <w:rFonts w:ascii="Times New Roman" w:hAnsi="Times New Roman" w:cs="Times New Roman"/>
          <w:sz w:val="20"/>
          <w:szCs w:val="20"/>
        </w:rPr>
        <w:t xml:space="preserve"> </w:t>
      </w: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CSL_CITATION {"citationItems":[{"id":"ITEM-1","itemData":{"DOI":"10.1111/nph.18387","ISSN":"14698137","PMID":"35851958","abstract":"Convolutional neural networks (CNNs) are a powerful tool for plant image analysis, but challenges remain in making them more accessible to researchers without a machine-learning background. We present RootPainter, an open-source graphical user interface based software tool for the rapid training of deep neural networks for use in biological image analysis. We evaluate RootPainter by training models for root length extraction from chicory (Cichorium intybus L.) roots in soil, biopore counting, and root nodule counting. We also compare dense annotations with corrective ones that are added during the training process based on the weaknesses of the current model. Five out of six times the models trained using RootPainter with corrective annotations created within 2 h produced measurements strongly correlating with manual measurements. Model accuracy had a significant correlation with annotation duration, indicating further improvements could be obtained with extended annotation. Our results show that a deep-learning model can be trained to a high accuracy for the three respective datasets of varying target objects, background, and image quality with &lt; 2 h of annotation time. They indicate that, when using RootPainter, for many datasets it is possible to annotate, train, and complete data processing within 1 d.","author":[{"dropping-particle":"","family":"Smith","given":"Abraham George","non-dropping-particle":"","parse-names":false,"suffix":""},{"dropping-particle":"","family":"Han","given":"Eusun","non-dropping-particle":"","parse-names":false,"suffix":""},{"dropping-particle":"","family":"Petersen","given":"Jens","non-dropping-particle":"","parse-names":false,"suffix":""},{"dropping-particle":"","family":"Olsen","given":"Niels Alvin Faircloth","non-dropping-particle":"","parse-names":false,"suffix":""},{"dropping-particle":"","family":"Giese","given":"Christian","non-dropping-particle":"","parse-names":false,"suffix":""},{"dropping-particle":"","family":"Athmann","given":"Miriam","non-dropping-particle":"","parse-names":false,"suffix":""},{"dropping-particle":"","family":"Dresbøll","given":"Dorte Bodin","non-dropping-particle":"","parse-names":false,"suffix":""},{"dropping-particle":"","family":"Thorup-Kristensen","given":"Kristian","non-dropping-particle":"","parse-names":false,"suffix":""}],"container-title":"New Phytologist","id":"ITEM-1","issue":"2","issued":{"date-parts":[["2022"]]},"page":"774-791","title":"RootPainter: deep learning segmentation of biological images with corrective annotation","type":"article-journal","volume":"236"},"uris":["http://www.mendeley.com/documents/?uuid=93120128-253c-42c0-b5a3-c39d80fe4c55"]}],"mendeley":{"formattedCitation":"(Smith et al., 2022)","plainTextFormattedCitation":"(Smith et al., 2022)","previouslyFormattedCitation":"(Smith et al., 2022)"},"properties":{"noteIndex":0},"schema":"https://github.com/citation-style-language/schema/raw/master/csl-citation.json"}</w:instrText>
      </w:r>
      <w:r w:rsidRPr="00DF0492">
        <w:rPr>
          <w:rFonts w:ascii="Times New Roman" w:hAnsi="Times New Roman" w:cs="Times New Roman"/>
          <w:sz w:val="20"/>
          <w:szCs w:val="20"/>
        </w:rPr>
        <w:fldChar w:fldCharType="separate"/>
      </w:r>
      <w:r w:rsidRPr="00DF0492">
        <w:rPr>
          <w:rFonts w:ascii="Times New Roman" w:hAnsi="Times New Roman" w:cs="Times New Roman"/>
          <w:noProof/>
          <w:sz w:val="20"/>
          <w:szCs w:val="20"/>
        </w:rPr>
        <w:t>(Smith et al., 2022)</w:t>
      </w:r>
      <w:r w:rsidRPr="00DF0492">
        <w:rPr>
          <w:rFonts w:ascii="Times New Roman" w:hAnsi="Times New Roman" w:cs="Times New Roman"/>
          <w:sz w:val="20"/>
          <w:szCs w:val="20"/>
        </w:rPr>
        <w:fldChar w:fldCharType="end"/>
      </w:r>
      <w:r w:rsidRPr="00DF0492">
        <w:rPr>
          <w:rFonts w:ascii="Times New Roman" w:hAnsi="Times New Roman" w:cs="Times New Roman"/>
          <w:sz w:val="20"/>
          <w:szCs w:val="20"/>
        </w:rPr>
        <w:t xml:space="preserve"> was trained on a dataset comprising varied root shapes, colors, and soil types (background). The training phase involved annotating a region of interest (ROI 700x700 pixels) from 257 raw images using Root Painter</w:t>
      </w:r>
      <w:r w:rsidR="006A45EA">
        <w:rPr>
          <w:rFonts w:ascii="Times New Roman" w:hAnsi="Times New Roman" w:cs="Times New Roman"/>
          <w:sz w:val="20"/>
          <w:szCs w:val="20"/>
        </w:rPr>
        <w:t xml:space="preserve"> </w:t>
      </w: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CSL_CITATION {"citationItems":[{"id":"ITEM-1","itemData":{"DOI":"10.1111/nph.18387","ISSN":"14698137","PMID":"35851958","abstract":"Convolutional neural networks (CNNs) are a powerful tool for plant image analysis, but challenges remain in making them more accessible to researchers without a machine-learning background. We present RootPainter, an open-source graphical user interface based software tool for the rapid training of deep neural networks for use in biological image analysis. We evaluate RootPainter by training models for root length extraction from chicory (Cichorium intybus L.) roots in soil, biopore counting, and root nodule counting. We also compare dense annotations with corrective ones that are added during the training process based on the weaknesses of the current model. Five out of six times the models trained using RootPainter with corrective annotations created within 2 h produced measurements strongly correlating with manual measurements. Model accuracy had a significant correlation with annotation duration, indicating further improvements could be obtained with extended annotation. Our results show that a deep-learning model can be trained to a high accuracy for the three respective datasets of varying target objects, background, and image quality with &lt; 2 h of annotation time. They indicate that, when using RootPainter, for many datasets it is possible to annotate, train, and complete data processing within 1 d.","author":[{"dropping-particle":"","family":"Smith","given":"Abraham George","non-dropping-particle":"","parse-names":false,"suffix":""},{"dropping-particle":"","family":"Han","given":"Eusun","non-dropping-particle":"","parse-names":false,"suffix":""},{"dropping-particle":"","family":"Petersen","given":"Jens","non-dropping-particle":"","parse-names":false,"suffix":""},{"dropping-particle":"","family":"Olsen","given":"Niels Alvin Faircloth","non-dropping-particle":"","parse-names":false,"suffix":""},{"dropping-particle":"","family":"Giese","given":"Christian","non-dropping-particle":"","parse-names":false,"suffix":""},{"dropping-particle":"","family":"Athmann","given":"Miriam","non-dropping-particle":"","parse-names":false,"suffix":""},{"dropping-particle":"","family":"Dresbøll","given":"Dorte Bodin","non-dropping-particle":"","parse-names":false,"suffix":""},{"dropping-particle":"","family":"Thorup-Kristensen","given":"Kristian","non-dropping-particle":"","parse-names":false,"suffix":""}],"container-title":"New Phytologist","id":"ITEM-1","issue":"2","issued":{"date-parts":[["2022"]]},"page":"774-791","title":"RootPainter: deep learning segmentation of biological images with corrective annotation","type":"article-journal","volume":"236"},"uris":["http://www.mendeley.com/documents/?uuid=93120128-253c-42c0-b5a3-c39d80fe4c55"]}],"mendeley":{"formattedCitation":"(Smith et al., 2022)","plainTextFormattedCitation":"(Smith et al., 2022)","previouslyFormattedCitation":"(Smith et al., 2022)"},"properties":{"noteIndex":0},"schema":"https://github.com/citation-style-language/schema/raw/master/csl-citation.json"}</w:instrText>
      </w:r>
      <w:r w:rsidRPr="00DF0492">
        <w:rPr>
          <w:rFonts w:ascii="Times New Roman" w:hAnsi="Times New Roman" w:cs="Times New Roman"/>
          <w:sz w:val="20"/>
          <w:szCs w:val="20"/>
        </w:rPr>
        <w:fldChar w:fldCharType="separate"/>
      </w:r>
      <w:r w:rsidRPr="00DF0492">
        <w:rPr>
          <w:rFonts w:ascii="Times New Roman" w:hAnsi="Times New Roman" w:cs="Times New Roman"/>
          <w:noProof/>
          <w:sz w:val="20"/>
          <w:szCs w:val="20"/>
        </w:rPr>
        <w:t>(Smith et al., 2022)</w:t>
      </w:r>
      <w:r w:rsidRPr="00DF0492">
        <w:rPr>
          <w:rFonts w:ascii="Times New Roman" w:hAnsi="Times New Roman" w:cs="Times New Roman"/>
          <w:sz w:val="20"/>
          <w:szCs w:val="20"/>
        </w:rPr>
        <w:fldChar w:fldCharType="end"/>
      </w:r>
      <w:r w:rsidRPr="00DF0492">
        <w:rPr>
          <w:rFonts w:ascii="Times New Roman" w:hAnsi="Times New Roman" w:cs="Times New Roman"/>
          <w:sz w:val="20"/>
          <w:szCs w:val="20"/>
        </w:rPr>
        <w:t xml:space="preserve">. This process entailed manually selecting roots and distinguishing them from soil or other non-root objects. The root segmentation model was evaluated by comparing the annotated and trained dataset with the predicted results. Accuracy and precision were then measured for each annotated image. Subsequently, the trained model was utilized to segment all 560 images in the dataset. Secondly, the segmented images, disregarding the first 20 cm, underwent filtering and standardization to eliminate non-root objects (such as soil particles, water drops, and straw), after which the root volume and average diameter were quantified using </w:t>
      </w:r>
      <w:proofErr w:type="spellStart"/>
      <w:r w:rsidRPr="00DF0492">
        <w:rPr>
          <w:rFonts w:ascii="Times New Roman" w:hAnsi="Times New Roman" w:cs="Times New Roman"/>
          <w:sz w:val="20"/>
          <w:szCs w:val="20"/>
        </w:rPr>
        <w:t>RhizoVisionExplorer</w:t>
      </w:r>
      <w:proofErr w:type="spellEnd"/>
      <w:r w:rsidR="006A45EA">
        <w:rPr>
          <w:rFonts w:ascii="Times New Roman" w:hAnsi="Times New Roman" w:cs="Times New Roman"/>
          <w:sz w:val="20"/>
          <w:szCs w:val="20"/>
        </w:rPr>
        <w:t xml:space="preserve"> </w:t>
      </w: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CSL_CITATION {"citationItems":[{"id":"ITEM-1","itemData":{"DOI":"10.1093/aobpla/plab056","ISSN":"20412851","abstract":"Roots are central to the function of natural and agricultural ecosystems by driving plant acquisition of soil resources and influencing the carbon cycle. Root characteristics like length, diameter and volume are critical to measure to understand plant and soil functions. RhizoVision Explorer is an open-source software designed to enable researchers interested in roots by providing an easy-To-use interface, fast image processing and reliable measurements. The default broken roots mode is intended for roots sampled from pots and soil cores, washed and typically scanned on a flatbed scanner, and provides measurements like length, diameter and volume. The optional whole root mode for complete root systems or root crowns provides additional measurements such as angles, root depth and convex hull. Both modes support providing measurements grouped by defined diameter ranges, the inclusion of multiple regions of interest and batch analysis. RhizoVision Explorer was successfully validated against ground truth data using a new copper wire image set. In comparison, the current reference software, the commercial WinRhizo™, drastically underestimated volume when wires of different diameters were in the same image. Additionally, measurements were compared with WinRhizo™ and IJ_Rhizo using a simulated root image set, showing general agreement in software measurements, except for root volume. Finally, scanned root image sets acquired in different labs for the crop, herbaceous and tree species were used to compare results from RhizoVision Explorer with WinRhizo™. The two software showed general agreement, except that WinRhizo™ substantially underestimated root volume relative to RhizoVision Explorer. In the current context of rapidly growing interest in root science, RhizoVision Explorer intends to become a reference software, improve the overall accuracy and replicability of root trait measurements and provide a foundation for collaborative improvement and reliable access to all.","author":[{"dropping-particle":"","family":"Seethepalli","given":"Anand","non-dropping-particle":"","parse-names":false,"suffix":""},{"dropping-particle":"","family":"Dhakal","given":"Kundan","non-dropping-particle":"","parse-names":false,"suffix":""},{"dropping-particle":"","family":"Griffiths","given":"Marcus","non-dropping-particle":"","parse-names":false,"suffix":""},{"dropping-particle":"","family":"Guo","given":"Haichao","non-dropping-particle":"","parse-names":false,"suffix":""},{"dropping-particle":"","family":"Freschet","given":"Gregoire T.","non-dropping-particle":"","parse-names":false,"suffix":""},{"dropping-particle":"","family":"York","given":"Larry M.","non-dropping-particle":"","parse-names":false,"suffix":""}],"container-title":"AoB PLANTS","id":"ITEM-1","issue":"6","issued":{"date-parts":[["2021"]]},"page":"1-15","title":"RhizoVision Explorer: Open-source software for root image analysis and measurement standardization","type":"article-journal","volume":"13"},"uris":["http://www.mendeley.com/documents/?uuid=4b91bde3-3a0f-4743-9e3c-4ecb0390ac07"]}],"mendeley":{"formattedCitation":"(Seethepalli et al., 2021)","plainTextFormattedCitation":"(Seethepalli et al., 2021)","previouslyFormattedCitation":"(Seethepalli et al., 2021)"},"properties":{"noteIndex":0},"schema":"https://github.com/citation-style-language/schema/raw/master/csl-citation.json"}</w:instrText>
      </w:r>
      <w:r w:rsidRPr="00DF0492">
        <w:rPr>
          <w:rFonts w:ascii="Times New Roman" w:hAnsi="Times New Roman" w:cs="Times New Roman"/>
          <w:sz w:val="20"/>
          <w:szCs w:val="20"/>
        </w:rPr>
        <w:fldChar w:fldCharType="separate"/>
      </w:r>
      <w:r w:rsidRPr="00DF0492">
        <w:rPr>
          <w:rFonts w:ascii="Times New Roman" w:hAnsi="Times New Roman" w:cs="Times New Roman"/>
          <w:noProof/>
          <w:sz w:val="20"/>
          <w:szCs w:val="20"/>
        </w:rPr>
        <w:t>(Seethepalli et al., 2021)</w:t>
      </w:r>
      <w:r w:rsidRPr="00DF0492">
        <w:rPr>
          <w:rFonts w:ascii="Times New Roman" w:hAnsi="Times New Roman" w:cs="Times New Roman"/>
          <w:sz w:val="20"/>
          <w:szCs w:val="20"/>
        </w:rPr>
        <w:fldChar w:fldCharType="end"/>
      </w:r>
      <w:r w:rsidRPr="00DF0492">
        <w:rPr>
          <w:rFonts w:ascii="Times New Roman" w:hAnsi="Times New Roman" w:cs="Times New Roman"/>
          <w:sz w:val="20"/>
          <w:szCs w:val="20"/>
        </w:rPr>
        <w:t xml:space="preserve">. This involved considering the average diameter and overall length for cylindrical roots. The model used for this considered broken roots, since a continuous image was not always possible and the pixel threshold for non-roots objects as well as root pruning were set to 5. </w:t>
      </w:r>
      <w:r w:rsidRPr="00F70135">
        <w:rPr>
          <w:rFonts w:ascii="Times New Roman" w:hAnsi="Times New Roman" w:cs="Times New Roman"/>
          <w:color w:val="FF0000"/>
          <w:sz w:val="20"/>
          <w:szCs w:val="20"/>
        </w:rPr>
        <w:t>Based on the measured root diameter [mm] and a constant specific root length of 100 mg⁻¹</w:t>
      </w:r>
      <w:r w:rsidR="006A45EA" w:rsidRPr="00F70135">
        <w:rPr>
          <w:rFonts w:ascii="Times New Roman" w:hAnsi="Times New Roman" w:cs="Times New Roman"/>
          <w:color w:val="FF0000"/>
          <w:sz w:val="20"/>
          <w:szCs w:val="20"/>
        </w:rPr>
        <w:t xml:space="preserve"> </w:t>
      </w:r>
      <w:r w:rsidRPr="00F70135">
        <w:rPr>
          <w:rFonts w:ascii="Times New Roman" w:hAnsi="Times New Roman" w:cs="Times New Roman"/>
          <w:color w:val="FF0000"/>
          <w:sz w:val="20"/>
          <w:szCs w:val="20"/>
        </w:rPr>
        <w:fldChar w:fldCharType="begin" w:fldLock="1"/>
      </w:r>
      <w:r w:rsidRPr="00F70135">
        <w:rPr>
          <w:rFonts w:ascii="Times New Roman" w:hAnsi="Times New Roman" w:cs="Times New Roman"/>
          <w:color w:val="FF0000"/>
          <w:sz w:val="20"/>
          <w:szCs w:val="20"/>
        </w:rPr>
        <w:instrText>ADDIN CSL_CITATION {"citationItems":[{"id":"ITEM-1","itemData":{"DOI":"10.1002/jpln.201600536","ISSN":"15222624","abstract":"Agricultural soil landscapes of hummocky ground moraines are characterized by 3D spatial patterns of soil types that result from profile modifications due to the combined effect of water and tillage erosion. We hypothesize that crops reflect such soil landscape patterns by increased or reduced plant and root growth. Root development may depend on the thickness and vertical sequence of soil horizons as well as on the structural development state of these horizons at different landscape positions. The hypotheses were tested using field data of the root density (RD) and the root lengths (RL) of winter wheat using the minirhizotron technique. We compared data from plots at the CarboZALF-D site (NE Germany) that are representing a non-eroded reference soil profile (Albic Luvisol) at a plateau position, a strongly eroded profile at steep slope (Calcaric Regosol), and a depositional profile at the footslope (Anocolluvic Regosol). At each of these plots, three Plexiglas access tubes were installed down to approx. 1.5 m soil depth. Root measurements were carried out during the growing season of winter wheat (September 2014–August 2015) on six dates. The root length density (RLD) and the root biomass density were derived from RD values assuming a mean specific root length of 100 m g−1. Values of RD and RLD were highest for the Anocolluvic Regosol and lowest for the Calcaric Regosol. The maximum root penetration depth was lower in the Anocolluvic Regosol because of a relatively high and fluctuating water table at this landscape position. Results revealed positive relations between below-ground (root) and above-ground crop parameters (i.e., leaf area index, plant height, biomass, and yield) for the three soil types. Observed root densities and root lengths in soils at the three landscape positions corroborated the hypothesis that the root system was reflecting erosion-induced soil profile modifications. Soil landscape position dependent root growth should be considered when attempting to quantify landscape scale water and element balances as well as agricultural productivity.","author":[{"dropping-particle":"","family":"Herbrich","given":"Marcus","non-dropping-particle":"","parse-names":false,"suffix":""},{"dropping-particle":"","family":"Gerke","given":"Horst H.","non-dropping-particle":"","parse-names":false,"suffix":""},{"dropping-particle":"","family":"Sommer","given":"Michael","non-dropping-particle":"","parse-names":false,"suffix":""}],"container-title":"Journal of Plant Nutrition and Soil Science","id":"ITEM-1","issue":"2","issued":{"date-parts":[["2018"]]},"page":"147-157","title":"Root development of winter wheat in erosion-affected soils depending on the position in a hummocky ground moraine soil landscape","type":"article-journal","volume":"181"},"uris":["http://www.mendeley.com/documents/?uuid=8fd97966-a688-4d7a-81ff-28ab8ebbf76b"]}],"mendeley":{"formattedCitation":"(Herbrich et al., 2018)","plainTextFormattedCitation":"(Herbrich et al., 2018)","previouslyFormattedCitation":"(Herbrich et al., 2018)"},"properties":{"noteIndex":0},"schema":"https://github.com/citation-style-language/schema/raw/master/csl-citation.json"}</w:instrText>
      </w:r>
      <w:r w:rsidRPr="00F70135">
        <w:rPr>
          <w:rFonts w:ascii="Times New Roman" w:hAnsi="Times New Roman" w:cs="Times New Roman"/>
          <w:color w:val="FF0000"/>
          <w:sz w:val="20"/>
          <w:szCs w:val="20"/>
        </w:rPr>
        <w:fldChar w:fldCharType="separate"/>
      </w:r>
      <w:r w:rsidRPr="00F70135">
        <w:rPr>
          <w:rFonts w:ascii="Times New Roman" w:hAnsi="Times New Roman" w:cs="Times New Roman"/>
          <w:noProof/>
          <w:color w:val="FF0000"/>
          <w:sz w:val="20"/>
          <w:szCs w:val="20"/>
        </w:rPr>
        <w:t>(Herbrich et al., 2018)</w:t>
      </w:r>
      <w:r w:rsidRPr="00F70135">
        <w:rPr>
          <w:rFonts w:ascii="Times New Roman" w:hAnsi="Times New Roman" w:cs="Times New Roman"/>
          <w:color w:val="FF0000"/>
          <w:sz w:val="20"/>
          <w:szCs w:val="20"/>
        </w:rPr>
        <w:fldChar w:fldCharType="end"/>
      </w:r>
      <w:r w:rsidRPr="00F70135">
        <w:rPr>
          <w:rFonts w:ascii="Times New Roman" w:hAnsi="Times New Roman" w:cs="Times New Roman"/>
          <w:color w:val="FF0000"/>
          <w:sz w:val="20"/>
          <w:szCs w:val="20"/>
        </w:rPr>
        <w:t>, root tissue density (RTD [g mm⁻³]) was calculated</w:t>
      </w:r>
      <w:r w:rsidR="00DB5899" w:rsidRPr="00F70135">
        <w:rPr>
          <w:rFonts w:ascii="Times New Roman" w:hAnsi="Times New Roman" w:cs="Times New Roman"/>
          <w:color w:val="FF0000"/>
          <w:sz w:val="20"/>
          <w:szCs w:val="20"/>
        </w:rPr>
        <w:t xml:space="preserve"> </w:t>
      </w:r>
      <w:r w:rsidR="00DB5899" w:rsidRPr="00F70135">
        <w:rPr>
          <w:rFonts w:ascii="Times New Roman" w:hAnsi="Times New Roman" w:cs="Times New Roman"/>
          <w:color w:val="FF0000"/>
          <w:sz w:val="20"/>
          <w:szCs w:val="20"/>
        </w:rPr>
        <w:fldChar w:fldCharType="begin" w:fldLock="1"/>
      </w:r>
      <w:r w:rsidR="00C44113" w:rsidRPr="00F70135">
        <w:rPr>
          <w:rFonts w:ascii="Times New Roman" w:hAnsi="Times New Roman" w:cs="Times New Roman"/>
          <w:color w:val="FF0000"/>
          <w:sz w:val="20"/>
          <w:szCs w:val="20"/>
        </w:rPr>
        <w:instrText>ADDIN CSL_CITATION {"citationItems":[{"id":"ITEM-1","itemData":{"DOI":"10.3389/fpls.2017.00898","ISSN":"1664462X","abstract":"Specific root length (SRL) and root tissue density (RTD) are ecologically functional traits which are calculated from root length or volume and root dry weight. Both can be converted into each other using the root diameter assuming roots are cylindrical. The calculation of volume from length or length from volume is, however, problematic because samples of roots do usually not have a constant diameter. Ignorance of the diameter heterogeneity leads to an overestimation of length and an underestimation of volume if standard formulas are used. Here I show for two datasets that SRL and RTD are overestimated on average 67% for the two analyzed datasets, but up to 150%, if calculated from each other. I further highlight that the volume values for the total sample as provided by the commonly used software WinRHIZO™ should only be used for objects with constant diameter. I recommend to use volume values provided for each diameter class of a sample if WinRHIZO™ is used. If manual methods, like the line-intersect method, are used, roots should be separated into diameter classes before length measurements if the volume is calculated from length. Trait to trait conversions for whole samples are not recommended.","author":[{"dropping-particle":"","family":"Rose","given":"Laura","non-dropping-particle":"","parse-names":false,"suffix":""}],"container-title":"Frontiers in Plant Science","id":"ITEM-1","issue":"May","issued":{"date-parts":[["2017"]]},"page":"1-5","title":"Pitfalls in root trait calculations: How ignoring diameter heterogeneity can lead to overestimation of functional traits","type":"article-journal","volume":"8"},"uris":["http://www.mendeley.com/documents/?uuid=ca56f34a-b49f-4fc6-a04c-87e83f41eb8a"]}],"mendeley":{"formattedCitation":"(Rose, 2017)","plainTextFormattedCitation":"(Rose, 2017)","previouslyFormattedCitation":"(Rose, 2017)"},"properties":{"noteIndex":0},"schema":"https://github.com/citation-style-language/schema/raw/master/csl-citation.json"}</w:instrText>
      </w:r>
      <w:r w:rsidR="00DB5899" w:rsidRPr="00F70135">
        <w:rPr>
          <w:rFonts w:ascii="Times New Roman" w:hAnsi="Times New Roman" w:cs="Times New Roman"/>
          <w:color w:val="FF0000"/>
          <w:sz w:val="20"/>
          <w:szCs w:val="20"/>
        </w:rPr>
        <w:fldChar w:fldCharType="separate"/>
      </w:r>
      <w:r w:rsidR="00DB5899" w:rsidRPr="00F70135">
        <w:rPr>
          <w:rFonts w:ascii="Times New Roman" w:hAnsi="Times New Roman" w:cs="Times New Roman"/>
          <w:noProof/>
          <w:color w:val="FF0000"/>
          <w:sz w:val="20"/>
          <w:szCs w:val="20"/>
        </w:rPr>
        <w:t>(Rose, 2017)</w:t>
      </w:r>
      <w:r w:rsidR="00DB5899" w:rsidRPr="00F70135">
        <w:rPr>
          <w:rFonts w:ascii="Times New Roman" w:hAnsi="Times New Roman" w:cs="Times New Roman"/>
          <w:color w:val="FF0000"/>
          <w:sz w:val="20"/>
          <w:szCs w:val="20"/>
        </w:rPr>
        <w:fldChar w:fldCharType="end"/>
      </w:r>
      <w:r w:rsidRPr="00F70135">
        <w:rPr>
          <w:rFonts w:ascii="Times New Roman" w:hAnsi="Times New Roman" w:cs="Times New Roman"/>
          <w:color w:val="FF0000"/>
          <w:sz w:val="20"/>
          <w:szCs w:val="20"/>
        </w:rPr>
        <w:t>. By combining the measured root volume (mm³) with RTD, we determined the root mass [g] across all crop development stages. Finally, using root mass per plant and the number of plants harvested per square meter, we converted the root mass to root biomass (RB [g m⁻²]) for each crop development stage.</w:t>
      </w:r>
    </w:p>
    <w:p w14:paraId="2188628E" w14:textId="723D4BBF" w:rsidR="00DD0B48" w:rsidRPr="00472631" w:rsidRDefault="00DD0B48" w:rsidP="00DD0B48">
      <w:pPr>
        <w:spacing w:line="360" w:lineRule="auto"/>
        <w:ind w:firstLine="709"/>
        <w:jc w:val="both"/>
        <w:rPr>
          <w:rFonts w:ascii="Times New Roman" w:hAnsi="Times New Roman" w:cs="Times New Roman"/>
          <w:color w:val="FF0000"/>
          <w:sz w:val="20"/>
          <w:szCs w:val="20"/>
        </w:rPr>
      </w:pPr>
      <w:r w:rsidRPr="00472631">
        <w:rPr>
          <w:rFonts w:ascii="Times New Roman" w:hAnsi="Times New Roman" w:cs="Times New Roman"/>
          <w:color w:val="FF0000"/>
          <w:sz w:val="20"/>
          <w:szCs w:val="20"/>
        </w:rPr>
        <w:t xml:space="preserve">For grain, straw and roots we used a carbon content of 45% to convert the respective biomasses into carbon masses </w:t>
      </w:r>
      <w:r w:rsidRPr="00472631">
        <w:rPr>
          <w:rFonts w:ascii="Times New Roman" w:hAnsi="Times New Roman" w:cs="Times New Roman"/>
          <w:color w:val="FF0000"/>
          <w:sz w:val="20"/>
          <w:szCs w:val="20"/>
        </w:rPr>
        <w:fldChar w:fldCharType="begin" w:fldLock="1"/>
      </w:r>
      <w:r w:rsidR="00C4270C" w:rsidRPr="00472631">
        <w:rPr>
          <w:rFonts w:ascii="Times New Roman" w:hAnsi="Times New Roman" w:cs="Times New Roman"/>
          <w:color w:val="FF0000"/>
          <w:sz w:val="20"/>
          <w:szCs w:val="20"/>
        </w:rPr>
        <w:instrText xml:space="preserve">ADDIN CSL_CITATION {"citationItems":[{"id":"ITEM-1","itemData":{"DOI":"10.1016/j.agee.2006.05.013","ISSN":"01678809","abstract":"The current interest in characterizing, predicting and managing soil C dynamics has focused attention on making estimates of C inputs to soil more accurate and precise. Net primary productivity (NPP) provides the inputs of carbon (C) in ecosystems and determines the amount of photosynthetically fixed C that can potentially be sequestered in soil organic matter. We present a method for estimating NPP and annual C inputs to soil for some common Canadian agroecosystems, using a series of plant C allocation coefficients for each crop type across the country. The root-derived C in these coefficients was estimated by reviewing studies reporting information on plant shoot-to-root (S:R) ratios (n = 168). Mean S:R ratios for annual crops were highest for small-grain cereals (7.4), followed by corn (5.6) and soybeans (5.2), and lowest for forages (1.6). The review also showed considerable uncertainty (coefficient of variation for S:R ratios of </w:instrText>
      </w:r>
      <w:r w:rsidR="00C4270C" w:rsidRPr="00472631">
        <w:rPr>
          <w:rFonts w:ascii="Cambria Math" w:hAnsi="Cambria Math" w:cs="Cambria Math"/>
          <w:color w:val="FF0000"/>
          <w:sz w:val="20"/>
          <w:szCs w:val="20"/>
        </w:rPr>
        <w:instrText>∼</w:instrText>
      </w:r>
      <w:r w:rsidR="00C4270C" w:rsidRPr="00472631">
        <w:rPr>
          <w:rFonts w:ascii="Times New Roman" w:hAnsi="Times New Roman" w:cs="Times New Roman"/>
          <w:color w:val="FF0000"/>
          <w:sz w:val="20"/>
          <w:szCs w:val="20"/>
        </w:rPr>
        <w:instrText xml:space="preserve">50% for annual crops and </w:instrText>
      </w:r>
      <w:r w:rsidR="00C4270C" w:rsidRPr="00472631">
        <w:rPr>
          <w:rFonts w:ascii="Cambria Math" w:hAnsi="Cambria Math" w:cs="Cambria Math"/>
          <w:color w:val="FF0000"/>
          <w:sz w:val="20"/>
          <w:szCs w:val="20"/>
        </w:rPr>
        <w:instrText>∼</w:instrText>
      </w:r>
      <w:r w:rsidR="00C4270C" w:rsidRPr="00472631">
        <w:rPr>
          <w:rFonts w:ascii="Times New Roman" w:hAnsi="Times New Roman" w:cs="Times New Roman"/>
          <w:color w:val="FF0000"/>
          <w:sz w:val="20"/>
          <w:szCs w:val="20"/>
        </w:rPr>
        <w:instrText>75% for perennial forages) in estimating below-ground NPP (BNPP) in agroecosystems; uncertainty was similar to that for Canadian boreal forests. The BNPP (including extra-root C) was lower for annual crops (</w:instrText>
      </w:r>
      <w:r w:rsidR="00C4270C" w:rsidRPr="00472631">
        <w:rPr>
          <w:rFonts w:ascii="Cambria Math" w:hAnsi="Cambria Math" w:cs="Cambria Math"/>
          <w:color w:val="FF0000"/>
          <w:sz w:val="20"/>
          <w:szCs w:val="20"/>
        </w:rPr>
        <w:instrText>∼</w:instrText>
      </w:r>
      <w:r w:rsidR="00C4270C" w:rsidRPr="00472631">
        <w:rPr>
          <w:rFonts w:ascii="Times New Roman" w:hAnsi="Times New Roman" w:cs="Times New Roman"/>
          <w:color w:val="FF0000"/>
          <w:sz w:val="20"/>
          <w:szCs w:val="20"/>
        </w:rPr>
        <w:instrText>20% of NPP) than for perennial forages (</w:instrText>
      </w:r>
      <w:r w:rsidR="00C4270C" w:rsidRPr="00472631">
        <w:rPr>
          <w:rFonts w:ascii="Cambria Math" w:hAnsi="Cambria Math" w:cs="Cambria Math"/>
          <w:color w:val="FF0000"/>
          <w:sz w:val="20"/>
          <w:szCs w:val="20"/>
        </w:rPr>
        <w:instrText>∼</w:instrText>
      </w:r>
      <w:r w:rsidR="00C4270C" w:rsidRPr="00472631">
        <w:rPr>
          <w:rFonts w:ascii="Times New Roman" w:hAnsi="Times New Roman" w:cs="Times New Roman"/>
          <w:color w:val="FF0000"/>
          <w:sz w:val="20"/>
          <w:szCs w:val="20"/>
        </w:rPr>
        <w:instrText>50%). The latter was similar to estimates for relative below-ground C allocation in other Canadian natural ecosystems such as mixed grasslands and forests. The proposed method is easy to use, specific for particular crops, management practices, and driven by agronomic yields. It can be readily up-dated with new experimental results and measurements of parameters used to quantify the accumulation and distribution of photosynthetically fixed C in different types of crops. © 2006 Elsevier B.V. All rights reserved.","author":[{"dropping-particle":"","family":"Bolinder","given":"M. A.","non-dropping-particle":"","parse-names":false,"suffix":""},{"dropping-particle":"","family":"Janzen","given":"H. H.","non-dropping-particle":"","parse-names":false,"suffix":""},{"dropping-particle":"","family":"Gregorich","given":"E. G.","non-dropping-particle":"","parse-names":false,"suffix":""},{"dropping-particle":"","family":"Angers","given":"D. A.","non-dropping-particle":"","parse-names":false,"suffix":""},{"dropping-particle":"","family":"VandenBygaart","given":"A. J.","non-dropping-particle":"","parse-names":false,"suffix":""}],"container-title":"Agriculture, Ecosystems and Environment","id":"ITEM-1","issue":"1-4","issued":{"date-parts":[["2007"]]},"page":"29-42","title":"An approach for estimating net primary productivity and annual carbon inputs to soil for common agricultural crops in Canada","type":"article-journal","volume":"118"},"uris":["http://www.mendeley.com/documents/?uuid=4532dcf8-3a97-4b8b-9156-d424a2cd3243"]}],"mendeley":{"formattedCitation":"(Bolinder et al., 2007)","plainTextFormattedCitation":"(Bolinder et al., 2007)","previouslyFormattedCitation":"(Bolinder et al., 2007)"},"properties":{"noteIndex":0},"schema":"https://github.com/citation-style-language/schema/raw/master/csl-citation.json"}</w:instrText>
      </w:r>
      <w:r w:rsidRPr="00472631">
        <w:rPr>
          <w:rFonts w:ascii="Times New Roman" w:hAnsi="Times New Roman" w:cs="Times New Roman"/>
          <w:color w:val="FF0000"/>
          <w:sz w:val="20"/>
          <w:szCs w:val="20"/>
        </w:rPr>
        <w:fldChar w:fldCharType="separate"/>
      </w:r>
      <w:r w:rsidRPr="00472631">
        <w:rPr>
          <w:rFonts w:ascii="Times New Roman" w:hAnsi="Times New Roman" w:cs="Times New Roman"/>
          <w:noProof/>
          <w:color w:val="FF0000"/>
          <w:sz w:val="20"/>
          <w:szCs w:val="20"/>
        </w:rPr>
        <w:t>(Bolinder et al., 2007)</w:t>
      </w:r>
      <w:r w:rsidRPr="00472631">
        <w:rPr>
          <w:rFonts w:ascii="Times New Roman" w:hAnsi="Times New Roman" w:cs="Times New Roman"/>
          <w:color w:val="FF0000"/>
          <w:sz w:val="20"/>
          <w:szCs w:val="20"/>
        </w:rPr>
        <w:fldChar w:fldCharType="end"/>
      </w:r>
      <w:r w:rsidRPr="00472631">
        <w:rPr>
          <w:rFonts w:ascii="Times New Roman" w:hAnsi="Times New Roman" w:cs="Times New Roman"/>
          <w:color w:val="FF0000"/>
          <w:sz w:val="20"/>
          <w:szCs w:val="20"/>
        </w:rPr>
        <w:t xml:space="preserve">. Root exudates was not quantified in our field experiment </w:t>
      </w:r>
      <w:r w:rsidRPr="00472631">
        <w:rPr>
          <w:rFonts w:ascii="Times New Roman" w:hAnsi="Times New Roman" w:cs="Times New Roman"/>
          <w:color w:val="FF0000"/>
          <w:sz w:val="20"/>
          <w:szCs w:val="20"/>
        </w:rPr>
        <w:fldChar w:fldCharType="begin" w:fldLock="1"/>
      </w:r>
      <w:r w:rsidRPr="00472631">
        <w:rPr>
          <w:rFonts w:ascii="Times New Roman" w:hAnsi="Times New Roman" w:cs="Times New Roman"/>
          <w:color w:val="FF0000"/>
          <w:sz w:val="20"/>
          <w:szCs w:val="20"/>
        </w:rPr>
        <w:instrText>ADDIN CSL_CITATION {"citationItems":[{"id":"ITEM-1","itemData":{"DOI":"10.1007/s11104-023-06068-6","ISBN":"0123456789","ISSN":"15735036","abstract":"Background and aims: Soil carbon sequestration can play an important role in mitigating climate change. Higher organic C inputs to agricultural soils are needed in order to increase soil organic carbon (SOC) stocks. Genotype selection and breeding towards increased root biomass may enhance root C inputs to the soil and could therefore be a promising, easy-to-implement management option for potentially increasing C sequestration. However, an increase in root C inputs may compromise yield, which is not desirable in terms of food security. Methods: Data from 13 global studies with field experiments were compiled in order to estimate the potential of optimised genotype selection for enhancing root biomass without compromising the yield of winter wheat, spring wheat, silage maize, winter rapeseed and sunflower. A lack of data on the effect of variety on rhizodeposition was identified which thus had to be excluded. Results: Systematic genotype selection increased mean yields by 52% and mean root biomass by 22% across all crops and sites. A median root C increase of 6.7% for spring wheat, 6.8% for winter rapeseed, 12.2% for silage maize, 21.6% for winter wheat and 26.4% for sunflower would be possible without a yield reduction. Conclusion: Overall, this review demonstrates that optimised genotype selection can be a win-win option for increasing root biomass C input to soil while maintaining or even enhancing yield.","author":[{"dropping-particle":"","family":"Heinemann","given":"Henrike","non-dropping-particle":"","parse-names":false,"suffix":""},{"dropping-particle":"","family":"Hirte","given":"Juliane","non-dropping-particle":"","parse-names":false,"suffix":""},{"dropping-particle":"","family":"Seidel","given":"Felix","non-dropping-particle":"","parse-names":false,"suffix":""},{"dropping-particle":"","family":"Don","given":"Axel","non-dropping-particle":"","parse-names":false,"suffix":""}],"container-title":"Plant and Soil","id":"ITEM-1","issue":"1-2","issued":{"date-parts":[["2023"]]},"page":"19-30","publisher":"Springer International Publishing","title":"Increasing root biomass derived carbon input to agricultural soils by genotype selection – a review","type":"article-journal","volume":"490"},"uris":["http://www.mendeley.com/documents/?uuid=72b160b9-a06f-4926-ae15-8907f99cb2df"]}],"mendeley":{"formattedCitation":"(Heinemann et al., 2023)","plainTextFormattedCitation":"(Heinemann et al., 2023)","previouslyFormattedCitation":"(Heinemann et al., 2023)"},"properties":{"noteIndex":0},"schema":"https://github.com/citation-style-language/schema/raw/master/csl-citation.json"}</w:instrText>
      </w:r>
      <w:r w:rsidRPr="00472631">
        <w:rPr>
          <w:rFonts w:ascii="Times New Roman" w:hAnsi="Times New Roman" w:cs="Times New Roman"/>
          <w:color w:val="FF0000"/>
          <w:sz w:val="20"/>
          <w:szCs w:val="20"/>
        </w:rPr>
        <w:fldChar w:fldCharType="separate"/>
      </w:r>
      <w:r w:rsidRPr="00472631">
        <w:rPr>
          <w:rFonts w:ascii="Times New Roman" w:hAnsi="Times New Roman" w:cs="Times New Roman"/>
          <w:noProof/>
          <w:color w:val="FF0000"/>
          <w:sz w:val="20"/>
          <w:szCs w:val="20"/>
        </w:rPr>
        <w:t>(Heinemann et al., 2023)</w:t>
      </w:r>
      <w:r w:rsidRPr="00472631">
        <w:rPr>
          <w:rFonts w:ascii="Times New Roman" w:hAnsi="Times New Roman" w:cs="Times New Roman"/>
          <w:color w:val="FF0000"/>
          <w:sz w:val="20"/>
          <w:szCs w:val="20"/>
        </w:rPr>
        <w:fldChar w:fldCharType="end"/>
      </w:r>
      <w:r w:rsidRPr="00472631">
        <w:rPr>
          <w:rFonts w:ascii="Times New Roman" w:hAnsi="Times New Roman" w:cs="Times New Roman"/>
          <w:color w:val="FF0000"/>
          <w:sz w:val="20"/>
          <w:szCs w:val="20"/>
        </w:rPr>
        <w:t>. In essence, our calculated belowground root biomass represents the minimum C input into subsoils.</w:t>
      </w:r>
    </w:p>
    <w:p w14:paraId="787363E0" w14:textId="77777777" w:rsidR="007163EA" w:rsidRPr="00DF0492" w:rsidRDefault="007163EA" w:rsidP="007163EA">
      <w:pPr>
        <w:spacing w:line="360" w:lineRule="auto"/>
        <w:ind w:firstLine="709"/>
        <w:jc w:val="both"/>
        <w:rPr>
          <w:rFonts w:ascii="Times New Roman" w:hAnsi="Times New Roman" w:cs="Times New Roman"/>
          <w:sz w:val="20"/>
          <w:szCs w:val="20"/>
        </w:rPr>
      </w:pPr>
    </w:p>
    <w:p w14:paraId="7DCB807B" w14:textId="1EB3A7EE" w:rsidR="007163EA" w:rsidRPr="007163EA" w:rsidRDefault="007163EA" w:rsidP="007163EA">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2.6 Unsupervised and supervised machine learning (ML)</w:t>
      </w:r>
    </w:p>
    <w:p w14:paraId="030CF57C" w14:textId="43A4F03E"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 xml:space="preserve">Principal component analysis (PCA) was performed via </w:t>
      </w:r>
      <w:proofErr w:type="spellStart"/>
      <w:r w:rsidRPr="00DF0492">
        <w:rPr>
          <w:rFonts w:ascii="Times New Roman" w:hAnsi="Times New Roman" w:cs="Times New Roman"/>
          <w:sz w:val="20"/>
          <w:szCs w:val="20"/>
        </w:rPr>
        <w:t>Scikit</w:t>
      </w:r>
      <w:proofErr w:type="spellEnd"/>
      <w:r w:rsidRPr="00DF0492">
        <w:rPr>
          <w:rFonts w:ascii="Times New Roman" w:hAnsi="Times New Roman" w:cs="Times New Roman"/>
          <w:sz w:val="20"/>
          <w:szCs w:val="20"/>
        </w:rPr>
        <w:t>-Learn package in Python</w:t>
      </w:r>
      <w:r w:rsidR="006A45EA">
        <w:rPr>
          <w:rFonts w:ascii="Times New Roman" w:hAnsi="Times New Roman" w:cs="Times New Roman"/>
          <w:sz w:val="20"/>
          <w:szCs w:val="20"/>
        </w:rPr>
        <w:t xml:space="preserve"> </w:t>
      </w: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CSL_CITATION {"citationItems":[{"id":"ITEM-1","itemData":{"ISSN":"15529924","PMID":"31557052","author":[{"dropping-particle":"","family":"Pedregosa","given":"F","non-dropping-particle":"","parse-names":false,"suffix":""},{"dropping-particle":"","family":"Varoquaux","given":"G","non-dropping-particle":"","parse-names":false,"suffix":""},{"dropping-particle":"","family":"Gramfort","given":"A","non-dropping-particle":"","parse-names":false,"suffix":""},{"dropping-particle":"","family":"Michel","given":"V","non-dropping-particle":"","parse-names":false,"suffix":""},{"dropping-particle":"","family":"Thirion","given":"B","non-dropping-particle":"","parse-names":false,"suffix":""},{"dropping-particle":"","family":"Grisel","given":"Ol","non-dropping-particle":"","parse-names":false,"suffix":""},{"dropping-particle":"","family":"Blondel","given":"M","non-dropping-particle":"","parse-names":false,"suffix":""},{"dropping-particle":"","family":"Prettenhofer","given":"P","non-dropping-particle":"","parse-names":false,"suffix":""},{"dropping-particle":"","family":"Weiss","given":"R","non-dropping-particle":"","parse-names":false,"suffix":""},{"dropping-particle":"","family":"Dubourg","given":"V","non-dropping-particle":"","parse-names":false,"suffix":""},{"dropping-particle":"","family":"Vanderplas","given":"J","non-dropping-particle":"","parse-names":false,"suffix":""},{"dropping-particle":"","family":"Passos","given":"A","non-dropping-particle":"","parse-names":false,"suffix":""},{"dropping-particle":"","family":"Cournapeau","given":"D","non-dropping-particle":"","parse-names":false,"suffix":""},{"dropping-particle":"","family":"Brucher","given":"M","non-dropping-particle":"","parse-names":false,"suffix":""},{"dropping-particle":"","family":"Perrot","given":"M","non-dropping-particle":"","parse-names":false,"suffix":""},{"dropping-particle":"","family":"Douchesnay","given":"É","non-dropping-particle":"","parse-names":false,"suffix":""}],"container-title":"Journal ofMachine Learning Research","id":"ITEM-1","issued":{"date-parts":[["2011"]]},"page":"2825-2830","title":"Scikit-learn: Machine Learning in Python Fabian","type":"article-journal","volume":"12"},"uris":["http://www.mendeley.com/documents/?uuid=4a909d82-5b22-4540-93dc-32b0cfde3091"]}],"mendeley":{"formattedCitation":"(Pedregosa et al., 2011)","plainTextFormattedCitation":"(Pedregosa et al., 2011)","previouslyFormattedCitation":"(Pedregosa et al., 2011)"},"properties":{"noteIndex":0},"schema":"https://github.com/citation-style-language/schema/raw/master/csl-citation.json"}</w:instrText>
      </w:r>
      <w:r w:rsidRPr="00DF0492">
        <w:rPr>
          <w:rFonts w:ascii="Times New Roman" w:hAnsi="Times New Roman" w:cs="Times New Roman"/>
          <w:sz w:val="20"/>
          <w:szCs w:val="20"/>
        </w:rPr>
        <w:fldChar w:fldCharType="separate"/>
      </w:r>
      <w:r w:rsidRPr="00DF0492">
        <w:rPr>
          <w:rFonts w:ascii="Times New Roman" w:hAnsi="Times New Roman" w:cs="Times New Roman"/>
          <w:noProof/>
          <w:sz w:val="20"/>
          <w:szCs w:val="20"/>
        </w:rPr>
        <w:t>(Pedregosa et al., 2011)</w:t>
      </w:r>
      <w:r w:rsidRPr="00DF0492">
        <w:rPr>
          <w:rFonts w:ascii="Times New Roman" w:hAnsi="Times New Roman" w:cs="Times New Roman"/>
          <w:sz w:val="20"/>
          <w:szCs w:val="20"/>
        </w:rPr>
        <w:fldChar w:fldCharType="end"/>
      </w:r>
      <w:r w:rsidRPr="00DF0492">
        <w:rPr>
          <w:rFonts w:ascii="Times New Roman" w:hAnsi="Times New Roman" w:cs="Times New Roman"/>
          <w:sz w:val="20"/>
          <w:szCs w:val="20"/>
        </w:rPr>
        <w:t xml:space="preserve">. The clustering of data, variable loadings and their relationships were evaluated. Two principal components were selected and the total variance explained by each component </w:t>
      </w:r>
      <w:r w:rsidRPr="00DB5899">
        <w:rPr>
          <w:rFonts w:ascii="Times New Roman" w:hAnsi="Times New Roman" w:cs="Times New Roman"/>
          <w:sz w:val="20"/>
          <w:szCs w:val="20"/>
        </w:rPr>
        <w:t>(soil density, pH, CaCO</w:t>
      </w:r>
      <w:r w:rsidRPr="00DB5899">
        <w:rPr>
          <w:rFonts w:ascii="Times New Roman" w:hAnsi="Times New Roman" w:cs="Times New Roman"/>
          <w:sz w:val="20"/>
          <w:szCs w:val="20"/>
          <w:vertAlign w:val="subscript"/>
        </w:rPr>
        <w:t>3</w:t>
      </w:r>
      <w:r w:rsidRPr="00DB5899">
        <w:rPr>
          <w:rFonts w:ascii="Times New Roman" w:hAnsi="Times New Roman" w:cs="Times New Roman"/>
          <w:sz w:val="20"/>
          <w:szCs w:val="20"/>
        </w:rPr>
        <w:t xml:space="preserve">, root diameter, </w:t>
      </w:r>
      <w:r w:rsidR="00F95038" w:rsidRPr="00DB5899">
        <w:rPr>
          <w:rFonts w:ascii="Times New Roman" w:hAnsi="Times New Roman" w:cs="Times New Roman"/>
          <w:sz w:val="20"/>
          <w:szCs w:val="20"/>
        </w:rPr>
        <w:t>SO</w:t>
      </w:r>
      <w:r w:rsidRPr="00DB5899">
        <w:rPr>
          <w:rFonts w:ascii="Times New Roman" w:hAnsi="Times New Roman" w:cs="Times New Roman"/>
          <w:sz w:val="20"/>
          <w:szCs w:val="20"/>
        </w:rPr>
        <w:t>C, N</w:t>
      </w:r>
      <w:r w:rsidR="002655C8">
        <w:rPr>
          <w:rFonts w:ascii="Times New Roman" w:hAnsi="Times New Roman" w:cs="Times New Roman"/>
          <w:sz w:val="20"/>
          <w:szCs w:val="20"/>
        </w:rPr>
        <w:t>,</w:t>
      </w:r>
      <w:r w:rsidRPr="00DB5899">
        <w:rPr>
          <w:rFonts w:ascii="Times New Roman" w:hAnsi="Times New Roman" w:cs="Times New Roman"/>
          <w:sz w:val="20"/>
          <w:szCs w:val="20"/>
        </w:rPr>
        <w:t xml:space="preserve"> LAI, IPAR, root </w:t>
      </w:r>
      <w:r w:rsidR="00F95038" w:rsidRPr="00DB5899">
        <w:rPr>
          <w:rFonts w:ascii="Times New Roman" w:hAnsi="Times New Roman" w:cs="Times New Roman"/>
          <w:sz w:val="20"/>
          <w:szCs w:val="20"/>
        </w:rPr>
        <w:t>depth and</w:t>
      </w:r>
      <w:r w:rsidRPr="00DB5899">
        <w:rPr>
          <w:rFonts w:ascii="Times New Roman" w:hAnsi="Times New Roman" w:cs="Times New Roman"/>
          <w:sz w:val="20"/>
          <w:szCs w:val="20"/>
        </w:rPr>
        <w:t xml:space="preserve"> </w:t>
      </w:r>
      <w:r w:rsidR="007E5503" w:rsidRPr="00DB5899">
        <w:rPr>
          <w:rFonts w:ascii="Times New Roman" w:hAnsi="Times New Roman" w:cs="Times New Roman"/>
          <w:sz w:val="20"/>
          <w:szCs w:val="20"/>
        </w:rPr>
        <w:t>available water content (AWC)</w:t>
      </w:r>
      <w:r w:rsidRPr="00DB5899">
        <w:rPr>
          <w:rFonts w:ascii="Times New Roman" w:hAnsi="Times New Roman" w:cs="Times New Roman"/>
          <w:sz w:val="20"/>
          <w:szCs w:val="20"/>
        </w:rPr>
        <w:t>) was quantified. Based</w:t>
      </w:r>
      <w:r w:rsidRPr="00DF0492">
        <w:rPr>
          <w:rFonts w:ascii="Times New Roman" w:hAnsi="Times New Roman" w:cs="Times New Roman"/>
          <w:sz w:val="20"/>
          <w:szCs w:val="20"/>
        </w:rPr>
        <w:t xml:space="preserve"> on this exploration, we defined a set of variables to perform the yield prediction by random forest resemblance algorithm.</w:t>
      </w:r>
    </w:p>
    <w:p w14:paraId="233240D5" w14:textId="2743D3F4"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Data-driven machine learning technique was employed to analyze the importance of each feature on the output. Therefore, the independent variables (features) were defined as IPAR, soil water, soil plot and wheat cultivar to explain the output measured by root biomass (dependent variable). A total of 30% of the samples were used to train the multiple output regression random forest ensemble learning algorithm</w:t>
      </w:r>
      <w:r w:rsidR="006A45EA">
        <w:rPr>
          <w:rFonts w:ascii="Times New Roman" w:hAnsi="Times New Roman" w:cs="Times New Roman"/>
          <w:sz w:val="20"/>
          <w:szCs w:val="20"/>
        </w:rPr>
        <w:t xml:space="preserve"> </w:t>
      </w: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CSL_CITATION {"citationItems":[{"id":"ITEM-1","itemData":{"ISSN":"15529924","PMID":"31557052","author":[{"dropping-particle":"","family":"Pedregosa","given":"F","non-dropping-particle":"","parse-names":false,"suffix":""},{"dropping-particle":"","family":"Varoquaux","given":"G","non-dropping-particle":"","parse-names":false,"suffix":""},{"dropping-particle":"","family":"Gramfort","given":"A","non-dropping-particle":"","parse-names":false,"suffix":""},{"dropping-particle":"","family":"Michel","given":"V","non-dropping-particle":"","parse-names":false,"suffix":""},{"dropping-particle":"","family":"Thirion","given":"B","non-dropping-particle":"","parse-names":false,"suffix":""},{"dropping-particle":"","family":"Grisel","given":"Ol","non-dropping-particle":"","parse-names":false,"suffix":""},{"dropping-particle":"","family":"Blondel","given":"M","non-dropping-particle":"","parse-names":false,"suffix":""},{"dropping-particle":"","family":"Prettenhofer","given":"P","non-dropping-particle":"","parse-names":false,"suffix":""},{"dropping-particle":"","family":"Weiss","given":"R","non-dropping-particle":"","parse-names":false,"suffix":""},{"dropping-particle":"","family":"Dubourg","given":"V","non-dropping-particle":"","parse-names":false,"suffix":""},{"dropping-particle":"","family":"Vanderplas","given":"J","non-dropping-particle":"","parse-names":false,"suffix":""},{"dropping-particle":"","family":"Passos","given":"A","non-dropping-particle":"","parse-names":false,"suffix":""},{"dropping-particle":"","family":"Cournapeau","given":"D","non-dropping-particle":"","parse-names":false,"suffix":""},{"dropping-particle":"","family":"Brucher","given":"M","non-dropping-particle":"","parse-names":false,"suffix":""},{"dropping-particle":"","family":"Perrot","given":"M","non-dropping-particle":"","parse-names":false,"suffix":""},{"dropping-particle":"","family":"Douchesnay","given":"É","non-dropping-particle":"","parse-names":false,"suffix":""}],"container-title":"Journal ofMachine Learning Research","id":"ITEM-1","issued":{"date-parts":[["2011"]]},"page":"2825-2830","title":"Scikit-learn: Machine Learning in Python Fabian","type":"article-journal","volume":"12"},"uris":["http://www.mendeley.com/documents/?uuid=4a909d82-5b22-4540-93dc-32b0cfde3091"]}],"mendeley":{"formattedCitation":"(Pedregosa et al., 2011)","plainTextFormattedCitation":"(Pedregosa et al., 2011)","previouslyFormattedCitation":"(Pedregosa et al., 2011)"},"properties":{"noteIndex":0},"schema":"https://github.com/citation-style-language/schema/raw/master/csl-citation.json"}</w:instrText>
      </w:r>
      <w:r w:rsidRPr="00DF0492">
        <w:rPr>
          <w:rFonts w:ascii="Times New Roman" w:hAnsi="Times New Roman" w:cs="Times New Roman"/>
          <w:sz w:val="20"/>
          <w:szCs w:val="20"/>
        </w:rPr>
        <w:fldChar w:fldCharType="separate"/>
      </w:r>
      <w:r w:rsidRPr="00DF0492">
        <w:rPr>
          <w:rFonts w:ascii="Times New Roman" w:hAnsi="Times New Roman" w:cs="Times New Roman"/>
          <w:noProof/>
          <w:sz w:val="20"/>
          <w:szCs w:val="20"/>
        </w:rPr>
        <w:t>(Pedregosa et al., 2011)</w:t>
      </w:r>
      <w:r w:rsidRPr="00DF0492">
        <w:rPr>
          <w:rFonts w:ascii="Times New Roman" w:hAnsi="Times New Roman" w:cs="Times New Roman"/>
          <w:sz w:val="20"/>
          <w:szCs w:val="20"/>
        </w:rPr>
        <w:fldChar w:fldCharType="end"/>
      </w:r>
      <w:r w:rsidRPr="00DF0492">
        <w:rPr>
          <w:rFonts w:ascii="Times New Roman" w:hAnsi="Times New Roman" w:cs="Times New Roman"/>
          <w:sz w:val="20"/>
          <w:szCs w:val="20"/>
        </w:rPr>
        <w:t xml:space="preserve">. The trained algorithm was used to </w:t>
      </w:r>
      <w:r w:rsidRPr="00DF0492">
        <w:rPr>
          <w:rFonts w:ascii="Times New Roman" w:hAnsi="Times New Roman" w:cs="Times New Roman"/>
          <w:sz w:val="20"/>
          <w:szCs w:val="20"/>
        </w:rPr>
        <w:lastRenderedPageBreak/>
        <w:t xml:space="preserve">predict new data combining variables and output. For the assessment of the regression algorithm </w:t>
      </w: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CSL_CITATION {"citationItems":[{"id":"ITEM-1","itemData":{"author":[{"dropping-particle":"","family":"Geron","given":"A.","non-dropping-particle":"","parse-names":false,"suffix":""}],"edition":"Inc","id":"ITEM-1","issued":{"date-parts":[["2017"]]},"publisher":"O'Reilly Media","publisher-place":"USA","title":"Hands-On Machine Learning with Scikit-Learn and TensorFlow","type":"book"},"uris":["http://www.mendeley.com/documents/?uuid=8f95d9f7-f67c-4c7c-8b8f-61aae067d7b0"]}],"mendeley":{"formattedCitation":"(Geron, 2017)","plainTextFormattedCitation":"(Geron, 2017)","previouslyFormattedCitation":"(Geron, 2017)"},"properties":{"noteIndex":0},"schema":"https://github.com/citation-style-language/schema/raw/master/csl-citation.json"}</w:instrText>
      </w:r>
      <w:r w:rsidRPr="00DF0492">
        <w:rPr>
          <w:rFonts w:ascii="Times New Roman" w:hAnsi="Times New Roman" w:cs="Times New Roman"/>
          <w:sz w:val="20"/>
          <w:szCs w:val="20"/>
        </w:rPr>
        <w:fldChar w:fldCharType="separate"/>
      </w:r>
      <w:r w:rsidRPr="00DF0492">
        <w:rPr>
          <w:rFonts w:ascii="Times New Roman" w:hAnsi="Times New Roman" w:cs="Times New Roman"/>
          <w:noProof/>
          <w:sz w:val="20"/>
          <w:szCs w:val="20"/>
        </w:rPr>
        <w:t>(Geron, 2017)</w:t>
      </w:r>
      <w:r w:rsidRPr="00DF0492">
        <w:rPr>
          <w:rFonts w:ascii="Times New Roman" w:hAnsi="Times New Roman" w:cs="Times New Roman"/>
          <w:sz w:val="20"/>
          <w:szCs w:val="20"/>
        </w:rPr>
        <w:fldChar w:fldCharType="end"/>
      </w:r>
      <w:r w:rsidRPr="00DF0492">
        <w:rPr>
          <w:rFonts w:ascii="Times New Roman" w:hAnsi="Times New Roman" w:cs="Times New Roman"/>
          <w:sz w:val="20"/>
          <w:szCs w:val="20"/>
        </w:rPr>
        <w:t xml:space="preserve"> the metrics were: 1) coefficient of determination R2-score, which is the proportion of the variance in the output that is predictable from the variable (the best possible score is 1.0) and 2) Mean Absolute Percentage Error (MAPE), which finds all absolute errors (xi – x), adds them all and divide by the number of errors. In random forest </w:t>
      </w:r>
      <w:proofErr w:type="spellStart"/>
      <w:r w:rsidRPr="00DF0492">
        <w:rPr>
          <w:rFonts w:ascii="Times New Roman" w:hAnsi="Times New Roman" w:cs="Times New Roman"/>
          <w:sz w:val="20"/>
          <w:szCs w:val="20"/>
        </w:rPr>
        <w:t>regressor</w:t>
      </w:r>
      <w:proofErr w:type="spellEnd"/>
      <w:r w:rsidRPr="00DF0492">
        <w:rPr>
          <w:rFonts w:ascii="Times New Roman" w:hAnsi="Times New Roman" w:cs="Times New Roman"/>
          <w:sz w:val="20"/>
          <w:szCs w:val="20"/>
        </w:rPr>
        <w:t xml:space="preserve">, the depth of 100 was used as a decision node in a tree can be used to assess the relative importance of that variable in predicting the output with 1000 estimators. For this calculation, whose values are positive and sum to 1.0, the higher the value, the more important is the contribution of the variable to the prediction function. The mean decrease impurity method available in </w:t>
      </w:r>
      <w:proofErr w:type="spellStart"/>
      <w:r w:rsidRPr="00DF0492">
        <w:rPr>
          <w:rFonts w:ascii="Times New Roman" w:hAnsi="Times New Roman" w:cs="Times New Roman"/>
          <w:sz w:val="20"/>
          <w:szCs w:val="20"/>
        </w:rPr>
        <w:t>scikit</w:t>
      </w:r>
      <w:proofErr w:type="spellEnd"/>
      <w:r w:rsidRPr="00DF0492">
        <w:rPr>
          <w:rFonts w:ascii="Times New Roman" w:hAnsi="Times New Roman" w:cs="Times New Roman"/>
          <w:sz w:val="20"/>
          <w:szCs w:val="20"/>
        </w:rPr>
        <w:t>-learn was applied for each output.</w:t>
      </w:r>
    </w:p>
    <w:p w14:paraId="59EDFA5B" w14:textId="77777777"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The trained algorithm was employed to estimate the relationship between IPAR (Intercepted Photosynthetically Active Radiation) and root biomass production across various soil erosion gradients (</w:t>
      </w:r>
      <w:proofErr w:type="spellStart"/>
      <w:r w:rsidRPr="00DF0492">
        <w:rPr>
          <w:rFonts w:ascii="Times New Roman" w:hAnsi="Times New Roman" w:cs="Times New Roman"/>
          <w:sz w:val="20"/>
          <w:szCs w:val="20"/>
        </w:rPr>
        <w:t>Rg</w:t>
      </w:r>
      <w:proofErr w:type="spellEnd"/>
      <w:r w:rsidRPr="00DF0492">
        <w:rPr>
          <w:rFonts w:ascii="Times New Roman" w:hAnsi="Times New Roman" w:cs="Times New Roman"/>
          <w:sz w:val="20"/>
          <w:szCs w:val="20"/>
        </w:rPr>
        <w:t xml:space="preserve">-ca, </w:t>
      </w:r>
      <w:proofErr w:type="spellStart"/>
      <w:r w:rsidRPr="00DF0492">
        <w:rPr>
          <w:rFonts w:ascii="Times New Roman" w:hAnsi="Times New Roman" w:cs="Times New Roman"/>
          <w:sz w:val="20"/>
          <w:szCs w:val="20"/>
        </w:rPr>
        <w:t>Lv</w:t>
      </w:r>
      <w:proofErr w:type="spellEnd"/>
      <w:r w:rsidRPr="00DF0492">
        <w:rPr>
          <w:rFonts w:ascii="Times New Roman" w:hAnsi="Times New Roman" w:cs="Times New Roman"/>
          <w:sz w:val="20"/>
          <w:szCs w:val="20"/>
        </w:rPr>
        <w:t xml:space="preserve">-ng, </w:t>
      </w:r>
      <w:proofErr w:type="spellStart"/>
      <w:r w:rsidRPr="00DF0492">
        <w:rPr>
          <w:rFonts w:ascii="Times New Roman" w:hAnsi="Times New Roman" w:cs="Times New Roman"/>
          <w:sz w:val="20"/>
          <w:szCs w:val="20"/>
        </w:rPr>
        <w:t>Lv</w:t>
      </w:r>
      <w:proofErr w:type="spellEnd"/>
      <w:r w:rsidRPr="00DF0492">
        <w:rPr>
          <w:rFonts w:ascii="Times New Roman" w:hAnsi="Times New Roman" w:cs="Times New Roman"/>
          <w:sz w:val="20"/>
          <w:szCs w:val="20"/>
        </w:rPr>
        <w:t xml:space="preserve">-cc, and Rg-co.gl) and soil water content levels (18, 21, 24, 27, and 30 cm³ cm⁻³). The estimated maximum root biomass values under each condition were plotted against the corresponding water content. The slope of this linear relationship was then calculated to determine the reduction in root carbon deposition to the soil over the past five years for each erosion gradient, reduced water content scenario, and wheat cultivar. For this, </w:t>
      </w:r>
      <w:proofErr w:type="spellStart"/>
      <w:r w:rsidRPr="00DF0492">
        <w:rPr>
          <w:rFonts w:ascii="Times New Roman" w:hAnsi="Times New Roman" w:cs="Times New Roman"/>
          <w:sz w:val="20"/>
          <w:szCs w:val="20"/>
        </w:rPr>
        <w:t>lysimeter</w:t>
      </w:r>
      <w:proofErr w:type="spellEnd"/>
      <w:r w:rsidRPr="00DF0492">
        <w:rPr>
          <w:rFonts w:ascii="Times New Roman" w:hAnsi="Times New Roman" w:cs="Times New Roman"/>
          <w:sz w:val="20"/>
          <w:szCs w:val="20"/>
        </w:rPr>
        <w:t xml:space="preserve"> data for the </w:t>
      </w:r>
      <w:proofErr w:type="spellStart"/>
      <w:r w:rsidRPr="00DF0492">
        <w:rPr>
          <w:rFonts w:ascii="Times New Roman" w:hAnsi="Times New Roman" w:cs="Times New Roman"/>
          <w:sz w:val="20"/>
          <w:szCs w:val="20"/>
          <w:lang w:val="en-GB"/>
        </w:rPr>
        <w:t>Quillow</w:t>
      </w:r>
      <w:proofErr w:type="spellEnd"/>
      <w:r w:rsidRPr="00DF0492">
        <w:rPr>
          <w:rFonts w:ascii="Times New Roman" w:hAnsi="Times New Roman" w:cs="Times New Roman"/>
          <w:sz w:val="20"/>
          <w:szCs w:val="20"/>
          <w:lang w:val="en-GB"/>
        </w:rPr>
        <w:t xml:space="preserve"> catchment</w:t>
      </w:r>
      <w:r w:rsidRPr="00DF0492">
        <w:rPr>
          <w:rFonts w:ascii="Times New Roman" w:hAnsi="Times New Roman" w:cs="Times New Roman"/>
          <w:sz w:val="20"/>
          <w:szCs w:val="20"/>
        </w:rPr>
        <w:t xml:space="preserve"> was used (BONARES repository).</w:t>
      </w:r>
    </w:p>
    <w:p w14:paraId="19AA50C6" w14:textId="77777777" w:rsidR="007163EA" w:rsidRPr="00DF0492" w:rsidRDefault="007163EA" w:rsidP="007163EA">
      <w:pPr>
        <w:spacing w:line="360" w:lineRule="auto"/>
        <w:ind w:firstLine="709"/>
        <w:jc w:val="both"/>
        <w:rPr>
          <w:rFonts w:ascii="Times New Roman" w:hAnsi="Times New Roman" w:cs="Times New Roman"/>
          <w:sz w:val="20"/>
          <w:szCs w:val="20"/>
        </w:rPr>
      </w:pPr>
    </w:p>
    <w:p w14:paraId="35E97BFF" w14:textId="0C360794" w:rsidR="007163EA" w:rsidRPr="007163EA" w:rsidRDefault="007163EA" w:rsidP="007163EA">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2.7 Statistical analyses</w:t>
      </w:r>
    </w:p>
    <w:p w14:paraId="5946A4BA" w14:textId="398CD931" w:rsidR="007163EA" w:rsidRPr="00DF0492" w:rsidRDefault="007163EA" w:rsidP="007163EA">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All statistical analyses were carried out in the R software package</w:t>
      </w:r>
      <w:r w:rsidR="004878B5">
        <w:rPr>
          <w:rFonts w:ascii="Times New Roman" w:hAnsi="Times New Roman" w:cs="Times New Roman"/>
          <w:sz w:val="20"/>
          <w:szCs w:val="20"/>
        </w:rPr>
        <w:t xml:space="preserve"> </w:t>
      </w: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CSL_CITATION {"citationItems":[{"id":"ITEM-1","itemData":{"ISBN":"3-900051-07-0","abstract":"R Core Team (2017). R: A language and environment for statistical computing. R Foundation for Statistical Computing, Vienna, Austria. ISBN 3-900051-07-0, URL http://www.R-project.org/.","author":[{"dropping-particle":"","family":"R Core Team","given":"","non-dropping-particle":"","parse-names":false,"suffix":""}],"container-title":"R Foundation for Statistical Computing, Vienna, Austria.","id":"ITEM-1","issued":{"date-parts":[["2017"]]},"page":"-","title":"R: A Language and Environment for Statistical Computing","type":"article-journal"},"uris":["http://www.mendeley.com/documents/?uuid=be009237-d93e-4232-8dd1-f271d6ed40cc"]}],"mendeley":{"formattedCitation":"(R Core Team, 2017)","plainTextFormattedCitation":"(R Core Team, 2017)","previouslyFormattedCitation":"(R Core Team, 2017)"},"properties":{"noteIndex":0},"schema":"https://github.com/citation-style-language/schema/raw/master/csl-citation.json"}</w:instrText>
      </w:r>
      <w:r w:rsidRPr="00DF0492">
        <w:rPr>
          <w:rFonts w:ascii="Times New Roman" w:hAnsi="Times New Roman" w:cs="Times New Roman"/>
          <w:sz w:val="20"/>
          <w:szCs w:val="20"/>
        </w:rPr>
        <w:fldChar w:fldCharType="separate"/>
      </w:r>
      <w:r w:rsidRPr="00DF0492">
        <w:rPr>
          <w:rFonts w:ascii="Times New Roman" w:hAnsi="Times New Roman" w:cs="Times New Roman"/>
          <w:noProof/>
          <w:sz w:val="20"/>
          <w:szCs w:val="20"/>
        </w:rPr>
        <w:t>(R Core Team, 2017)</w:t>
      </w:r>
      <w:r w:rsidRPr="00DF0492">
        <w:rPr>
          <w:rFonts w:ascii="Times New Roman" w:hAnsi="Times New Roman" w:cs="Times New Roman"/>
          <w:sz w:val="20"/>
          <w:szCs w:val="20"/>
        </w:rPr>
        <w:fldChar w:fldCharType="end"/>
      </w:r>
      <w:r w:rsidRPr="00DF0492">
        <w:rPr>
          <w:rFonts w:ascii="Times New Roman" w:hAnsi="Times New Roman" w:cs="Times New Roman"/>
          <w:sz w:val="20"/>
          <w:szCs w:val="20"/>
        </w:rPr>
        <w:t>. Analyses of differences among treatments were performed using a two-way analysis of variance (ANOVA). Differences between data sets were considered significant at p &lt; 0.01 and p &lt; 0.05 for the feature importance. Tukey’s post hoc test was used.</w:t>
      </w:r>
    </w:p>
    <w:p w14:paraId="11AD3AA5" w14:textId="77777777" w:rsidR="007163EA" w:rsidRPr="00DF0492" w:rsidRDefault="007163EA" w:rsidP="00DF0492">
      <w:pPr>
        <w:spacing w:line="360" w:lineRule="auto"/>
        <w:jc w:val="both"/>
        <w:rPr>
          <w:rFonts w:ascii="Times New Roman" w:hAnsi="Times New Roman" w:cs="Times New Roman"/>
          <w:sz w:val="20"/>
          <w:szCs w:val="20"/>
        </w:rPr>
      </w:pPr>
    </w:p>
    <w:p w14:paraId="33E8E645" w14:textId="7A02D8BA" w:rsidR="00D044BB" w:rsidRPr="00DF0492" w:rsidRDefault="007163EA" w:rsidP="00DF0492">
      <w:pPr>
        <w:spacing w:line="360" w:lineRule="auto"/>
        <w:jc w:val="both"/>
        <w:rPr>
          <w:rFonts w:ascii="Times New Roman" w:hAnsi="Times New Roman" w:cs="Times New Roman"/>
          <w:b/>
          <w:bCs/>
          <w:sz w:val="20"/>
          <w:szCs w:val="20"/>
        </w:rPr>
      </w:pPr>
      <w:r>
        <w:rPr>
          <w:rFonts w:ascii="Times New Roman" w:hAnsi="Times New Roman" w:cs="Times New Roman"/>
          <w:b/>
          <w:bCs/>
          <w:sz w:val="20"/>
          <w:szCs w:val="20"/>
        </w:rPr>
        <w:t xml:space="preserve">3 </w:t>
      </w:r>
      <w:r w:rsidR="00FD72EA" w:rsidRPr="00DF0492">
        <w:rPr>
          <w:rFonts w:ascii="Times New Roman" w:hAnsi="Times New Roman" w:cs="Times New Roman"/>
          <w:b/>
          <w:bCs/>
          <w:sz w:val="20"/>
          <w:szCs w:val="20"/>
        </w:rPr>
        <w:t>Results</w:t>
      </w:r>
    </w:p>
    <w:p w14:paraId="08D6AA3B" w14:textId="77777777" w:rsidR="00D044BB" w:rsidRPr="00DF0492" w:rsidRDefault="00D044BB" w:rsidP="00DF0492">
      <w:pPr>
        <w:spacing w:line="360" w:lineRule="auto"/>
        <w:jc w:val="both"/>
        <w:rPr>
          <w:rFonts w:ascii="Times New Roman" w:hAnsi="Times New Roman" w:cs="Times New Roman"/>
          <w:sz w:val="20"/>
          <w:szCs w:val="20"/>
        </w:rPr>
      </w:pPr>
    </w:p>
    <w:p w14:paraId="6995B73C" w14:textId="21595605" w:rsidR="00DA04E9" w:rsidRPr="007163EA" w:rsidRDefault="007163EA" w:rsidP="00DF0492">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 xml:space="preserve">3.1 </w:t>
      </w:r>
      <w:r w:rsidR="00DA04E9" w:rsidRPr="007163EA">
        <w:rPr>
          <w:rFonts w:ascii="Times New Roman" w:hAnsi="Times New Roman" w:cs="Times New Roman"/>
          <w:b/>
          <w:sz w:val="20"/>
          <w:szCs w:val="20"/>
        </w:rPr>
        <w:t>Root biomass</w:t>
      </w:r>
    </w:p>
    <w:p w14:paraId="2FA366CB" w14:textId="283ECAFE" w:rsidR="00DA04E9" w:rsidRPr="00DF0492" w:rsidRDefault="00DA04E9" w:rsidP="00DF0492">
      <w:pPr>
        <w:spacing w:line="360" w:lineRule="auto"/>
        <w:ind w:firstLine="709"/>
        <w:jc w:val="both"/>
        <w:rPr>
          <w:rFonts w:ascii="Times New Roman" w:hAnsi="Times New Roman" w:cs="Times New Roman"/>
          <w:sz w:val="20"/>
          <w:szCs w:val="20"/>
          <w:lang w:val="en-GB"/>
        </w:rPr>
      </w:pPr>
      <w:r w:rsidRPr="00DF0492">
        <w:rPr>
          <w:rFonts w:ascii="Times New Roman" w:hAnsi="Times New Roman" w:cs="Times New Roman"/>
          <w:sz w:val="20"/>
          <w:szCs w:val="20"/>
          <w:lang w:val="en-GB"/>
        </w:rPr>
        <w:t xml:space="preserve">The overall trend shows a greater root cross-sectional area in </w:t>
      </w:r>
      <w:proofErr w:type="spellStart"/>
      <w:r w:rsidRPr="00DF0492">
        <w:rPr>
          <w:rFonts w:ascii="Times New Roman" w:hAnsi="Times New Roman" w:cs="Times New Roman"/>
          <w:sz w:val="20"/>
          <w:szCs w:val="20"/>
          <w:lang w:val="en-GB"/>
        </w:rPr>
        <w:t>Luvisols</w:t>
      </w:r>
      <w:proofErr w:type="spellEnd"/>
      <w:r w:rsidRPr="00DF0492">
        <w:rPr>
          <w:rFonts w:ascii="Times New Roman" w:hAnsi="Times New Roman" w:cs="Times New Roman"/>
          <w:sz w:val="20"/>
          <w:szCs w:val="20"/>
          <w:lang w:val="en-GB"/>
        </w:rPr>
        <w:t xml:space="preserve"> compared to </w:t>
      </w:r>
      <w:proofErr w:type="spellStart"/>
      <w:r w:rsidRPr="00DF0492">
        <w:rPr>
          <w:rFonts w:ascii="Times New Roman" w:hAnsi="Times New Roman" w:cs="Times New Roman"/>
          <w:sz w:val="20"/>
          <w:szCs w:val="20"/>
          <w:lang w:val="en-GB"/>
        </w:rPr>
        <w:t>Regosols</w:t>
      </w:r>
      <w:proofErr w:type="spellEnd"/>
      <w:r w:rsidRPr="00DF0492">
        <w:rPr>
          <w:rFonts w:ascii="Times New Roman" w:hAnsi="Times New Roman" w:cs="Times New Roman"/>
          <w:sz w:val="20"/>
          <w:szCs w:val="20"/>
          <w:lang w:val="en-GB"/>
        </w:rPr>
        <w:t xml:space="preserve"> (Fig. </w:t>
      </w:r>
      <w:r w:rsidR="00DF558D">
        <w:rPr>
          <w:rFonts w:ascii="Times New Roman" w:hAnsi="Times New Roman" w:cs="Times New Roman"/>
          <w:sz w:val="20"/>
          <w:szCs w:val="20"/>
          <w:lang w:val="en-GB"/>
        </w:rPr>
        <w:t>3</w:t>
      </w:r>
      <w:r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rPr>
        <w:t xml:space="preserve">Specifically, the initial development of the root for all wheat cultivars was hindered </w:t>
      </w:r>
      <w:r w:rsidR="00E53359">
        <w:rPr>
          <w:rFonts w:ascii="Times New Roman" w:hAnsi="Times New Roman" w:cs="Times New Roman"/>
          <w:sz w:val="20"/>
          <w:szCs w:val="20"/>
        </w:rPr>
        <w:t>in the</w:t>
      </w:r>
      <w:r w:rsidR="00E53359" w:rsidRPr="00DF0492">
        <w:rPr>
          <w:rFonts w:ascii="Times New Roman" w:hAnsi="Times New Roman" w:cs="Times New Roman"/>
          <w:sz w:val="20"/>
          <w:szCs w:val="20"/>
        </w:rPr>
        <w:t xml:space="preserve"> </w:t>
      </w:r>
      <w:proofErr w:type="spellStart"/>
      <w:r w:rsidR="00CF1226" w:rsidRPr="00DF0492">
        <w:rPr>
          <w:rFonts w:ascii="Times New Roman" w:hAnsi="Times New Roman" w:cs="Times New Roman"/>
          <w:sz w:val="20"/>
          <w:szCs w:val="20"/>
          <w:lang w:val="en-GB"/>
        </w:rPr>
        <w:t>Calcaric</w:t>
      </w:r>
      <w:proofErr w:type="spellEnd"/>
      <w:r w:rsidR="00CF1226" w:rsidRPr="00DF0492">
        <w:rPr>
          <w:rFonts w:ascii="Times New Roman" w:hAnsi="Times New Roman" w:cs="Times New Roman"/>
          <w:sz w:val="20"/>
          <w:szCs w:val="20"/>
          <w:lang w:val="en-GB"/>
        </w:rPr>
        <w:t xml:space="preserve"> </w:t>
      </w:r>
      <w:proofErr w:type="spellStart"/>
      <w:r w:rsidR="00CF1226" w:rsidRPr="00DF0492">
        <w:rPr>
          <w:rFonts w:ascii="Times New Roman" w:hAnsi="Times New Roman" w:cs="Times New Roman"/>
          <w:sz w:val="20"/>
          <w:szCs w:val="20"/>
          <w:lang w:val="en-GB"/>
        </w:rPr>
        <w:t>Regosol</w:t>
      </w:r>
      <w:proofErr w:type="spellEnd"/>
      <w:r w:rsidR="00CF1226" w:rsidRPr="00DF0492">
        <w:rPr>
          <w:rFonts w:ascii="Times New Roman" w:hAnsi="Times New Roman" w:cs="Times New Roman"/>
          <w:sz w:val="20"/>
          <w:szCs w:val="20"/>
          <w:lang w:val="en-GB"/>
        </w:rPr>
        <w:t xml:space="preserve"> (</w:t>
      </w:r>
      <w:proofErr w:type="spellStart"/>
      <w:r w:rsidR="00CF1226" w:rsidRPr="00DF0492">
        <w:rPr>
          <w:rFonts w:ascii="Times New Roman" w:hAnsi="Times New Roman" w:cs="Times New Roman"/>
          <w:sz w:val="20"/>
          <w:szCs w:val="20"/>
          <w:lang w:val="en-GB"/>
        </w:rPr>
        <w:t>Rg</w:t>
      </w:r>
      <w:proofErr w:type="spellEnd"/>
      <w:r w:rsidR="00CF1226" w:rsidRPr="00DF0492">
        <w:rPr>
          <w:rFonts w:ascii="Times New Roman" w:hAnsi="Times New Roman" w:cs="Times New Roman"/>
          <w:sz w:val="20"/>
          <w:szCs w:val="20"/>
          <w:lang w:val="en-GB"/>
        </w:rPr>
        <w:t xml:space="preserve">-ca) </w:t>
      </w:r>
      <w:r w:rsidRPr="00DF0492">
        <w:rPr>
          <w:rFonts w:ascii="Times New Roman" w:hAnsi="Times New Roman" w:cs="Times New Roman"/>
          <w:sz w:val="20"/>
          <w:szCs w:val="20"/>
          <w:lang w:val="en-GB"/>
        </w:rPr>
        <w:t>due to the very dense glacial till (C horizon) starting at 30</w:t>
      </w:r>
      <w:r w:rsidR="00153BC5"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lang w:val="en-GB"/>
        </w:rPr>
        <w:t>cm depth (</w:t>
      </w:r>
      <w:r w:rsidR="00465BF6">
        <w:rPr>
          <w:rFonts w:ascii="Times New Roman" w:hAnsi="Times New Roman" w:cs="Times New Roman"/>
          <w:sz w:val="20"/>
          <w:szCs w:val="20"/>
          <w:lang w:val="en-GB"/>
        </w:rPr>
        <w:t>Table S1</w:t>
      </w:r>
      <w:r w:rsidR="00153BC5" w:rsidRPr="00DF0492">
        <w:rPr>
          <w:rFonts w:ascii="Times New Roman" w:hAnsi="Times New Roman" w:cs="Times New Roman"/>
          <w:sz w:val="20"/>
          <w:szCs w:val="20"/>
          <w:lang w:val="en-GB"/>
        </w:rPr>
        <w:t xml:space="preserve"> and</w:t>
      </w:r>
      <w:r w:rsidRPr="00DF0492">
        <w:rPr>
          <w:rFonts w:ascii="Times New Roman" w:hAnsi="Times New Roman" w:cs="Times New Roman"/>
          <w:sz w:val="20"/>
          <w:szCs w:val="20"/>
          <w:lang w:val="en-GB"/>
        </w:rPr>
        <w:t xml:space="preserve"> Fig. </w:t>
      </w:r>
      <w:r w:rsidR="00DF558D">
        <w:rPr>
          <w:rFonts w:ascii="Times New Roman" w:hAnsi="Times New Roman" w:cs="Times New Roman"/>
          <w:sz w:val="20"/>
          <w:szCs w:val="20"/>
          <w:lang w:val="en-GB"/>
        </w:rPr>
        <w:t>3)</w:t>
      </w:r>
      <w:r w:rsidRPr="00DF0492">
        <w:rPr>
          <w:rFonts w:ascii="Times New Roman" w:hAnsi="Times New Roman" w:cs="Times New Roman"/>
          <w:sz w:val="20"/>
          <w:szCs w:val="20"/>
          <w:lang w:val="en-GB"/>
        </w:rPr>
        <w:t xml:space="preserve">. At the </w:t>
      </w:r>
      <w:proofErr w:type="spellStart"/>
      <w:r w:rsidRPr="00DF0492">
        <w:rPr>
          <w:rFonts w:ascii="Times New Roman" w:hAnsi="Times New Roman" w:cs="Times New Roman"/>
          <w:sz w:val="20"/>
          <w:szCs w:val="20"/>
          <w:lang w:val="en-GB"/>
        </w:rPr>
        <w:t>Rg</w:t>
      </w:r>
      <w:proofErr w:type="spellEnd"/>
      <w:r w:rsidRPr="00DF0492">
        <w:rPr>
          <w:rFonts w:ascii="Times New Roman" w:hAnsi="Times New Roman" w:cs="Times New Roman"/>
          <w:sz w:val="20"/>
          <w:szCs w:val="20"/>
          <w:lang w:val="en-GB"/>
        </w:rPr>
        <w:t xml:space="preserve">-ca, root biomass was highest around </w:t>
      </w:r>
      <w:r w:rsidR="006208F9" w:rsidRPr="00DF0492">
        <w:rPr>
          <w:rFonts w:ascii="Times New Roman" w:hAnsi="Times New Roman" w:cs="Times New Roman"/>
          <w:sz w:val="20"/>
          <w:szCs w:val="20"/>
          <w:lang w:val="en-GB"/>
        </w:rPr>
        <w:t>BBCH 85</w:t>
      </w:r>
      <w:r w:rsidRPr="00DF0492">
        <w:rPr>
          <w:rFonts w:ascii="Times New Roman" w:hAnsi="Times New Roman" w:cs="Times New Roman"/>
          <w:sz w:val="20"/>
          <w:szCs w:val="20"/>
          <w:lang w:val="en-GB"/>
        </w:rPr>
        <w:t xml:space="preserve">, with </w:t>
      </w:r>
      <w:proofErr w:type="spellStart"/>
      <w:r w:rsidR="00E53359" w:rsidRPr="00DF0492">
        <w:rPr>
          <w:rFonts w:ascii="Times New Roman" w:hAnsi="Times New Roman" w:cs="Times New Roman"/>
          <w:sz w:val="20"/>
          <w:szCs w:val="20"/>
          <w:lang w:val="en-GB"/>
        </w:rPr>
        <w:t>Ostpreu</w:t>
      </w:r>
      <w:r w:rsidR="00E53359">
        <w:rPr>
          <w:rFonts w:ascii="Times New Roman" w:hAnsi="Times New Roman" w:cs="Times New Roman"/>
          <w:sz w:val="20"/>
          <w:szCs w:val="20"/>
          <w:lang w:val="en-GB"/>
        </w:rPr>
        <w:t>ß</w:t>
      </w:r>
      <w:r w:rsidR="00E53359" w:rsidRPr="00DF0492">
        <w:rPr>
          <w:rFonts w:ascii="Times New Roman" w:hAnsi="Times New Roman" w:cs="Times New Roman"/>
          <w:sz w:val="20"/>
          <w:szCs w:val="20"/>
          <w:lang w:val="en-GB"/>
        </w:rPr>
        <w:t>ischer</w:t>
      </w:r>
      <w:proofErr w:type="spellEnd"/>
      <w:r w:rsidR="00E53359" w:rsidRPr="00DF0492">
        <w:rPr>
          <w:rFonts w:ascii="Times New Roman" w:hAnsi="Times New Roman" w:cs="Times New Roman"/>
          <w:sz w:val="20"/>
          <w:szCs w:val="20"/>
          <w:lang w:val="en-GB"/>
        </w:rPr>
        <w:t xml:space="preserve"> </w:t>
      </w:r>
      <w:proofErr w:type="spellStart"/>
      <w:r w:rsidR="00C110E5" w:rsidRPr="00DF0492">
        <w:rPr>
          <w:rFonts w:ascii="Times New Roman" w:hAnsi="Times New Roman" w:cs="Times New Roman"/>
          <w:sz w:val="20"/>
          <w:szCs w:val="20"/>
          <w:lang w:val="en-GB"/>
        </w:rPr>
        <w:t>Eppweizen</w:t>
      </w:r>
      <w:proofErr w:type="spellEnd"/>
      <w:r w:rsidRPr="00DF0492">
        <w:rPr>
          <w:rFonts w:ascii="Times New Roman" w:hAnsi="Times New Roman" w:cs="Times New Roman"/>
          <w:sz w:val="20"/>
          <w:szCs w:val="20"/>
          <w:lang w:val="en-GB"/>
        </w:rPr>
        <w:t xml:space="preserve"> showing slightly higher values (200 g</w:t>
      </w:r>
      <w:r w:rsidR="00027DBD"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lang w:val="en-GB"/>
        </w:rPr>
        <w:t>m</w:t>
      </w:r>
      <w:r w:rsidRPr="00DF0492">
        <w:rPr>
          <w:rFonts w:ascii="Times New Roman" w:hAnsi="Times New Roman" w:cs="Times New Roman"/>
          <w:sz w:val="20"/>
          <w:szCs w:val="20"/>
          <w:vertAlign w:val="superscript"/>
          <w:lang w:val="en-GB"/>
        </w:rPr>
        <w:t>-</w:t>
      </w:r>
      <w:r w:rsidRPr="00DF0492">
        <w:rPr>
          <w:rFonts w:ascii="Times New Roman" w:hAnsi="Times New Roman" w:cs="Times New Roman"/>
          <w:sz w:val="20"/>
          <w:szCs w:val="20"/>
          <w:lang w:val="en-GB"/>
        </w:rPr>
        <w:t>²) than the other cultivars</w:t>
      </w:r>
      <w:r w:rsidR="00DF558D">
        <w:rPr>
          <w:rFonts w:ascii="Times New Roman" w:hAnsi="Times New Roman" w:cs="Times New Roman"/>
          <w:sz w:val="20"/>
          <w:szCs w:val="20"/>
          <w:lang w:val="en-GB"/>
        </w:rPr>
        <w:t xml:space="preserve"> (Figure S2)</w:t>
      </w:r>
      <w:r w:rsidRPr="00DF0492">
        <w:rPr>
          <w:rFonts w:ascii="Times New Roman" w:hAnsi="Times New Roman" w:cs="Times New Roman"/>
          <w:sz w:val="20"/>
          <w:szCs w:val="20"/>
          <w:lang w:val="en-GB"/>
        </w:rPr>
        <w:t xml:space="preserve">. In </w:t>
      </w:r>
      <w:proofErr w:type="spellStart"/>
      <w:r w:rsidR="00CF1226" w:rsidRPr="00DF0492">
        <w:rPr>
          <w:rFonts w:ascii="Times New Roman" w:hAnsi="Times New Roman" w:cs="Times New Roman"/>
          <w:sz w:val="20"/>
          <w:szCs w:val="20"/>
        </w:rPr>
        <w:t>Nudiargic</w:t>
      </w:r>
      <w:proofErr w:type="spellEnd"/>
      <w:r w:rsidR="00CF1226" w:rsidRPr="00DF0492">
        <w:rPr>
          <w:rFonts w:ascii="Times New Roman" w:hAnsi="Times New Roman" w:cs="Times New Roman"/>
          <w:sz w:val="20"/>
          <w:szCs w:val="20"/>
        </w:rPr>
        <w:t xml:space="preserve"> </w:t>
      </w:r>
      <w:proofErr w:type="spellStart"/>
      <w:r w:rsidR="00CF1226" w:rsidRPr="00DF0492">
        <w:rPr>
          <w:rFonts w:ascii="Times New Roman" w:hAnsi="Times New Roman" w:cs="Times New Roman"/>
          <w:sz w:val="20"/>
          <w:szCs w:val="20"/>
        </w:rPr>
        <w:t>Luvisol</w:t>
      </w:r>
      <w:proofErr w:type="spellEnd"/>
      <w:r w:rsidR="00CF1226" w:rsidRPr="00DF0492">
        <w:rPr>
          <w:rFonts w:ascii="Times New Roman" w:hAnsi="Times New Roman" w:cs="Times New Roman"/>
          <w:sz w:val="20"/>
          <w:szCs w:val="20"/>
        </w:rPr>
        <w:t xml:space="preserve"> (</w:t>
      </w:r>
      <w:proofErr w:type="spellStart"/>
      <w:r w:rsidR="00CF1226" w:rsidRPr="00DF0492">
        <w:rPr>
          <w:rFonts w:ascii="Times New Roman" w:hAnsi="Times New Roman" w:cs="Times New Roman"/>
          <w:sz w:val="20"/>
          <w:szCs w:val="20"/>
        </w:rPr>
        <w:t>L</w:t>
      </w:r>
      <w:r w:rsidR="00291CAF" w:rsidRPr="00DF0492">
        <w:rPr>
          <w:rFonts w:ascii="Times New Roman" w:hAnsi="Times New Roman" w:cs="Times New Roman"/>
          <w:sz w:val="20"/>
          <w:szCs w:val="20"/>
        </w:rPr>
        <w:t>v</w:t>
      </w:r>
      <w:proofErr w:type="spellEnd"/>
      <w:r w:rsidR="00CF1226" w:rsidRPr="00DF0492">
        <w:rPr>
          <w:rFonts w:ascii="Times New Roman" w:hAnsi="Times New Roman" w:cs="Times New Roman"/>
          <w:sz w:val="20"/>
          <w:szCs w:val="20"/>
        </w:rPr>
        <w:t>-ng)</w:t>
      </w:r>
      <w:r w:rsidRPr="00DF0492">
        <w:rPr>
          <w:rFonts w:ascii="Times New Roman" w:hAnsi="Times New Roman" w:cs="Times New Roman"/>
          <w:sz w:val="20"/>
          <w:szCs w:val="20"/>
          <w:lang w:val="en-GB"/>
        </w:rPr>
        <w:t xml:space="preserve"> soil, all cultivars </w:t>
      </w:r>
      <w:r w:rsidRPr="00DF0492">
        <w:rPr>
          <w:rFonts w:ascii="Times New Roman" w:hAnsi="Times New Roman" w:cs="Times New Roman"/>
          <w:sz w:val="20"/>
          <w:szCs w:val="20"/>
        </w:rPr>
        <w:t>exhibited</w:t>
      </w:r>
      <w:r w:rsidRPr="00DF0492">
        <w:rPr>
          <w:rFonts w:ascii="Times New Roman" w:hAnsi="Times New Roman" w:cs="Times New Roman"/>
          <w:sz w:val="20"/>
          <w:szCs w:val="20"/>
          <w:lang w:val="en-GB"/>
        </w:rPr>
        <w:t xml:space="preserve"> higher root biomass around</w:t>
      </w:r>
      <w:r w:rsidR="006208F9" w:rsidRPr="00DF0492">
        <w:rPr>
          <w:rFonts w:ascii="Times New Roman" w:hAnsi="Times New Roman" w:cs="Times New Roman"/>
          <w:sz w:val="20"/>
          <w:szCs w:val="20"/>
          <w:lang w:val="en-GB"/>
        </w:rPr>
        <w:t xml:space="preserve"> BBCH 69</w:t>
      </w:r>
      <w:r w:rsidR="003110ED">
        <w:rPr>
          <w:rFonts w:ascii="Times New Roman" w:hAnsi="Times New Roman" w:cs="Times New Roman"/>
          <w:sz w:val="20"/>
          <w:szCs w:val="20"/>
          <w:lang w:val="en-GB"/>
        </w:rPr>
        <w:t xml:space="preserve"> (Fig. 4c)</w:t>
      </w:r>
      <w:r w:rsidRPr="00DF0492">
        <w:rPr>
          <w:rFonts w:ascii="Times New Roman" w:hAnsi="Times New Roman" w:cs="Times New Roman"/>
          <w:sz w:val="20"/>
          <w:szCs w:val="20"/>
          <w:lang w:val="en-GB"/>
        </w:rPr>
        <w:t xml:space="preserve">, with </w:t>
      </w:r>
      <w:proofErr w:type="spellStart"/>
      <w:r w:rsidRPr="00DF0492">
        <w:rPr>
          <w:rFonts w:ascii="Times New Roman" w:hAnsi="Times New Roman" w:cs="Times New Roman"/>
          <w:sz w:val="20"/>
          <w:szCs w:val="20"/>
          <w:lang w:val="en-GB"/>
        </w:rPr>
        <w:t>Ostpreußischer</w:t>
      </w:r>
      <w:proofErr w:type="spellEnd"/>
      <w:r w:rsidRPr="00DF0492">
        <w:rPr>
          <w:rFonts w:ascii="Times New Roman" w:hAnsi="Times New Roman" w:cs="Times New Roman"/>
          <w:sz w:val="20"/>
          <w:szCs w:val="20"/>
          <w:lang w:val="en-GB"/>
        </w:rPr>
        <w:t xml:space="preserve"> leading with approximately 400 g</w:t>
      </w:r>
      <w:r w:rsidR="00291CAF"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lang w:val="en-GB"/>
        </w:rPr>
        <w:t>m</w:t>
      </w:r>
      <w:r w:rsidRPr="00DF0492">
        <w:rPr>
          <w:rFonts w:ascii="Times New Roman" w:hAnsi="Times New Roman" w:cs="Times New Roman"/>
          <w:sz w:val="20"/>
          <w:szCs w:val="20"/>
          <w:vertAlign w:val="superscript"/>
          <w:lang w:val="en-GB"/>
        </w:rPr>
        <w:t>-</w:t>
      </w:r>
      <w:r w:rsidRPr="00DF0492">
        <w:rPr>
          <w:rFonts w:ascii="Times New Roman" w:hAnsi="Times New Roman" w:cs="Times New Roman"/>
          <w:sz w:val="20"/>
          <w:szCs w:val="20"/>
          <w:lang w:val="en-GB"/>
        </w:rPr>
        <w:t xml:space="preserve">². In </w:t>
      </w:r>
      <w:r w:rsidR="00CF1226" w:rsidRPr="00DF0492">
        <w:rPr>
          <w:rFonts w:ascii="Times New Roman" w:hAnsi="Times New Roman" w:cs="Times New Roman"/>
          <w:sz w:val="20"/>
          <w:szCs w:val="20"/>
        </w:rPr>
        <w:t xml:space="preserve">Calcic </w:t>
      </w:r>
      <w:proofErr w:type="spellStart"/>
      <w:r w:rsidR="00CF1226" w:rsidRPr="00DF0492">
        <w:rPr>
          <w:rFonts w:ascii="Times New Roman" w:hAnsi="Times New Roman" w:cs="Times New Roman"/>
          <w:sz w:val="20"/>
          <w:szCs w:val="20"/>
        </w:rPr>
        <w:t>Luvisol</w:t>
      </w:r>
      <w:proofErr w:type="spellEnd"/>
      <w:r w:rsidR="00CF1226" w:rsidRPr="00DF0492">
        <w:rPr>
          <w:rFonts w:ascii="Times New Roman" w:hAnsi="Times New Roman" w:cs="Times New Roman"/>
          <w:sz w:val="20"/>
          <w:szCs w:val="20"/>
        </w:rPr>
        <w:t xml:space="preserve"> (</w:t>
      </w:r>
      <w:proofErr w:type="spellStart"/>
      <w:r w:rsidR="00CF1226" w:rsidRPr="00DF0492">
        <w:rPr>
          <w:rFonts w:ascii="Times New Roman" w:hAnsi="Times New Roman" w:cs="Times New Roman"/>
          <w:sz w:val="20"/>
          <w:szCs w:val="20"/>
        </w:rPr>
        <w:t>L</w:t>
      </w:r>
      <w:r w:rsidR="00291CAF" w:rsidRPr="00DF0492">
        <w:rPr>
          <w:rFonts w:ascii="Times New Roman" w:hAnsi="Times New Roman" w:cs="Times New Roman"/>
          <w:sz w:val="20"/>
          <w:szCs w:val="20"/>
        </w:rPr>
        <w:t>v</w:t>
      </w:r>
      <w:proofErr w:type="spellEnd"/>
      <w:r w:rsidR="00CF1226" w:rsidRPr="00DF0492">
        <w:rPr>
          <w:rFonts w:ascii="Times New Roman" w:hAnsi="Times New Roman" w:cs="Times New Roman"/>
          <w:sz w:val="20"/>
          <w:szCs w:val="20"/>
        </w:rPr>
        <w:t>-cc)</w:t>
      </w:r>
      <w:r w:rsidRPr="00DF0492">
        <w:rPr>
          <w:rFonts w:ascii="Times New Roman" w:hAnsi="Times New Roman" w:cs="Times New Roman"/>
          <w:sz w:val="20"/>
          <w:szCs w:val="20"/>
          <w:lang w:val="en-GB"/>
        </w:rPr>
        <w:t xml:space="preserve">, all cultivars exhibited higher root biomass around </w:t>
      </w:r>
      <w:r w:rsidR="006208F9" w:rsidRPr="00DF0492">
        <w:rPr>
          <w:rFonts w:ascii="Times New Roman" w:hAnsi="Times New Roman" w:cs="Times New Roman"/>
          <w:sz w:val="20"/>
          <w:szCs w:val="20"/>
          <w:lang w:val="en-GB"/>
        </w:rPr>
        <w:t>BBCH 69</w:t>
      </w:r>
      <w:r w:rsidR="003110ED">
        <w:rPr>
          <w:rFonts w:ascii="Times New Roman" w:hAnsi="Times New Roman" w:cs="Times New Roman"/>
          <w:sz w:val="20"/>
          <w:szCs w:val="20"/>
          <w:lang w:val="en-GB"/>
        </w:rPr>
        <w:t xml:space="preserve"> (Fig. 4c)</w:t>
      </w:r>
      <w:r w:rsidRPr="00DF0492">
        <w:rPr>
          <w:rFonts w:ascii="Times New Roman" w:hAnsi="Times New Roman" w:cs="Times New Roman"/>
          <w:sz w:val="20"/>
          <w:szCs w:val="20"/>
          <w:lang w:val="en-GB"/>
        </w:rPr>
        <w:t xml:space="preserve">, with </w:t>
      </w:r>
      <w:proofErr w:type="spellStart"/>
      <w:r w:rsidR="00C110E5" w:rsidRPr="00DF0492">
        <w:rPr>
          <w:rFonts w:ascii="Times New Roman" w:hAnsi="Times New Roman" w:cs="Times New Roman"/>
          <w:sz w:val="20"/>
          <w:szCs w:val="20"/>
          <w:lang w:val="en-GB"/>
        </w:rPr>
        <w:t>Hadmerslebener</w:t>
      </w:r>
      <w:proofErr w:type="spellEnd"/>
      <w:r w:rsidR="00C110E5" w:rsidRPr="00DF0492">
        <w:rPr>
          <w:rFonts w:ascii="Times New Roman" w:hAnsi="Times New Roman" w:cs="Times New Roman"/>
          <w:sz w:val="20"/>
          <w:szCs w:val="20"/>
          <w:lang w:val="en-GB"/>
        </w:rPr>
        <w:t xml:space="preserve"> </w:t>
      </w:r>
      <w:proofErr w:type="spellStart"/>
      <w:r w:rsidR="00C110E5" w:rsidRPr="00DF0492">
        <w:rPr>
          <w:rFonts w:ascii="Times New Roman" w:hAnsi="Times New Roman" w:cs="Times New Roman"/>
          <w:sz w:val="20"/>
          <w:szCs w:val="20"/>
          <w:lang w:val="en-GB"/>
        </w:rPr>
        <w:t>Qualitas</w:t>
      </w:r>
      <w:proofErr w:type="spellEnd"/>
      <w:r w:rsidRPr="00DF0492">
        <w:rPr>
          <w:rFonts w:ascii="Times New Roman" w:hAnsi="Times New Roman" w:cs="Times New Roman"/>
          <w:sz w:val="20"/>
          <w:szCs w:val="20"/>
          <w:lang w:val="en-GB"/>
        </w:rPr>
        <w:t xml:space="preserve"> leading (550 g</w:t>
      </w:r>
      <w:r w:rsidR="00291CAF"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lang w:val="en-GB"/>
        </w:rPr>
        <w:t>m</w:t>
      </w:r>
      <w:r w:rsidRPr="00DF0492">
        <w:rPr>
          <w:rFonts w:ascii="Times New Roman" w:hAnsi="Times New Roman" w:cs="Times New Roman"/>
          <w:sz w:val="20"/>
          <w:szCs w:val="20"/>
          <w:vertAlign w:val="superscript"/>
          <w:lang w:val="en-GB"/>
        </w:rPr>
        <w:t>-</w:t>
      </w:r>
      <w:r w:rsidRPr="00DF0492">
        <w:rPr>
          <w:rFonts w:ascii="Times New Roman" w:hAnsi="Times New Roman" w:cs="Times New Roman"/>
          <w:sz w:val="20"/>
          <w:szCs w:val="20"/>
          <w:lang w:val="en-GB"/>
        </w:rPr>
        <w:t xml:space="preserve">²), then declining sharply after </w:t>
      </w:r>
      <w:r w:rsidR="006208F9" w:rsidRPr="00DF0492">
        <w:rPr>
          <w:rFonts w:ascii="Times New Roman" w:hAnsi="Times New Roman" w:cs="Times New Roman"/>
          <w:sz w:val="20"/>
          <w:szCs w:val="20"/>
          <w:lang w:val="en-GB"/>
        </w:rPr>
        <w:t>BBCH 85</w:t>
      </w:r>
      <w:r w:rsidRPr="00DF0492">
        <w:rPr>
          <w:rFonts w:ascii="Times New Roman" w:hAnsi="Times New Roman" w:cs="Times New Roman"/>
          <w:sz w:val="20"/>
          <w:szCs w:val="20"/>
          <w:lang w:val="en-GB"/>
        </w:rPr>
        <w:t xml:space="preserve">. In </w:t>
      </w:r>
      <w:proofErr w:type="spellStart"/>
      <w:r w:rsidR="00EA0B56">
        <w:rPr>
          <w:rFonts w:ascii="Times New Roman" w:hAnsi="Times New Roman" w:cs="Times New Roman"/>
          <w:sz w:val="20"/>
          <w:szCs w:val="20"/>
          <w:lang w:val="en-GB"/>
        </w:rPr>
        <w:t>Gleyic-Colluvic</w:t>
      </w:r>
      <w:proofErr w:type="spellEnd"/>
      <w:r w:rsidR="00EA0B56">
        <w:rPr>
          <w:rFonts w:ascii="Times New Roman" w:hAnsi="Times New Roman" w:cs="Times New Roman"/>
          <w:sz w:val="20"/>
          <w:szCs w:val="20"/>
          <w:lang w:val="en-GB"/>
        </w:rPr>
        <w:t xml:space="preserve"> </w:t>
      </w:r>
      <w:proofErr w:type="spellStart"/>
      <w:r w:rsidR="00EA0B56">
        <w:rPr>
          <w:rFonts w:ascii="Times New Roman" w:hAnsi="Times New Roman" w:cs="Times New Roman"/>
          <w:sz w:val="20"/>
          <w:szCs w:val="20"/>
          <w:lang w:val="en-GB"/>
        </w:rPr>
        <w:t>Regosol</w:t>
      </w:r>
      <w:proofErr w:type="spellEnd"/>
      <w:r w:rsidR="00CF1226" w:rsidRPr="00DF0492">
        <w:rPr>
          <w:rFonts w:ascii="Times New Roman" w:hAnsi="Times New Roman" w:cs="Times New Roman"/>
          <w:sz w:val="20"/>
          <w:szCs w:val="20"/>
          <w:lang w:val="en-GB"/>
        </w:rPr>
        <w:t xml:space="preserve"> (Rg-co.gl)</w:t>
      </w:r>
      <w:r w:rsidRPr="00DF0492">
        <w:rPr>
          <w:rFonts w:ascii="Times New Roman" w:hAnsi="Times New Roman" w:cs="Times New Roman"/>
          <w:sz w:val="20"/>
          <w:szCs w:val="20"/>
          <w:lang w:val="en-GB"/>
        </w:rPr>
        <w:t xml:space="preserve">, root biomass is more evenly distributed between </w:t>
      </w:r>
      <w:r w:rsidR="006208F9" w:rsidRPr="00DF0492">
        <w:rPr>
          <w:rFonts w:ascii="Times New Roman" w:hAnsi="Times New Roman" w:cs="Times New Roman"/>
          <w:sz w:val="20"/>
          <w:szCs w:val="20"/>
          <w:lang w:val="en-GB"/>
        </w:rPr>
        <w:t>BBCH 37</w:t>
      </w:r>
      <w:r w:rsidRPr="00DF0492">
        <w:rPr>
          <w:rFonts w:ascii="Times New Roman" w:hAnsi="Times New Roman" w:cs="Times New Roman"/>
          <w:sz w:val="20"/>
          <w:szCs w:val="20"/>
          <w:lang w:val="en-GB"/>
        </w:rPr>
        <w:t xml:space="preserve"> and </w:t>
      </w:r>
      <w:r w:rsidR="006208F9" w:rsidRPr="00DF0492">
        <w:rPr>
          <w:rFonts w:ascii="Times New Roman" w:hAnsi="Times New Roman" w:cs="Times New Roman"/>
          <w:sz w:val="20"/>
          <w:szCs w:val="20"/>
          <w:lang w:val="en-GB"/>
        </w:rPr>
        <w:t>92</w:t>
      </w:r>
      <w:r w:rsidRPr="00DF0492">
        <w:rPr>
          <w:rFonts w:ascii="Times New Roman" w:hAnsi="Times New Roman" w:cs="Times New Roman"/>
          <w:sz w:val="20"/>
          <w:szCs w:val="20"/>
          <w:lang w:val="en-GB"/>
        </w:rPr>
        <w:t xml:space="preserve">, with </w:t>
      </w:r>
      <w:proofErr w:type="spellStart"/>
      <w:r w:rsidRPr="00DF0492">
        <w:rPr>
          <w:rFonts w:ascii="Times New Roman" w:hAnsi="Times New Roman" w:cs="Times New Roman"/>
          <w:sz w:val="20"/>
          <w:szCs w:val="20"/>
          <w:lang w:val="en-GB"/>
        </w:rPr>
        <w:t>Ostpreußischer</w:t>
      </w:r>
      <w:proofErr w:type="spellEnd"/>
      <w:r w:rsidRPr="00DF0492">
        <w:rPr>
          <w:rFonts w:ascii="Times New Roman" w:hAnsi="Times New Roman" w:cs="Times New Roman"/>
          <w:sz w:val="20"/>
          <w:szCs w:val="20"/>
          <w:lang w:val="en-GB"/>
        </w:rPr>
        <w:t xml:space="preserve"> again showing higher values overall (200 g</w:t>
      </w:r>
      <w:r w:rsidR="00291CAF"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lang w:val="en-GB"/>
        </w:rPr>
        <w:t>m</w:t>
      </w:r>
      <w:r w:rsidRPr="00DF0492">
        <w:rPr>
          <w:rFonts w:ascii="Times New Roman" w:hAnsi="Times New Roman" w:cs="Times New Roman"/>
          <w:sz w:val="20"/>
          <w:szCs w:val="20"/>
          <w:vertAlign w:val="superscript"/>
          <w:lang w:val="en-GB"/>
        </w:rPr>
        <w:t>-</w:t>
      </w:r>
      <w:r w:rsidRPr="00DF0492">
        <w:rPr>
          <w:rFonts w:ascii="Times New Roman" w:hAnsi="Times New Roman" w:cs="Times New Roman"/>
          <w:sz w:val="20"/>
          <w:szCs w:val="20"/>
          <w:lang w:val="en-GB"/>
        </w:rPr>
        <w:t xml:space="preserve">²). </w:t>
      </w:r>
      <w:r w:rsidR="0064601B" w:rsidRPr="00DF0492">
        <w:rPr>
          <w:rFonts w:ascii="Times New Roman" w:hAnsi="Times New Roman" w:cs="Times New Roman"/>
          <w:sz w:val="20"/>
          <w:szCs w:val="20"/>
          <w:lang w:val="en-GB"/>
        </w:rPr>
        <w:t>Between BBCH 37 and 92 is the moment when the most root branches are formed (</w:t>
      </w:r>
      <w:r w:rsidR="00465BF6">
        <w:rPr>
          <w:rFonts w:ascii="Times New Roman" w:hAnsi="Times New Roman" w:cs="Times New Roman"/>
          <w:sz w:val="20"/>
          <w:szCs w:val="20"/>
          <w:lang w:val="en-GB"/>
        </w:rPr>
        <w:t>Figure S</w:t>
      </w:r>
      <w:r w:rsidR="00DF558D">
        <w:rPr>
          <w:rFonts w:ascii="Times New Roman" w:hAnsi="Times New Roman" w:cs="Times New Roman"/>
          <w:sz w:val="20"/>
          <w:szCs w:val="20"/>
          <w:lang w:val="en-GB"/>
        </w:rPr>
        <w:t>4</w:t>
      </w:r>
      <w:r w:rsidR="0064601B"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lang w:val="en-GB"/>
        </w:rPr>
        <w:t>For the</w:t>
      </w:r>
      <w:r w:rsidR="00CE623C" w:rsidRPr="00CE623C">
        <w:rPr>
          <w:rFonts w:ascii="Times New Roman" w:hAnsi="Times New Roman" w:cs="Times New Roman"/>
          <w:sz w:val="20"/>
          <w:szCs w:val="20"/>
          <w:lang w:val="en-GB"/>
        </w:rPr>
        <w:t xml:space="preserve"> </w:t>
      </w:r>
      <w:r w:rsidR="00CE623C">
        <w:rPr>
          <w:rFonts w:ascii="Times New Roman" w:hAnsi="Times New Roman" w:cs="Times New Roman"/>
          <w:sz w:val="20"/>
          <w:szCs w:val="20"/>
          <w:lang w:val="en-GB"/>
        </w:rPr>
        <w:t>BBCH 69,</w:t>
      </w:r>
      <w:r w:rsidRPr="00DF0492">
        <w:rPr>
          <w:rFonts w:ascii="Times New Roman" w:hAnsi="Times New Roman" w:cs="Times New Roman"/>
          <w:sz w:val="20"/>
          <w:szCs w:val="20"/>
          <w:lang w:val="en-GB"/>
        </w:rPr>
        <w:t xml:space="preserve"> wheat cultivars</w:t>
      </w:r>
      <w:r w:rsidR="00CE623C">
        <w:rPr>
          <w:rFonts w:ascii="Times New Roman" w:hAnsi="Times New Roman" w:cs="Times New Roman"/>
          <w:sz w:val="20"/>
          <w:szCs w:val="20"/>
          <w:lang w:val="en-GB"/>
        </w:rPr>
        <w:t xml:space="preserve"> </w:t>
      </w:r>
      <w:proofErr w:type="spellStart"/>
      <w:r w:rsidRPr="00DF0492">
        <w:rPr>
          <w:rFonts w:ascii="Times New Roman" w:hAnsi="Times New Roman" w:cs="Times New Roman"/>
          <w:sz w:val="20"/>
          <w:szCs w:val="20"/>
          <w:lang w:val="en-GB"/>
        </w:rPr>
        <w:t>Ostpreußsicher</w:t>
      </w:r>
      <w:proofErr w:type="spellEnd"/>
      <w:r w:rsidRPr="00DF0492">
        <w:rPr>
          <w:rFonts w:ascii="Times New Roman" w:hAnsi="Times New Roman" w:cs="Times New Roman"/>
          <w:sz w:val="20"/>
          <w:szCs w:val="20"/>
          <w:lang w:val="en-GB"/>
        </w:rPr>
        <w:t xml:space="preserve"> and </w:t>
      </w:r>
      <w:proofErr w:type="spellStart"/>
      <w:r w:rsidRPr="00DF0492">
        <w:rPr>
          <w:rFonts w:ascii="Times New Roman" w:hAnsi="Times New Roman" w:cs="Times New Roman"/>
          <w:sz w:val="20"/>
          <w:szCs w:val="20"/>
          <w:lang w:val="en-GB"/>
        </w:rPr>
        <w:t>Ponticus</w:t>
      </w:r>
      <w:proofErr w:type="spellEnd"/>
      <w:r w:rsidRPr="00DF0492">
        <w:rPr>
          <w:rFonts w:ascii="Times New Roman" w:hAnsi="Times New Roman" w:cs="Times New Roman"/>
          <w:sz w:val="20"/>
          <w:szCs w:val="20"/>
          <w:lang w:val="en-GB"/>
        </w:rPr>
        <w:t xml:space="preserve">, an increasing trend in the maximum total root </w:t>
      </w:r>
      <w:r w:rsidR="00C02ABD" w:rsidRPr="00DF0492">
        <w:rPr>
          <w:rFonts w:ascii="Times New Roman" w:hAnsi="Times New Roman" w:cs="Times New Roman"/>
          <w:sz w:val="20"/>
          <w:szCs w:val="20"/>
          <w:lang w:val="en-GB"/>
        </w:rPr>
        <w:t>biomass</w:t>
      </w:r>
      <w:r w:rsidRPr="00DF0492">
        <w:rPr>
          <w:rFonts w:ascii="Times New Roman" w:hAnsi="Times New Roman" w:cs="Times New Roman"/>
          <w:sz w:val="20"/>
          <w:szCs w:val="20"/>
          <w:lang w:val="en-GB"/>
        </w:rPr>
        <w:t xml:space="preserve"> was observed for the sequence of soils: </w:t>
      </w:r>
      <w:proofErr w:type="spellStart"/>
      <w:r w:rsidR="00CF1226" w:rsidRPr="00DF0492">
        <w:rPr>
          <w:rFonts w:ascii="Times New Roman" w:hAnsi="Times New Roman" w:cs="Times New Roman"/>
          <w:sz w:val="20"/>
          <w:szCs w:val="20"/>
          <w:lang w:val="en-GB"/>
        </w:rPr>
        <w:t>Rg</w:t>
      </w:r>
      <w:proofErr w:type="spellEnd"/>
      <w:r w:rsidR="00CF1226" w:rsidRPr="00DF0492">
        <w:rPr>
          <w:rFonts w:ascii="Times New Roman" w:hAnsi="Times New Roman" w:cs="Times New Roman"/>
          <w:sz w:val="20"/>
          <w:szCs w:val="20"/>
          <w:lang w:val="en-GB"/>
        </w:rPr>
        <w:t>-ca</w:t>
      </w:r>
      <w:r w:rsidRPr="00DF0492">
        <w:rPr>
          <w:rFonts w:ascii="Times New Roman" w:hAnsi="Times New Roman" w:cs="Times New Roman"/>
          <w:sz w:val="20"/>
          <w:szCs w:val="20"/>
          <w:lang w:val="en-GB"/>
        </w:rPr>
        <w:t xml:space="preserve"> &lt; </w:t>
      </w:r>
      <w:r w:rsidR="00C02ABD" w:rsidRPr="00DF0492">
        <w:rPr>
          <w:rFonts w:ascii="Times New Roman" w:hAnsi="Times New Roman" w:cs="Times New Roman"/>
          <w:sz w:val="20"/>
          <w:szCs w:val="20"/>
          <w:lang w:val="en-GB"/>
        </w:rPr>
        <w:t>Rg-co.gl</w:t>
      </w:r>
      <w:r w:rsidRPr="00DF0492">
        <w:rPr>
          <w:rFonts w:ascii="Times New Roman" w:hAnsi="Times New Roman" w:cs="Times New Roman"/>
          <w:sz w:val="20"/>
          <w:szCs w:val="20"/>
          <w:lang w:val="en-GB"/>
        </w:rPr>
        <w:t xml:space="preserve"> &lt; </w:t>
      </w:r>
      <w:r w:rsidR="00C02ABD" w:rsidRPr="00DF0492">
        <w:rPr>
          <w:rFonts w:ascii="Times New Roman" w:hAnsi="Times New Roman" w:cs="Times New Roman"/>
          <w:sz w:val="20"/>
          <w:szCs w:val="20"/>
        </w:rPr>
        <w:t>LV-cc</w:t>
      </w:r>
      <w:r w:rsidRPr="00DF0492">
        <w:rPr>
          <w:rFonts w:ascii="Times New Roman" w:hAnsi="Times New Roman" w:cs="Times New Roman"/>
          <w:sz w:val="20"/>
          <w:szCs w:val="20"/>
          <w:lang w:val="en-GB"/>
        </w:rPr>
        <w:t xml:space="preserve"> &lt; </w:t>
      </w:r>
      <w:r w:rsidR="00C02ABD" w:rsidRPr="00DF0492">
        <w:rPr>
          <w:rFonts w:ascii="Times New Roman" w:hAnsi="Times New Roman" w:cs="Times New Roman"/>
          <w:sz w:val="20"/>
          <w:szCs w:val="20"/>
        </w:rPr>
        <w:t>LV-ng</w:t>
      </w:r>
      <w:r w:rsidRPr="00DF0492">
        <w:rPr>
          <w:rFonts w:ascii="Times New Roman" w:hAnsi="Times New Roman" w:cs="Times New Roman"/>
          <w:sz w:val="20"/>
          <w:szCs w:val="20"/>
          <w:lang w:val="en-GB"/>
        </w:rPr>
        <w:t xml:space="preserve">. For the </w:t>
      </w:r>
      <w:proofErr w:type="spellStart"/>
      <w:r w:rsidRPr="00DF0492">
        <w:rPr>
          <w:rFonts w:ascii="Times New Roman" w:hAnsi="Times New Roman" w:cs="Times New Roman"/>
          <w:sz w:val="20"/>
          <w:szCs w:val="20"/>
          <w:lang w:val="en-GB"/>
        </w:rPr>
        <w:t>Had</w:t>
      </w:r>
      <w:r w:rsidR="00C02ABD" w:rsidRPr="00DF0492">
        <w:rPr>
          <w:rFonts w:ascii="Times New Roman" w:hAnsi="Times New Roman" w:cs="Times New Roman"/>
          <w:sz w:val="20"/>
          <w:szCs w:val="20"/>
          <w:lang w:val="en-GB"/>
        </w:rPr>
        <w:t>merslebener</w:t>
      </w:r>
      <w:proofErr w:type="spellEnd"/>
      <w:r w:rsidR="00C02ABD" w:rsidRPr="00DF0492">
        <w:rPr>
          <w:rFonts w:ascii="Times New Roman" w:hAnsi="Times New Roman" w:cs="Times New Roman"/>
          <w:sz w:val="20"/>
          <w:szCs w:val="20"/>
          <w:lang w:val="en-GB"/>
        </w:rPr>
        <w:t xml:space="preserve"> wheat the order was: </w:t>
      </w:r>
      <w:proofErr w:type="spellStart"/>
      <w:r w:rsidR="00C02ABD" w:rsidRPr="00DF0492">
        <w:rPr>
          <w:rFonts w:ascii="Times New Roman" w:hAnsi="Times New Roman" w:cs="Times New Roman"/>
          <w:sz w:val="20"/>
          <w:szCs w:val="20"/>
          <w:lang w:val="en-GB"/>
        </w:rPr>
        <w:t>Rg</w:t>
      </w:r>
      <w:proofErr w:type="spellEnd"/>
      <w:r w:rsidR="00C02ABD" w:rsidRPr="00DF0492">
        <w:rPr>
          <w:rFonts w:ascii="Times New Roman" w:hAnsi="Times New Roman" w:cs="Times New Roman"/>
          <w:sz w:val="20"/>
          <w:szCs w:val="20"/>
          <w:lang w:val="en-GB"/>
        </w:rPr>
        <w:t>-ca &lt; Rg-co.gl</w:t>
      </w:r>
      <w:r w:rsidRPr="00DF0492">
        <w:rPr>
          <w:rFonts w:ascii="Times New Roman" w:hAnsi="Times New Roman" w:cs="Times New Roman"/>
          <w:sz w:val="20"/>
          <w:szCs w:val="20"/>
          <w:lang w:val="en-GB"/>
        </w:rPr>
        <w:t xml:space="preserve"> &lt; </w:t>
      </w:r>
      <w:r w:rsidR="00C02ABD" w:rsidRPr="00DF0492">
        <w:rPr>
          <w:rFonts w:ascii="Times New Roman" w:hAnsi="Times New Roman" w:cs="Times New Roman"/>
          <w:sz w:val="20"/>
          <w:szCs w:val="20"/>
        </w:rPr>
        <w:t>LV-ng</w:t>
      </w:r>
      <w:r w:rsidRPr="00DF0492">
        <w:rPr>
          <w:rFonts w:ascii="Times New Roman" w:hAnsi="Times New Roman" w:cs="Times New Roman"/>
          <w:sz w:val="20"/>
          <w:szCs w:val="20"/>
          <w:lang w:val="en-GB"/>
        </w:rPr>
        <w:t xml:space="preserve"> &lt; </w:t>
      </w:r>
      <w:r w:rsidR="00C02ABD" w:rsidRPr="00DF0492">
        <w:rPr>
          <w:rFonts w:ascii="Times New Roman" w:hAnsi="Times New Roman" w:cs="Times New Roman"/>
          <w:sz w:val="20"/>
          <w:szCs w:val="20"/>
        </w:rPr>
        <w:t>LV-cc</w:t>
      </w:r>
      <w:r w:rsidRPr="00DF0492">
        <w:rPr>
          <w:rFonts w:ascii="Times New Roman" w:hAnsi="Times New Roman" w:cs="Times New Roman"/>
          <w:sz w:val="20"/>
          <w:szCs w:val="20"/>
          <w:lang w:val="en-GB"/>
        </w:rPr>
        <w:t>.</w:t>
      </w:r>
      <w:r w:rsidR="00CE623C">
        <w:rPr>
          <w:rFonts w:ascii="Times New Roman" w:hAnsi="Times New Roman" w:cs="Times New Roman"/>
          <w:sz w:val="20"/>
          <w:szCs w:val="20"/>
          <w:lang w:val="en-GB"/>
        </w:rPr>
        <w:t xml:space="preserve"> </w:t>
      </w:r>
      <w:r w:rsidR="005722AF">
        <w:rPr>
          <w:rFonts w:ascii="Times New Roman" w:hAnsi="Times New Roman" w:cs="Times New Roman"/>
          <w:sz w:val="20"/>
          <w:szCs w:val="20"/>
          <w:lang w:val="en-GB"/>
        </w:rPr>
        <w:t>At BBCH 69 n</w:t>
      </w:r>
      <w:r w:rsidR="00CE623C" w:rsidRPr="00CE623C">
        <w:rPr>
          <w:rFonts w:ascii="Times New Roman" w:hAnsi="Times New Roman" w:cs="Times New Roman"/>
          <w:sz w:val="20"/>
          <w:szCs w:val="20"/>
          <w:lang w:val="en-GB"/>
        </w:rPr>
        <w:t xml:space="preserve">o significant differences </w:t>
      </w:r>
      <w:r w:rsidR="005722AF">
        <w:rPr>
          <w:rFonts w:ascii="Times New Roman" w:hAnsi="Times New Roman" w:cs="Times New Roman"/>
          <w:sz w:val="20"/>
          <w:szCs w:val="20"/>
          <w:lang w:val="en-GB"/>
        </w:rPr>
        <w:t xml:space="preserve">of C in roots </w:t>
      </w:r>
      <w:r w:rsidR="00CE623C" w:rsidRPr="00CE623C">
        <w:rPr>
          <w:rFonts w:ascii="Times New Roman" w:hAnsi="Times New Roman" w:cs="Times New Roman"/>
          <w:sz w:val="20"/>
          <w:szCs w:val="20"/>
          <w:lang w:val="en-GB"/>
        </w:rPr>
        <w:t xml:space="preserve">were observed among cultivars within the same soil type. However, cultivars grown on </w:t>
      </w:r>
      <w:proofErr w:type="spellStart"/>
      <w:r w:rsidR="00CE623C" w:rsidRPr="00CE623C">
        <w:rPr>
          <w:rFonts w:ascii="Times New Roman" w:hAnsi="Times New Roman" w:cs="Times New Roman"/>
          <w:sz w:val="20"/>
          <w:szCs w:val="20"/>
          <w:lang w:val="en-GB"/>
        </w:rPr>
        <w:t>Regosols</w:t>
      </w:r>
      <w:proofErr w:type="spellEnd"/>
      <w:r w:rsidR="00CE623C" w:rsidRPr="00CE623C">
        <w:rPr>
          <w:rFonts w:ascii="Times New Roman" w:hAnsi="Times New Roman" w:cs="Times New Roman"/>
          <w:sz w:val="20"/>
          <w:szCs w:val="20"/>
          <w:lang w:val="en-GB"/>
        </w:rPr>
        <w:t xml:space="preserve"> produced approximately 85 g C m⁻², while those on </w:t>
      </w:r>
      <w:proofErr w:type="spellStart"/>
      <w:r w:rsidR="00CE623C" w:rsidRPr="00CE623C">
        <w:rPr>
          <w:rFonts w:ascii="Times New Roman" w:hAnsi="Times New Roman" w:cs="Times New Roman"/>
          <w:sz w:val="20"/>
          <w:szCs w:val="20"/>
          <w:lang w:val="en-GB"/>
        </w:rPr>
        <w:t>Luviso</w:t>
      </w:r>
      <w:r w:rsidR="005722AF">
        <w:rPr>
          <w:rFonts w:ascii="Times New Roman" w:hAnsi="Times New Roman" w:cs="Times New Roman"/>
          <w:sz w:val="20"/>
          <w:szCs w:val="20"/>
          <w:lang w:val="en-GB"/>
        </w:rPr>
        <w:t>ls</w:t>
      </w:r>
      <w:proofErr w:type="spellEnd"/>
      <w:r w:rsidR="005722AF">
        <w:rPr>
          <w:rFonts w:ascii="Times New Roman" w:hAnsi="Times New Roman" w:cs="Times New Roman"/>
          <w:sz w:val="20"/>
          <w:szCs w:val="20"/>
          <w:lang w:val="en-GB"/>
        </w:rPr>
        <w:t xml:space="preserve"> produced around 175 g C m⁻² (Fig. 4c).</w:t>
      </w:r>
    </w:p>
    <w:p w14:paraId="3CDA891B" w14:textId="253CA743" w:rsidR="00DA04E9" w:rsidRPr="00DF0492" w:rsidRDefault="00DA04E9" w:rsidP="00DF0492">
      <w:pPr>
        <w:spacing w:line="360" w:lineRule="auto"/>
        <w:ind w:firstLine="709"/>
        <w:jc w:val="both"/>
        <w:rPr>
          <w:rFonts w:ascii="Times New Roman" w:hAnsi="Times New Roman" w:cs="Times New Roman"/>
          <w:sz w:val="20"/>
          <w:szCs w:val="20"/>
        </w:rPr>
      </w:pPr>
      <w:proofErr w:type="spellStart"/>
      <w:r w:rsidRPr="00DF0492">
        <w:rPr>
          <w:rFonts w:ascii="Times New Roman" w:hAnsi="Times New Roman" w:cs="Times New Roman"/>
          <w:sz w:val="20"/>
          <w:szCs w:val="20"/>
          <w:lang w:val="en-GB"/>
        </w:rPr>
        <w:t>Luvisols</w:t>
      </w:r>
      <w:proofErr w:type="spellEnd"/>
      <w:r w:rsidRPr="00DF0492">
        <w:rPr>
          <w:rFonts w:ascii="Times New Roman" w:hAnsi="Times New Roman" w:cs="Times New Roman"/>
          <w:sz w:val="20"/>
          <w:szCs w:val="20"/>
          <w:lang w:val="en-GB"/>
        </w:rPr>
        <w:t xml:space="preserve"> exhibited the highest root biomass growth rate (approximately 10 g m</w:t>
      </w:r>
      <w:r w:rsidRPr="00DF0492">
        <w:rPr>
          <w:rFonts w:ascii="Times New Roman" w:hAnsi="Times New Roman" w:cs="Times New Roman"/>
          <w:sz w:val="20"/>
          <w:szCs w:val="20"/>
          <w:vertAlign w:val="superscript"/>
          <w:lang w:val="en-GB"/>
        </w:rPr>
        <w:t>-</w:t>
      </w:r>
      <w:r w:rsidRPr="00DF0492">
        <w:rPr>
          <w:rFonts w:ascii="Times New Roman" w:hAnsi="Times New Roman" w:cs="Times New Roman"/>
          <w:sz w:val="20"/>
          <w:szCs w:val="20"/>
          <w:lang w:val="en-GB"/>
        </w:rPr>
        <w:t>² day</w:t>
      </w:r>
      <w:r w:rsidRPr="00DF0492">
        <w:rPr>
          <w:rFonts w:ascii="Times New Roman" w:hAnsi="Times New Roman" w:cs="Times New Roman"/>
          <w:sz w:val="20"/>
          <w:szCs w:val="20"/>
          <w:vertAlign w:val="superscript"/>
          <w:lang w:val="en-GB"/>
        </w:rPr>
        <w:t>-1</w:t>
      </w:r>
      <w:r w:rsidRPr="00DF0492">
        <w:rPr>
          <w:rFonts w:ascii="Times New Roman" w:hAnsi="Times New Roman" w:cs="Times New Roman"/>
          <w:sz w:val="20"/>
          <w:szCs w:val="20"/>
          <w:lang w:val="en-GB"/>
        </w:rPr>
        <w:t>)</w:t>
      </w:r>
      <w:r w:rsidR="003110ED">
        <w:rPr>
          <w:rFonts w:ascii="Times New Roman" w:hAnsi="Times New Roman" w:cs="Times New Roman"/>
          <w:sz w:val="20"/>
          <w:szCs w:val="20"/>
          <w:lang w:val="en-GB"/>
        </w:rPr>
        <w:t xml:space="preserve"> </w:t>
      </w:r>
      <w:r w:rsidR="003110ED" w:rsidRPr="00DF0492">
        <w:rPr>
          <w:rFonts w:ascii="Times New Roman" w:hAnsi="Times New Roman" w:cs="Times New Roman"/>
          <w:sz w:val="20"/>
          <w:szCs w:val="20"/>
          <w:lang w:val="en-GB"/>
        </w:rPr>
        <w:t>(</w:t>
      </w:r>
      <w:r w:rsidR="003110ED">
        <w:rPr>
          <w:rFonts w:ascii="Times New Roman" w:hAnsi="Times New Roman" w:cs="Times New Roman"/>
          <w:sz w:val="20"/>
          <w:szCs w:val="20"/>
          <w:lang w:val="en-GB"/>
        </w:rPr>
        <w:t>Figure S3)</w:t>
      </w:r>
      <w:r w:rsidRPr="00DF0492">
        <w:rPr>
          <w:rFonts w:ascii="Times New Roman" w:hAnsi="Times New Roman" w:cs="Times New Roman"/>
          <w:sz w:val="20"/>
          <w:szCs w:val="20"/>
          <w:lang w:val="en-GB"/>
        </w:rPr>
        <w:t xml:space="preserve">, while the highest rates in </w:t>
      </w:r>
      <w:proofErr w:type="spellStart"/>
      <w:r w:rsidRPr="00DF0492">
        <w:rPr>
          <w:rFonts w:ascii="Times New Roman" w:hAnsi="Times New Roman" w:cs="Times New Roman"/>
          <w:sz w:val="20"/>
          <w:szCs w:val="20"/>
          <w:lang w:val="en-GB"/>
        </w:rPr>
        <w:t>Regosols</w:t>
      </w:r>
      <w:proofErr w:type="spellEnd"/>
      <w:r w:rsidRPr="00DF0492">
        <w:rPr>
          <w:rFonts w:ascii="Times New Roman" w:hAnsi="Times New Roman" w:cs="Times New Roman"/>
          <w:sz w:val="20"/>
          <w:szCs w:val="20"/>
          <w:lang w:val="en-GB"/>
        </w:rPr>
        <w:t xml:space="preserve"> are around 5 g m</w:t>
      </w:r>
      <w:r w:rsidRPr="00DF0492">
        <w:rPr>
          <w:rFonts w:ascii="Times New Roman" w:hAnsi="Times New Roman" w:cs="Times New Roman"/>
          <w:sz w:val="20"/>
          <w:szCs w:val="20"/>
          <w:vertAlign w:val="superscript"/>
          <w:lang w:val="en-GB"/>
        </w:rPr>
        <w:t>-</w:t>
      </w:r>
      <w:r w:rsidRPr="00DF0492">
        <w:rPr>
          <w:rFonts w:ascii="Times New Roman" w:hAnsi="Times New Roman" w:cs="Times New Roman"/>
          <w:sz w:val="20"/>
          <w:szCs w:val="20"/>
          <w:lang w:val="en-GB"/>
        </w:rPr>
        <w:t>² day</w:t>
      </w:r>
      <w:r w:rsidRPr="00DF0492">
        <w:rPr>
          <w:rFonts w:ascii="Times New Roman" w:hAnsi="Times New Roman" w:cs="Times New Roman"/>
          <w:sz w:val="20"/>
          <w:szCs w:val="20"/>
          <w:vertAlign w:val="superscript"/>
          <w:lang w:val="en-GB"/>
        </w:rPr>
        <w:t>-1</w:t>
      </w:r>
      <w:r w:rsidRPr="00DF0492">
        <w:rPr>
          <w:rFonts w:ascii="Times New Roman" w:hAnsi="Times New Roman" w:cs="Times New Roman"/>
          <w:sz w:val="20"/>
          <w:szCs w:val="20"/>
          <w:lang w:val="en-GB"/>
        </w:rPr>
        <w:t>. For all soil types, the peak of root growth</w:t>
      </w:r>
      <w:r w:rsidR="00B8691F">
        <w:rPr>
          <w:rFonts w:ascii="Times New Roman" w:hAnsi="Times New Roman" w:cs="Times New Roman"/>
          <w:sz w:val="20"/>
          <w:szCs w:val="20"/>
          <w:lang w:val="en-GB"/>
        </w:rPr>
        <w:t xml:space="preserve"> rate</w:t>
      </w:r>
      <w:r w:rsidRPr="00DF0492">
        <w:rPr>
          <w:rFonts w:ascii="Times New Roman" w:hAnsi="Times New Roman" w:cs="Times New Roman"/>
          <w:sz w:val="20"/>
          <w:szCs w:val="20"/>
          <w:lang w:val="en-GB"/>
        </w:rPr>
        <w:t xml:space="preserve"> </w:t>
      </w:r>
      <w:r w:rsidR="003110ED" w:rsidRPr="00DF0492">
        <w:rPr>
          <w:rFonts w:ascii="Times New Roman" w:hAnsi="Times New Roman" w:cs="Times New Roman"/>
          <w:sz w:val="20"/>
          <w:szCs w:val="20"/>
          <w:lang w:val="en-GB"/>
        </w:rPr>
        <w:t>occurred</w:t>
      </w:r>
      <w:r w:rsidRPr="00DF0492">
        <w:rPr>
          <w:rFonts w:ascii="Times New Roman" w:hAnsi="Times New Roman" w:cs="Times New Roman"/>
          <w:sz w:val="20"/>
          <w:szCs w:val="20"/>
          <w:lang w:val="en-GB"/>
        </w:rPr>
        <w:t xml:space="preserve"> at 228 days after sowing (BBCH 37), except for </w:t>
      </w:r>
      <w:proofErr w:type="spellStart"/>
      <w:r w:rsidR="00C02ABD" w:rsidRPr="00DF0492">
        <w:rPr>
          <w:rFonts w:ascii="Times New Roman" w:hAnsi="Times New Roman" w:cs="Times New Roman"/>
          <w:sz w:val="20"/>
          <w:szCs w:val="20"/>
          <w:lang w:val="en-GB"/>
        </w:rPr>
        <w:t>Rg</w:t>
      </w:r>
      <w:proofErr w:type="spellEnd"/>
      <w:r w:rsidR="00C02ABD" w:rsidRPr="00DF0492">
        <w:rPr>
          <w:rFonts w:ascii="Times New Roman" w:hAnsi="Times New Roman" w:cs="Times New Roman"/>
          <w:sz w:val="20"/>
          <w:szCs w:val="20"/>
          <w:lang w:val="en-GB"/>
        </w:rPr>
        <w:t>-ca</w:t>
      </w:r>
      <w:r w:rsidRPr="00DF0492">
        <w:rPr>
          <w:rFonts w:ascii="Times New Roman" w:hAnsi="Times New Roman" w:cs="Times New Roman"/>
          <w:sz w:val="20"/>
          <w:szCs w:val="20"/>
          <w:lang w:val="en-GB"/>
        </w:rPr>
        <w:t xml:space="preserve">, where it occurs at 251 days (BBCH 69). </w:t>
      </w:r>
      <w:proofErr w:type="spellStart"/>
      <w:r w:rsidRPr="00DF0492">
        <w:rPr>
          <w:rFonts w:ascii="Times New Roman" w:hAnsi="Times New Roman" w:cs="Times New Roman"/>
          <w:sz w:val="20"/>
          <w:szCs w:val="20"/>
          <w:lang w:val="en-GB"/>
        </w:rPr>
        <w:t>Ostpreußischer</w:t>
      </w:r>
      <w:proofErr w:type="spellEnd"/>
      <w:r w:rsidRPr="00DF0492">
        <w:rPr>
          <w:rFonts w:ascii="Times New Roman" w:hAnsi="Times New Roman" w:cs="Times New Roman"/>
          <w:sz w:val="20"/>
          <w:szCs w:val="20"/>
          <w:lang w:val="en-GB"/>
        </w:rPr>
        <w:t xml:space="preserve"> and </w:t>
      </w:r>
      <w:proofErr w:type="spellStart"/>
      <w:r w:rsidRPr="00DF0492">
        <w:rPr>
          <w:rFonts w:ascii="Times New Roman" w:hAnsi="Times New Roman" w:cs="Times New Roman"/>
          <w:sz w:val="20"/>
          <w:szCs w:val="20"/>
          <w:lang w:val="en-GB"/>
        </w:rPr>
        <w:t>Ponticus</w:t>
      </w:r>
      <w:proofErr w:type="spellEnd"/>
      <w:r w:rsidRPr="00DF0492">
        <w:rPr>
          <w:rFonts w:ascii="Times New Roman" w:hAnsi="Times New Roman" w:cs="Times New Roman"/>
          <w:sz w:val="20"/>
          <w:szCs w:val="20"/>
          <w:lang w:val="en-GB"/>
        </w:rPr>
        <w:t xml:space="preserve"> showed the highest values in </w:t>
      </w:r>
      <w:proofErr w:type="spellStart"/>
      <w:r w:rsidR="00C02ABD" w:rsidRPr="00DF0492">
        <w:rPr>
          <w:rFonts w:ascii="Times New Roman" w:hAnsi="Times New Roman" w:cs="Times New Roman"/>
          <w:sz w:val="20"/>
          <w:szCs w:val="20"/>
          <w:lang w:val="en-GB"/>
        </w:rPr>
        <w:t>Rg</w:t>
      </w:r>
      <w:proofErr w:type="spellEnd"/>
      <w:r w:rsidR="00C02ABD" w:rsidRPr="00DF0492">
        <w:rPr>
          <w:rFonts w:ascii="Times New Roman" w:hAnsi="Times New Roman" w:cs="Times New Roman"/>
          <w:sz w:val="20"/>
          <w:szCs w:val="20"/>
          <w:lang w:val="en-GB"/>
        </w:rPr>
        <w:t>-ca</w:t>
      </w:r>
      <w:r w:rsidRPr="00DF0492">
        <w:rPr>
          <w:rFonts w:ascii="Times New Roman" w:hAnsi="Times New Roman" w:cs="Times New Roman"/>
          <w:sz w:val="20"/>
          <w:szCs w:val="20"/>
          <w:lang w:val="en-GB"/>
        </w:rPr>
        <w:t xml:space="preserve"> and </w:t>
      </w:r>
      <w:proofErr w:type="spellStart"/>
      <w:r w:rsidR="00C02ABD" w:rsidRPr="00DF0492">
        <w:rPr>
          <w:rFonts w:ascii="Times New Roman" w:hAnsi="Times New Roman" w:cs="Times New Roman"/>
          <w:sz w:val="20"/>
          <w:szCs w:val="20"/>
        </w:rPr>
        <w:t>L</w:t>
      </w:r>
      <w:r w:rsidR="00291CAF" w:rsidRPr="00DF0492">
        <w:rPr>
          <w:rFonts w:ascii="Times New Roman" w:hAnsi="Times New Roman" w:cs="Times New Roman"/>
          <w:sz w:val="20"/>
          <w:szCs w:val="20"/>
        </w:rPr>
        <w:t>v</w:t>
      </w:r>
      <w:proofErr w:type="spellEnd"/>
      <w:r w:rsidR="00C02ABD" w:rsidRPr="00DF0492">
        <w:rPr>
          <w:rFonts w:ascii="Times New Roman" w:hAnsi="Times New Roman" w:cs="Times New Roman"/>
          <w:sz w:val="20"/>
          <w:szCs w:val="20"/>
        </w:rPr>
        <w:t>-ng</w:t>
      </w:r>
      <w:r w:rsidRPr="00DF0492">
        <w:rPr>
          <w:rFonts w:ascii="Times New Roman" w:hAnsi="Times New Roman" w:cs="Times New Roman"/>
          <w:sz w:val="20"/>
          <w:szCs w:val="20"/>
          <w:lang w:val="en-GB"/>
        </w:rPr>
        <w:t xml:space="preserve">, whereas in </w:t>
      </w:r>
      <w:proofErr w:type="spellStart"/>
      <w:r w:rsidR="00C02ABD" w:rsidRPr="00DF0492">
        <w:rPr>
          <w:rFonts w:ascii="Times New Roman" w:hAnsi="Times New Roman" w:cs="Times New Roman"/>
          <w:sz w:val="20"/>
          <w:szCs w:val="20"/>
        </w:rPr>
        <w:t>L</w:t>
      </w:r>
      <w:r w:rsidR="00291CAF" w:rsidRPr="00DF0492">
        <w:rPr>
          <w:rFonts w:ascii="Times New Roman" w:hAnsi="Times New Roman" w:cs="Times New Roman"/>
          <w:sz w:val="20"/>
          <w:szCs w:val="20"/>
        </w:rPr>
        <w:t>v</w:t>
      </w:r>
      <w:proofErr w:type="spellEnd"/>
      <w:r w:rsidR="00C02ABD" w:rsidRPr="00DF0492">
        <w:rPr>
          <w:rFonts w:ascii="Times New Roman" w:hAnsi="Times New Roman" w:cs="Times New Roman"/>
          <w:sz w:val="20"/>
          <w:szCs w:val="20"/>
        </w:rPr>
        <w:t>-cc</w:t>
      </w:r>
      <w:r w:rsidRPr="00DF0492">
        <w:rPr>
          <w:rFonts w:ascii="Times New Roman" w:hAnsi="Times New Roman" w:cs="Times New Roman"/>
          <w:sz w:val="20"/>
          <w:szCs w:val="20"/>
          <w:lang w:val="en-GB"/>
        </w:rPr>
        <w:t xml:space="preserve"> and </w:t>
      </w:r>
      <w:r w:rsidR="00C02ABD" w:rsidRPr="00DF0492">
        <w:rPr>
          <w:rFonts w:ascii="Times New Roman" w:hAnsi="Times New Roman" w:cs="Times New Roman"/>
          <w:sz w:val="20"/>
          <w:szCs w:val="20"/>
          <w:lang w:val="en-GB"/>
        </w:rPr>
        <w:t>Rg-co.gl</w:t>
      </w:r>
      <w:r w:rsidRPr="00DF0492">
        <w:rPr>
          <w:rFonts w:ascii="Times New Roman" w:hAnsi="Times New Roman" w:cs="Times New Roman"/>
          <w:sz w:val="20"/>
          <w:szCs w:val="20"/>
          <w:lang w:val="en-GB"/>
        </w:rPr>
        <w:t xml:space="preserve">, </w:t>
      </w:r>
      <w:proofErr w:type="spellStart"/>
      <w:r w:rsidRPr="00DF0492">
        <w:rPr>
          <w:rFonts w:ascii="Times New Roman" w:hAnsi="Times New Roman" w:cs="Times New Roman"/>
          <w:sz w:val="20"/>
          <w:szCs w:val="20"/>
          <w:lang w:val="en-GB"/>
        </w:rPr>
        <w:t>Hadmerslebener</w:t>
      </w:r>
      <w:proofErr w:type="spellEnd"/>
      <w:r w:rsidRPr="00DF0492">
        <w:rPr>
          <w:rFonts w:ascii="Times New Roman" w:hAnsi="Times New Roman" w:cs="Times New Roman"/>
          <w:sz w:val="20"/>
          <w:szCs w:val="20"/>
          <w:lang w:val="en-GB"/>
        </w:rPr>
        <w:t xml:space="preserve"> and </w:t>
      </w:r>
      <w:proofErr w:type="spellStart"/>
      <w:r w:rsidRPr="00DF0492">
        <w:rPr>
          <w:rFonts w:ascii="Times New Roman" w:hAnsi="Times New Roman" w:cs="Times New Roman"/>
          <w:sz w:val="20"/>
          <w:szCs w:val="20"/>
          <w:lang w:val="en-GB"/>
        </w:rPr>
        <w:t>Ostpreußischer</w:t>
      </w:r>
      <w:proofErr w:type="spellEnd"/>
      <w:r w:rsidRPr="00DF0492">
        <w:rPr>
          <w:rFonts w:ascii="Times New Roman" w:hAnsi="Times New Roman" w:cs="Times New Roman"/>
          <w:sz w:val="20"/>
          <w:szCs w:val="20"/>
          <w:lang w:val="en-GB"/>
        </w:rPr>
        <w:t xml:space="preserve">, respectively, </w:t>
      </w:r>
      <w:r w:rsidRPr="00DF0492">
        <w:rPr>
          <w:rFonts w:ascii="Times New Roman" w:hAnsi="Times New Roman" w:cs="Times New Roman"/>
          <w:sz w:val="20"/>
          <w:szCs w:val="20"/>
          <w:lang w:val="en-GB"/>
        </w:rPr>
        <w:lastRenderedPageBreak/>
        <w:t>outperformed the othe</w:t>
      </w:r>
      <w:r w:rsidR="00291CAF" w:rsidRPr="00DF0492">
        <w:rPr>
          <w:rFonts w:ascii="Times New Roman" w:hAnsi="Times New Roman" w:cs="Times New Roman"/>
          <w:sz w:val="20"/>
          <w:szCs w:val="20"/>
          <w:lang w:val="en-GB"/>
        </w:rPr>
        <w:t>r cultivar</w:t>
      </w:r>
      <w:r w:rsidRPr="00DF0492">
        <w:rPr>
          <w:rFonts w:ascii="Times New Roman" w:hAnsi="Times New Roman" w:cs="Times New Roman"/>
          <w:sz w:val="20"/>
          <w:szCs w:val="20"/>
          <w:lang w:val="en-GB"/>
        </w:rPr>
        <w:t xml:space="preserve">. The maximum decomposition rate (negative growth rate) </w:t>
      </w:r>
      <w:r w:rsidR="003110ED" w:rsidRPr="00DF0492">
        <w:rPr>
          <w:rFonts w:ascii="Times New Roman" w:hAnsi="Times New Roman" w:cs="Times New Roman"/>
          <w:sz w:val="20"/>
          <w:szCs w:val="20"/>
          <w:lang w:val="en-GB"/>
        </w:rPr>
        <w:t>occurred</w:t>
      </w:r>
      <w:r w:rsidRPr="00DF0492">
        <w:rPr>
          <w:rFonts w:ascii="Times New Roman" w:hAnsi="Times New Roman" w:cs="Times New Roman"/>
          <w:sz w:val="20"/>
          <w:szCs w:val="20"/>
          <w:lang w:val="en-GB"/>
        </w:rPr>
        <w:t xml:space="preserve"> around 293-350 days (after BBCH 92) for all soils and wheat cultivars. </w:t>
      </w:r>
      <w:r w:rsidRPr="00DF0492">
        <w:rPr>
          <w:rFonts w:ascii="Times New Roman" w:hAnsi="Times New Roman" w:cs="Times New Roman"/>
          <w:sz w:val="20"/>
          <w:szCs w:val="20"/>
        </w:rPr>
        <w:t xml:space="preserve">The highest degradation rate (around 5 </w:t>
      </w:r>
      <w:r w:rsidRPr="00DF0492">
        <w:rPr>
          <w:rFonts w:ascii="Times New Roman" w:hAnsi="Times New Roman" w:cs="Times New Roman"/>
          <w:sz w:val="20"/>
          <w:szCs w:val="20"/>
          <w:lang w:val="en-GB"/>
        </w:rPr>
        <w:t>g m</w:t>
      </w:r>
      <w:r w:rsidRPr="00DF0492">
        <w:rPr>
          <w:rFonts w:ascii="Times New Roman" w:hAnsi="Times New Roman" w:cs="Times New Roman"/>
          <w:sz w:val="20"/>
          <w:szCs w:val="20"/>
          <w:vertAlign w:val="superscript"/>
          <w:lang w:val="en-GB"/>
        </w:rPr>
        <w:t>-</w:t>
      </w:r>
      <w:r w:rsidRPr="00DF0492">
        <w:rPr>
          <w:rFonts w:ascii="Times New Roman" w:hAnsi="Times New Roman" w:cs="Times New Roman"/>
          <w:sz w:val="20"/>
          <w:szCs w:val="20"/>
          <w:lang w:val="en-GB"/>
        </w:rPr>
        <w:t>² day</w:t>
      </w:r>
      <w:r w:rsidRPr="00DF0492">
        <w:rPr>
          <w:rFonts w:ascii="Times New Roman" w:hAnsi="Times New Roman" w:cs="Times New Roman"/>
          <w:sz w:val="20"/>
          <w:szCs w:val="20"/>
          <w:vertAlign w:val="superscript"/>
          <w:lang w:val="en-GB"/>
        </w:rPr>
        <w:t>-1</w:t>
      </w:r>
      <w:r w:rsidRPr="00DF0492">
        <w:rPr>
          <w:rFonts w:ascii="Times New Roman" w:hAnsi="Times New Roman" w:cs="Times New Roman"/>
          <w:sz w:val="20"/>
          <w:szCs w:val="20"/>
        </w:rPr>
        <w:t xml:space="preserve">) was observed in </w:t>
      </w:r>
      <w:proofErr w:type="spellStart"/>
      <w:r w:rsidRPr="00DF0492">
        <w:rPr>
          <w:rFonts w:ascii="Times New Roman" w:hAnsi="Times New Roman" w:cs="Times New Roman"/>
          <w:sz w:val="20"/>
          <w:szCs w:val="20"/>
        </w:rPr>
        <w:t>Lv</w:t>
      </w:r>
      <w:proofErr w:type="spellEnd"/>
      <w:r w:rsidRPr="00DF0492">
        <w:rPr>
          <w:rFonts w:ascii="Times New Roman" w:hAnsi="Times New Roman" w:cs="Times New Roman"/>
          <w:sz w:val="20"/>
          <w:szCs w:val="20"/>
        </w:rPr>
        <w:t xml:space="preserve">-ng and </w:t>
      </w:r>
      <w:proofErr w:type="spellStart"/>
      <w:r w:rsidRPr="00DF0492">
        <w:rPr>
          <w:rFonts w:ascii="Times New Roman" w:hAnsi="Times New Roman" w:cs="Times New Roman"/>
          <w:sz w:val="20"/>
          <w:szCs w:val="20"/>
        </w:rPr>
        <w:t>Lv</w:t>
      </w:r>
      <w:proofErr w:type="spellEnd"/>
      <w:r w:rsidRPr="00DF0492">
        <w:rPr>
          <w:rFonts w:ascii="Times New Roman" w:hAnsi="Times New Roman" w:cs="Times New Roman"/>
          <w:sz w:val="20"/>
          <w:szCs w:val="20"/>
        </w:rPr>
        <w:t xml:space="preserve">-cc for the </w:t>
      </w:r>
      <w:proofErr w:type="spellStart"/>
      <w:r w:rsidRPr="00DF0492">
        <w:rPr>
          <w:rFonts w:ascii="Times New Roman" w:hAnsi="Times New Roman" w:cs="Times New Roman"/>
          <w:sz w:val="20"/>
          <w:szCs w:val="20"/>
        </w:rPr>
        <w:t>Ponticus</w:t>
      </w:r>
      <w:proofErr w:type="spellEnd"/>
      <w:r w:rsidRPr="00DF0492">
        <w:rPr>
          <w:rFonts w:ascii="Times New Roman" w:hAnsi="Times New Roman" w:cs="Times New Roman"/>
          <w:sz w:val="20"/>
          <w:szCs w:val="20"/>
        </w:rPr>
        <w:t xml:space="preserve"> and </w:t>
      </w:r>
      <w:proofErr w:type="spellStart"/>
      <w:r w:rsidRPr="00DF0492">
        <w:rPr>
          <w:rFonts w:ascii="Times New Roman" w:hAnsi="Times New Roman" w:cs="Times New Roman"/>
          <w:sz w:val="20"/>
          <w:szCs w:val="20"/>
        </w:rPr>
        <w:t>Ostpreußischer</w:t>
      </w:r>
      <w:proofErr w:type="spellEnd"/>
      <w:r w:rsidRPr="00DF0492">
        <w:rPr>
          <w:rFonts w:ascii="Times New Roman" w:hAnsi="Times New Roman" w:cs="Times New Roman"/>
          <w:sz w:val="20"/>
          <w:szCs w:val="20"/>
        </w:rPr>
        <w:t xml:space="preserve"> cultivars, respectively. The greatest root concentration was observed at BBCH 37 and 69 (228 and 251 days after sowing) of the </w:t>
      </w:r>
      <w:proofErr w:type="spellStart"/>
      <w:r w:rsidRPr="00DF0492">
        <w:rPr>
          <w:rFonts w:ascii="Times New Roman" w:hAnsi="Times New Roman" w:cs="Times New Roman"/>
          <w:sz w:val="20"/>
          <w:szCs w:val="20"/>
        </w:rPr>
        <w:t>Hadmerslebener</w:t>
      </w:r>
      <w:proofErr w:type="spellEnd"/>
      <w:r w:rsidRPr="00DF0492">
        <w:rPr>
          <w:rFonts w:ascii="Times New Roman" w:hAnsi="Times New Roman" w:cs="Times New Roman"/>
          <w:sz w:val="20"/>
          <w:szCs w:val="20"/>
        </w:rPr>
        <w:t xml:space="preserve"> at </w:t>
      </w:r>
      <w:proofErr w:type="spellStart"/>
      <w:r w:rsidRPr="00DF0492">
        <w:rPr>
          <w:rFonts w:ascii="Times New Roman" w:hAnsi="Times New Roman" w:cs="Times New Roman"/>
          <w:sz w:val="20"/>
          <w:szCs w:val="20"/>
        </w:rPr>
        <w:t>Lv</w:t>
      </w:r>
      <w:proofErr w:type="spellEnd"/>
      <w:r w:rsidRPr="00DF0492">
        <w:rPr>
          <w:rFonts w:ascii="Times New Roman" w:hAnsi="Times New Roman" w:cs="Times New Roman"/>
          <w:sz w:val="20"/>
          <w:szCs w:val="20"/>
        </w:rPr>
        <w:t xml:space="preserve">-cc between the soil layers of 0.8 and 1.2m depth followed by </w:t>
      </w:r>
      <w:proofErr w:type="spellStart"/>
      <w:r w:rsidRPr="00DF0492">
        <w:rPr>
          <w:rFonts w:ascii="Times New Roman" w:hAnsi="Times New Roman" w:cs="Times New Roman"/>
          <w:sz w:val="20"/>
          <w:szCs w:val="20"/>
        </w:rPr>
        <w:t>Ostpreußischer</w:t>
      </w:r>
      <w:proofErr w:type="spellEnd"/>
      <w:r w:rsidRPr="00DF0492">
        <w:rPr>
          <w:rFonts w:ascii="Times New Roman" w:hAnsi="Times New Roman" w:cs="Times New Roman"/>
          <w:sz w:val="20"/>
          <w:szCs w:val="20"/>
        </w:rPr>
        <w:t xml:space="preserve"> at </w:t>
      </w:r>
      <w:proofErr w:type="spellStart"/>
      <w:r w:rsidRPr="00DF0492">
        <w:rPr>
          <w:rFonts w:ascii="Times New Roman" w:hAnsi="Times New Roman" w:cs="Times New Roman"/>
          <w:sz w:val="20"/>
          <w:szCs w:val="20"/>
          <w:lang w:val="en-GB"/>
        </w:rPr>
        <w:t>Lv</w:t>
      </w:r>
      <w:proofErr w:type="spellEnd"/>
      <w:r w:rsidRPr="00DF0492">
        <w:rPr>
          <w:rFonts w:ascii="Times New Roman" w:hAnsi="Times New Roman" w:cs="Times New Roman"/>
          <w:sz w:val="20"/>
          <w:szCs w:val="20"/>
          <w:lang w:val="en-GB"/>
        </w:rPr>
        <w:t xml:space="preserve">-ng </w:t>
      </w:r>
      <w:r w:rsidRPr="00DF0492">
        <w:rPr>
          <w:rFonts w:ascii="Times New Roman" w:hAnsi="Times New Roman" w:cs="Times New Roman"/>
          <w:sz w:val="20"/>
          <w:szCs w:val="20"/>
        </w:rPr>
        <w:t xml:space="preserve">at depth between 0.8 and 1.6m (Fig. </w:t>
      </w:r>
      <w:r w:rsidR="003110ED">
        <w:rPr>
          <w:rFonts w:ascii="Times New Roman" w:hAnsi="Times New Roman" w:cs="Times New Roman"/>
          <w:sz w:val="20"/>
          <w:szCs w:val="20"/>
        </w:rPr>
        <w:t>3</w:t>
      </w:r>
      <w:r w:rsidRPr="00DF0492">
        <w:rPr>
          <w:rFonts w:ascii="Times New Roman" w:hAnsi="Times New Roman" w:cs="Times New Roman"/>
          <w:sz w:val="20"/>
          <w:szCs w:val="20"/>
        </w:rPr>
        <w:t xml:space="preserve">). At </w:t>
      </w:r>
      <w:proofErr w:type="spellStart"/>
      <w:r w:rsidR="00C02ABD" w:rsidRPr="00DF0492">
        <w:rPr>
          <w:rFonts w:ascii="Times New Roman" w:hAnsi="Times New Roman" w:cs="Times New Roman"/>
          <w:sz w:val="20"/>
          <w:szCs w:val="20"/>
          <w:lang w:val="en-GB"/>
        </w:rPr>
        <w:t>Rg</w:t>
      </w:r>
      <w:proofErr w:type="spellEnd"/>
      <w:r w:rsidR="00C02ABD" w:rsidRPr="00DF0492">
        <w:rPr>
          <w:rFonts w:ascii="Times New Roman" w:hAnsi="Times New Roman" w:cs="Times New Roman"/>
          <w:sz w:val="20"/>
          <w:szCs w:val="20"/>
          <w:lang w:val="en-GB"/>
        </w:rPr>
        <w:t>-ca</w:t>
      </w:r>
      <w:r w:rsidRPr="00DF0492">
        <w:rPr>
          <w:rFonts w:ascii="Times New Roman" w:hAnsi="Times New Roman" w:cs="Times New Roman"/>
          <w:sz w:val="20"/>
          <w:szCs w:val="20"/>
        </w:rPr>
        <w:t xml:space="preserve">, </w:t>
      </w:r>
      <w:proofErr w:type="spellStart"/>
      <w:r w:rsidRPr="00DF0492">
        <w:rPr>
          <w:rFonts w:ascii="Times New Roman" w:hAnsi="Times New Roman" w:cs="Times New Roman"/>
          <w:sz w:val="20"/>
          <w:szCs w:val="20"/>
        </w:rPr>
        <w:t>Ostpreußischer</w:t>
      </w:r>
      <w:proofErr w:type="spellEnd"/>
      <w:r w:rsidRPr="00DF0492">
        <w:rPr>
          <w:rFonts w:ascii="Times New Roman" w:hAnsi="Times New Roman" w:cs="Times New Roman"/>
          <w:sz w:val="20"/>
          <w:szCs w:val="20"/>
        </w:rPr>
        <w:t xml:space="preserve"> presented the greatest homogeneity of root distribution profile along soil depth. The highest root degradation appeared in </w:t>
      </w:r>
      <w:proofErr w:type="spellStart"/>
      <w:r w:rsidR="00436881" w:rsidRPr="00DF0492">
        <w:rPr>
          <w:rFonts w:ascii="Times New Roman" w:hAnsi="Times New Roman" w:cs="Times New Roman"/>
          <w:sz w:val="20"/>
          <w:szCs w:val="20"/>
          <w:lang w:val="en-GB"/>
        </w:rPr>
        <w:t>Rg</w:t>
      </w:r>
      <w:proofErr w:type="spellEnd"/>
      <w:r w:rsidR="00436881" w:rsidRPr="00DF0492">
        <w:rPr>
          <w:rFonts w:ascii="Times New Roman" w:hAnsi="Times New Roman" w:cs="Times New Roman"/>
          <w:sz w:val="20"/>
          <w:szCs w:val="20"/>
          <w:lang w:val="en-GB"/>
        </w:rPr>
        <w:t>-ca</w:t>
      </w:r>
      <w:r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rPr>
        <w:t xml:space="preserve">for the wheat cultivars </w:t>
      </w:r>
      <w:proofErr w:type="spellStart"/>
      <w:r w:rsidRPr="00DF0492">
        <w:rPr>
          <w:rFonts w:ascii="Times New Roman" w:hAnsi="Times New Roman" w:cs="Times New Roman"/>
          <w:sz w:val="20"/>
          <w:szCs w:val="20"/>
        </w:rPr>
        <w:t>Ponticus</w:t>
      </w:r>
      <w:proofErr w:type="spellEnd"/>
      <w:r w:rsidRPr="00DF0492">
        <w:rPr>
          <w:rFonts w:ascii="Times New Roman" w:hAnsi="Times New Roman" w:cs="Times New Roman"/>
          <w:sz w:val="20"/>
          <w:szCs w:val="20"/>
        </w:rPr>
        <w:t xml:space="preserve"> and </w:t>
      </w:r>
      <w:proofErr w:type="spellStart"/>
      <w:r w:rsidRPr="00DF0492">
        <w:rPr>
          <w:rFonts w:ascii="Times New Roman" w:hAnsi="Times New Roman" w:cs="Times New Roman"/>
          <w:sz w:val="20"/>
          <w:szCs w:val="20"/>
        </w:rPr>
        <w:t>Ostpreußischer</w:t>
      </w:r>
      <w:proofErr w:type="spellEnd"/>
      <w:r w:rsidRPr="00DF0492">
        <w:rPr>
          <w:rFonts w:ascii="Times New Roman" w:hAnsi="Times New Roman" w:cs="Times New Roman"/>
          <w:sz w:val="20"/>
          <w:szCs w:val="20"/>
        </w:rPr>
        <w:t xml:space="preserve"> at soil depth of 0.8 and 1.2 m respectively.</w:t>
      </w:r>
    </w:p>
    <w:tbl>
      <w:tblPr>
        <w:tblStyle w:val="Tabellenraster"/>
        <w:tblW w:w="0" w:type="auto"/>
        <w:tblLook w:val="04A0" w:firstRow="1" w:lastRow="0" w:firstColumn="1" w:lastColumn="0" w:noHBand="0" w:noVBand="1"/>
      </w:tblPr>
      <w:tblGrid>
        <w:gridCol w:w="9628"/>
      </w:tblGrid>
      <w:tr w:rsidR="001E2F84" w:rsidRPr="00DF0492" w14:paraId="1CC52ABA" w14:textId="77777777" w:rsidTr="0044379D">
        <w:tc>
          <w:tcPr>
            <w:tcW w:w="9628" w:type="dxa"/>
          </w:tcPr>
          <w:p w14:paraId="091243F1" w14:textId="06C806F4" w:rsidR="001E2F84" w:rsidRPr="00DF0492" w:rsidRDefault="002655C8" w:rsidP="00DF0492">
            <w:pPr>
              <w:spacing w:line="360" w:lineRule="auto"/>
              <w:jc w:val="both"/>
              <w:rPr>
                <w:rFonts w:ascii="Times New Roman" w:hAnsi="Times New Roman" w:cs="Times New Roman"/>
                <w:sz w:val="20"/>
                <w:szCs w:val="20"/>
              </w:rPr>
            </w:pPr>
            <w:r>
              <w:rPr>
                <w:rFonts w:ascii="Times New Roman" w:hAnsi="Times New Roman" w:cs="Times New Roman"/>
                <w:sz w:val="20"/>
                <w:szCs w:val="20"/>
              </w:rPr>
              <w:pict w14:anchorId="24278E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5.45pt;height:167.45pt">
                  <v:imagedata r:id="rId9" o:title="Fig3"/>
                </v:shape>
              </w:pict>
            </w:r>
          </w:p>
        </w:tc>
      </w:tr>
    </w:tbl>
    <w:p w14:paraId="3FC3AD46" w14:textId="351F908C" w:rsidR="00761FEE" w:rsidRPr="007170EB" w:rsidRDefault="001E2F84" w:rsidP="00761FEE">
      <w:pPr>
        <w:spacing w:line="360" w:lineRule="auto"/>
        <w:jc w:val="both"/>
        <w:rPr>
          <w:rFonts w:ascii="Times New Roman" w:hAnsi="Times New Roman" w:cs="Times New Roman"/>
          <w:b/>
          <w:sz w:val="20"/>
          <w:szCs w:val="20"/>
        </w:rPr>
      </w:pPr>
      <w:r w:rsidRPr="007170EB">
        <w:rPr>
          <w:rFonts w:ascii="Times New Roman" w:hAnsi="Times New Roman" w:cs="Times New Roman"/>
          <w:b/>
          <w:sz w:val="20"/>
          <w:szCs w:val="20"/>
        </w:rPr>
        <w:t xml:space="preserve">Figure </w:t>
      </w:r>
      <w:r w:rsidR="00D71146">
        <w:rPr>
          <w:rFonts w:ascii="Times New Roman" w:hAnsi="Times New Roman" w:cs="Times New Roman"/>
          <w:b/>
          <w:sz w:val="20"/>
          <w:szCs w:val="20"/>
        </w:rPr>
        <w:t>3</w:t>
      </w:r>
      <w:r w:rsidR="007170EB">
        <w:rPr>
          <w:rFonts w:ascii="Times New Roman" w:hAnsi="Times New Roman" w:cs="Times New Roman"/>
          <w:b/>
          <w:sz w:val="20"/>
          <w:szCs w:val="20"/>
        </w:rPr>
        <w:t>:</w:t>
      </w:r>
      <w:r w:rsidRPr="007170EB">
        <w:rPr>
          <w:rFonts w:ascii="Times New Roman" w:hAnsi="Times New Roman" w:cs="Times New Roman"/>
          <w:b/>
          <w:sz w:val="20"/>
          <w:szCs w:val="20"/>
        </w:rPr>
        <w:t xml:space="preserve"> </w:t>
      </w:r>
      <w:r w:rsidR="00761FEE" w:rsidRPr="00761FEE">
        <w:rPr>
          <w:rFonts w:ascii="Times New Roman" w:hAnsi="Times New Roman" w:cs="Times New Roman"/>
          <w:b/>
          <w:sz w:val="20"/>
          <w:szCs w:val="20"/>
        </w:rPr>
        <w:t>Representation of the soil profile for each plot, accompanied by average root area values measured across soil depths for each wheat cultivar over time.</w:t>
      </w:r>
    </w:p>
    <w:p w14:paraId="089FE8C4" w14:textId="77777777" w:rsidR="001E2F84" w:rsidRPr="00DF0492" w:rsidRDefault="001E2F84" w:rsidP="00DF0492">
      <w:pPr>
        <w:spacing w:line="360" w:lineRule="auto"/>
        <w:jc w:val="both"/>
        <w:rPr>
          <w:rFonts w:ascii="Times New Roman" w:hAnsi="Times New Roman" w:cs="Times New Roman"/>
          <w:sz w:val="20"/>
          <w:szCs w:val="20"/>
        </w:rPr>
      </w:pPr>
    </w:p>
    <w:tbl>
      <w:tblPr>
        <w:tblStyle w:val="Tabellenraster"/>
        <w:tblW w:w="0" w:type="auto"/>
        <w:tblLook w:val="04A0" w:firstRow="1" w:lastRow="0" w:firstColumn="1" w:lastColumn="0" w:noHBand="0" w:noVBand="1"/>
      </w:tblPr>
      <w:tblGrid>
        <w:gridCol w:w="9628"/>
      </w:tblGrid>
      <w:tr w:rsidR="001E2F84" w:rsidRPr="00DF0492" w14:paraId="0217ADC0" w14:textId="77777777" w:rsidTr="0044379D">
        <w:tc>
          <w:tcPr>
            <w:tcW w:w="9628" w:type="dxa"/>
          </w:tcPr>
          <w:p w14:paraId="49C412F2" w14:textId="3E2302BD" w:rsidR="001E2F84" w:rsidRPr="00DF0492" w:rsidRDefault="00865ED7" w:rsidP="00DF0492">
            <w:pPr>
              <w:spacing w:line="360" w:lineRule="auto"/>
              <w:jc w:val="both"/>
              <w:rPr>
                <w:rFonts w:ascii="Times New Roman" w:hAnsi="Times New Roman" w:cs="Times New Roman"/>
                <w:sz w:val="20"/>
                <w:szCs w:val="20"/>
              </w:rPr>
            </w:pPr>
            <w:r>
              <w:rPr>
                <w:rFonts w:ascii="Times New Roman" w:hAnsi="Times New Roman" w:cs="Times New Roman"/>
                <w:sz w:val="20"/>
                <w:szCs w:val="20"/>
              </w:rPr>
              <w:lastRenderedPageBreak/>
              <w:pict w14:anchorId="06A2A479">
                <v:shape id="_x0000_i1028" type="#_x0000_t75" style="width:473.15pt;height:632pt">
                  <v:imagedata r:id="rId10" o:title="Fig4.tiff"/>
                </v:shape>
              </w:pict>
            </w:r>
          </w:p>
        </w:tc>
      </w:tr>
    </w:tbl>
    <w:p w14:paraId="40B616D6" w14:textId="17B13E5C" w:rsidR="000209F2" w:rsidRPr="007170EB" w:rsidRDefault="00D71146" w:rsidP="00761FEE">
      <w:pPr>
        <w:spacing w:line="360" w:lineRule="auto"/>
        <w:jc w:val="both"/>
        <w:rPr>
          <w:rFonts w:ascii="Times New Roman" w:hAnsi="Times New Roman" w:cs="Times New Roman"/>
          <w:b/>
          <w:sz w:val="20"/>
          <w:szCs w:val="20"/>
        </w:rPr>
      </w:pPr>
      <w:r w:rsidRPr="00D71146">
        <w:rPr>
          <w:rFonts w:ascii="Times New Roman" w:hAnsi="Times New Roman" w:cs="Times New Roman"/>
          <w:b/>
          <w:sz w:val="20"/>
          <w:szCs w:val="20"/>
        </w:rPr>
        <w:t xml:space="preserve">Figure 4. Crop biomass [g m⁻²] and corresponding carbon </w:t>
      </w:r>
      <w:r w:rsidR="00DC4124">
        <w:rPr>
          <w:rFonts w:ascii="Times New Roman" w:hAnsi="Times New Roman" w:cs="Times New Roman"/>
          <w:b/>
          <w:sz w:val="20"/>
          <w:szCs w:val="20"/>
        </w:rPr>
        <w:t>masses</w:t>
      </w:r>
      <w:r w:rsidR="00DC4124" w:rsidRPr="00D71146">
        <w:rPr>
          <w:rFonts w:ascii="Times New Roman" w:hAnsi="Times New Roman" w:cs="Times New Roman"/>
          <w:b/>
          <w:sz w:val="20"/>
          <w:szCs w:val="20"/>
        </w:rPr>
        <w:t xml:space="preserve"> </w:t>
      </w:r>
      <w:r w:rsidR="00DC4124">
        <w:rPr>
          <w:rFonts w:ascii="Times New Roman" w:hAnsi="Times New Roman" w:cs="Times New Roman"/>
          <w:b/>
          <w:sz w:val="20"/>
          <w:szCs w:val="20"/>
        </w:rPr>
        <w:t>[g m</w:t>
      </w:r>
      <w:r w:rsidR="00DC4124" w:rsidRPr="00472631">
        <w:rPr>
          <w:rFonts w:ascii="Times New Roman" w:hAnsi="Times New Roman" w:cs="Times New Roman"/>
          <w:b/>
          <w:sz w:val="20"/>
          <w:szCs w:val="20"/>
          <w:vertAlign w:val="superscript"/>
        </w:rPr>
        <w:t>-2</w:t>
      </w:r>
      <w:r w:rsidR="00DC4124">
        <w:rPr>
          <w:rFonts w:ascii="Times New Roman" w:hAnsi="Times New Roman" w:cs="Times New Roman"/>
          <w:b/>
          <w:sz w:val="20"/>
          <w:szCs w:val="20"/>
        </w:rPr>
        <w:t xml:space="preserve">] </w:t>
      </w:r>
      <w:r w:rsidRPr="00D71146">
        <w:rPr>
          <w:rFonts w:ascii="Times New Roman" w:hAnsi="Times New Roman" w:cs="Times New Roman"/>
          <w:b/>
          <w:sz w:val="20"/>
          <w:szCs w:val="20"/>
        </w:rPr>
        <w:t xml:space="preserve">for three wheat cultivars </w:t>
      </w:r>
      <w:r w:rsidR="00DC4124">
        <w:rPr>
          <w:rFonts w:ascii="Times New Roman" w:hAnsi="Times New Roman" w:cs="Times New Roman"/>
          <w:b/>
          <w:sz w:val="20"/>
          <w:szCs w:val="20"/>
        </w:rPr>
        <w:t>along</w:t>
      </w:r>
      <w:r w:rsidR="00DC4124" w:rsidRPr="00D71146">
        <w:rPr>
          <w:rFonts w:ascii="Times New Roman" w:hAnsi="Times New Roman" w:cs="Times New Roman"/>
          <w:b/>
          <w:sz w:val="20"/>
          <w:szCs w:val="20"/>
        </w:rPr>
        <w:t xml:space="preserve"> </w:t>
      </w:r>
      <w:r w:rsidRPr="00D71146">
        <w:rPr>
          <w:rFonts w:ascii="Times New Roman" w:hAnsi="Times New Roman" w:cs="Times New Roman"/>
          <w:b/>
          <w:sz w:val="20"/>
          <w:szCs w:val="20"/>
        </w:rPr>
        <w:t>the erosion–deposition gradient. (</w:t>
      </w:r>
      <w:r>
        <w:rPr>
          <w:rFonts w:ascii="Times New Roman" w:hAnsi="Times New Roman" w:cs="Times New Roman"/>
          <w:b/>
          <w:sz w:val="20"/>
          <w:szCs w:val="20"/>
        </w:rPr>
        <w:t>a</w:t>
      </w:r>
      <w:r w:rsidRPr="00D71146">
        <w:rPr>
          <w:rFonts w:ascii="Times New Roman" w:hAnsi="Times New Roman" w:cs="Times New Roman"/>
          <w:b/>
          <w:sz w:val="20"/>
          <w:szCs w:val="20"/>
        </w:rPr>
        <w:t>) Grain yield, (</w:t>
      </w:r>
      <w:r>
        <w:rPr>
          <w:rFonts w:ascii="Times New Roman" w:hAnsi="Times New Roman" w:cs="Times New Roman"/>
          <w:b/>
          <w:sz w:val="20"/>
          <w:szCs w:val="20"/>
        </w:rPr>
        <w:t>b</w:t>
      </w:r>
      <w:r w:rsidRPr="00D71146">
        <w:rPr>
          <w:rFonts w:ascii="Times New Roman" w:hAnsi="Times New Roman" w:cs="Times New Roman"/>
          <w:b/>
          <w:sz w:val="20"/>
          <w:szCs w:val="20"/>
        </w:rPr>
        <w:t>) Straw biomass, and (</w:t>
      </w:r>
      <w:r>
        <w:rPr>
          <w:rFonts w:ascii="Times New Roman" w:hAnsi="Times New Roman" w:cs="Times New Roman"/>
          <w:b/>
          <w:sz w:val="20"/>
          <w:szCs w:val="20"/>
        </w:rPr>
        <w:t>c</w:t>
      </w:r>
      <w:r w:rsidRPr="00D71146">
        <w:rPr>
          <w:rFonts w:ascii="Times New Roman" w:hAnsi="Times New Roman" w:cs="Times New Roman"/>
          <w:b/>
          <w:sz w:val="20"/>
          <w:szCs w:val="20"/>
        </w:rPr>
        <w:t>) Root biomass measured at growth stage BBCH 69.</w:t>
      </w:r>
      <w:bookmarkStart w:id="0" w:name="_GoBack"/>
      <w:bookmarkEnd w:id="0"/>
    </w:p>
    <w:p w14:paraId="28444418" w14:textId="77777777" w:rsidR="00DA04E9" w:rsidRPr="00DF0492" w:rsidRDefault="00DA04E9" w:rsidP="00DF0492">
      <w:pPr>
        <w:spacing w:line="360" w:lineRule="auto"/>
        <w:jc w:val="both"/>
        <w:rPr>
          <w:rFonts w:ascii="Times New Roman" w:hAnsi="Times New Roman" w:cs="Times New Roman"/>
          <w:sz w:val="20"/>
          <w:szCs w:val="20"/>
        </w:rPr>
      </w:pPr>
    </w:p>
    <w:p w14:paraId="2E4D3FA6" w14:textId="76D436FE" w:rsidR="00D044BB" w:rsidRPr="007163EA" w:rsidRDefault="007163EA" w:rsidP="00DF0492">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 xml:space="preserve">3.2 </w:t>
      </w:r>
      <w:r w:rsidR="00FD72EA" w:rsidRPr="007163EA">
        <w:rPr>
          <w:rFonts w:ascii="Times New Roman" w:hAnsi="Times New Roman" w:cs="Times New Roman"/>
          <w:b/>
          <w:sz w:val="20"/>
          <w:szCs w:val="20"/>
        </w:rPr>
        <w:t>Shoot biomass</w:t>
      </w:r>
    </w:p>
    <w:p w14:paraId="09D8B24B" w14:textId="333FB807" w:rsidR="00E346ED" w:rsidRDefault="00FD72EA" w:rsidP="00E346ED">
      <w:pPr>
        <w:pStyle w:val="StandardWeb"/>
        <w:spacing w:beforeAutospacing="0" w:afterAutospacing="0" w:line="360" w:lineRule="auto"/>
        <w:ind w:firstLine="709"/>
        <w:jc w:val="both"/>
        <w:rPr>
          <w:sz w:val="20"/>
          <w:szCs w:val="20"/>
          <w:lang w:val="en-GB"/>
        </w:rPr>
      </w:pPr>
      <w:r w:rsidRPr="00DF0492">
        <w:rPr>
          <w:sz w:val="20"/>
          <w:szCs w:val="20"/>
          <w:lang w:val="en-GB"/>
        </w:rPr>
        <w:lastRenderedPageBreak/>
        <w:t>The total shoot biomass decreases with the increase in soil erosion degree (</w:t>
      </w:r>
      <w:r w:rsidR="00465BF6">
        <w:rPr>
          <w:sz w:val="20"/>
          <w:szCs w:val="20"/>
          <w:lang w:val="en-GB"/>
        </w:rPr>
        <w:t>Figure S</w:t>
      </w:r>
      <w:r w:rsidR="00633124">
        <w:rPr>
          <w:sz w:val="20"/>
          <w:szCs w:val="20"/>
          <w:lang w:val="en-GB"/>
        </w:rPr>
        <w:t>5</w:t>
      </w:r>
      <w:r w:rsidRPr="00DF0492">
        <w:rPr>
          <w:sz w:val="20"/>
          <w:szCs w:val="20"/>
          <w:lang w:val="en-GB"/>
        </w:rPr>
        <w:t xml:space="preserve">), with wheat in </w:t>
      </w:r>
      <w:proofErr w:type="spellStart"/>
      <w:r w:rsidR="00C110E5" w:rsidRPr="00DF0492">
        <w:rPr>
          <w:sz w:val="20"/>
          <w:szCs w:val="20"/>
          <w:lang w:val="en-GB"/>
        </w:rPr>
        <w:t>Rg</w:t>
      </w:r>
      <w:proofErr w:type="spellEnd"/>
      <w:r w:rsidR="00C110E5" w:rsidRPr="00DF0492">
        <w:rPr>
          <w:sz w:val="20"/>
          <w:szCs w:val="20"/>
          <w:lang w:val="en-GB"/>
        </w:rPr>
        <w:t>-ca</w:t>
      </w:r>
      <w:r w:rsidRPr="00DF0492">
        <w:rPr>
          <w:sz w:val="20"/>
          <w:szCs w:val="20"/>
          <w:lang w:val="en-GB"/>
        </w:rPr>
        <w:t xml:space="preserve"> at knolls producing 500 g</w:t>
      </w:r>
      <w:r w:rsidR="00F832C5" w:rsidRPr="00DF0492">
        <w:rPr>
          <w:sz w:val="20"/>
          <w:szCs w:val="20"/>
          <w:lang w:val="en-GB"/>
        </w:rPr>
        <w:t xml:space="preserve"> </w:t>
      </w:r>
      <w:r w:rsidRPr="00DF0492">
        <w:rPr>
          <w:sz w:val="20"/>
          <w:szCs w:val="20"/>
          <w:lang w:val="en-GB"/>
        </w:rPr>
        <w:t>m</w:t>
      </w:r>
      <w:r w:rsidRPr="00DF0492">
        <w:rPr>
          <w:sz w:val="20"/>
          <w:szCs w:val="20"/>
          <w:vertAlign w:val="superscript"/>
          <w:lang w:val="en-GB"/>
        </w:rPr>
        <w:t>-</w:t>
      </w:r>
      <w:r w:rsidRPr="00DF0492">
        <w:rPr>
          <w:sz w:val="20"/>
          <w:szCs w:val="20"/>
          <w:lang w:val="en-GB"/>
        </w:rPr>
        <w:t xml:space="preserve">² less biomass in comparison to Rg-co.gl at depressions. The </w:t>
      </w:r>
      <w:r w:rsidR="00C110E5" w:rsidRPr="00DF0492">
        <w:rPr>
          <w:sz w:val="20"/>
          <w:szCs w:val="20"/>
          <w:lang w:val="en-GB"/>
        </w:rPr>
        <w:t>more recently developed cultivar</w:t>
      </w:r>
      <w:r w:rsidRPr="00DF0492">
        <w:rPr>
          <w:sz w:val="20"/>
          <w:szCs w:val="20"/>
          <w:lang w:val="en-GB"/>
        </w:rPr>
        <w:t xml:space="preserve"> (</w:t>
      </w:r>
      <w:proofErr w:type="spellStart"/>
      <w:r w:rsidRPr="00DF0492">
        <w:rPr>
          <w:sz w:val="20"/>
          <w:szCs w:val="20"/>
          <w:lang w:val="en-GB"/>
        </w:rPr>
        <w:t>Ponticus</w:t>
      </w:r>
      <w:proofErr w:type="spellEnd"/>
      <w:r w:rsidRPr="00DF0492">
        <w:rPr>
          <w:sz w:val="20"/>
          <w:szCs w:val="20"/>
          <w:lang w:val="en-GB"/>
        </w:rPr>
        <w:t>) tend to produce greater shoot biomass than the other cultivars of the study, but without significant differences within soil types. When analysing grain production</w:t>
      </w:r>
      <w:r w:rsidR="00BC0955">
        <w:rPr>
          <w:sz w:val="20"/>
          <w:szCs w:val="20"/>
          <w:lang w:val="en-GB"/>
        </w:rPr>
        <w:t xml:space="preserve"> (Fig. 4</w:t>
      </w:r>
      <w:r w:rsidR="006E5288">
        <w:rPr>
          <w:sz w:val="20"/>
          <w:szCs w:val="20"/>
          <w:lang w:val="en-GB"/>
        </w:rPr>
        <w:t>a</w:t>
      </w:r>
      <w:r w:rsidR="00BC0955">
        <w:rPr>
          <w:sz w:val="20"/>
          <w:szCs w:val="20"/>
          <w:lang w:val="en-GB"/>
        </w:rPr>
        <w:t>)</w:t>
      </w:r>
      <w:r w:rsidRPr="00DF0492">
        <w:rPr>
          <w:sz w:val="20"/>
          <w:szCs w:val="20"/>
          <w:lang w:val="en-GB"/>
        </w:rPr>
        <w:t>, it is directly proportional to the age of the wheat cultivars, with a more pronounced effect in soils with lower erosion levels. The earlier developed cultivar (</w:t>
      </w:r>
      <w:proofErr w:type="spellStart"/>
      <w:r w:rsidR="00DC4124" w:rsidRPr="00DF0492">
        <w:rPr>
          <w:sz w:val="20"/>
          <w:szCs w:val="20"/>
          <w:lang w:val="en-GB"/>
        </w:rPr>
        <w:t>Ostpreu</w:t>
      </w:r>
      <w:r w:rsidR="00DC4124">
        <w:rPr>
          <w:sz w:val="20"/>
          <w:szCs w:val="20"/>
          <w:lang w:val="en-GB"/>
        </w:rPr>
        <w:t>ß</w:t>
      </w:r>
      <w:r w:rsidR="00DC4124" w:rsidRPr="00DF0492">
        <w:rPr>
          <w:sz w:val="20"/>
          <w:szCs w:val="20"/>
          <w:lang w:val="en-GB"/>
        </w:rPr>
        <w:t>ischer</w:t>
      </w:r>
      <w:proofErr w:type="spellEnd"/>
      <w:r w:rsidRPr="00DF0492">
        <w:rPr>
          <w:sz w:val="20"/>
          <w:szCs w:val="20"/>
          <w:lang w:val="en-GB"/>
        </w:rPr>
        <w:t xml:space="preserve">) in </w:t>
      </w:r>
      <w:proofErr w:type="spellStart"/>
      <w:r w:rsidRPr="00DF0492">
        <w:rPr>
          <w:sz w:val="20"/>
          <w:szCs w:val="20"/>
          <w:lang w:val="en-GB"/>
        </w:rPr>
        <w:t>Rg</w:t>
      </w:r>
      <w:proofErr w:type="spellEnd"/>
      <w:r w:rsidRPr="00DF0492">
        <w:rPr>
          <w:sz w:val="20"/>
          <w:szCs w:val="20"/>
          <w:lang w:val="en-GB"/>
        </w:rPr>
        <w:t xml:space="preserve">-ca produced 44% less grain than the </w:t>
      </w:r>
      <w:proofErr w:type="spellStart"/>
      <w:r w:rsidRPr="00DF0492">
        <w:rPr>
          <w:sz w:val="20"/>
          <w:szCs w:val="20"/>
          <w:lang w:val="en-GB"/>
        </w:rPr>
        <w:t>Ponticus</w:t>
      </w:r>
      <w:proofErr w:type="spellEnd"/>
      <w:r w:rsidRPr="00DF0492">
        <w:rPr>
          <w:sz w:val="20"/>
          <w:szCs w:val="20"/>
          <w:lang w:val="en-GB"/>
        </w:rPr>
        <w:t xml:space="preserve"> cultivar in Rg-co.gl. Straw production is also directly proportional to the degree of soil erosion but inversely proportional to the age of the wheat cultivar (</w:t>
      </w:r>
      <w:r w:rsidR="00465BF6">
        <w:rPr>
          <w:sz w:val="20"/>
          <w:szCs w:val="20"/>
          <w:lang w:val="en-GB"/>
        </w:rPr>
        <w:t>Fig</w:t>
      </w:r>
      <w:r w:rsidR="00BC0955">
        <w:rPr>
          <w:sz w:val="20"/>
          <w:szCs w:val="20"/>
          <w:lang w:val="en-GB"/>
        </w:rPr>
        <w:t>.</w:t>
      </w:r>
      <w:r w:rsidR="00465BF6">
        <w:rPr>
          <w:sz w:val="20"/>
          <w:szCs w:val="20"/>
          <w:lang w:val="en-GB"/>
        </w:rPr>
        <w:t xml:space="preserve"> </w:t>
      </w:r>
      <w:r w:rsidR="00BC0955">
        <w:rPr>
          <w:sz w:val="20"/>
          <w:szCs w:val="20"/>
          <w:lang w:val="en-GB"/>
        </w:rPr>
        <w:t>4</w:t>
      </w:r>
      <w:r w:rsidR="00742D48">
        <w:rPr>
          <w:sz w:val="20"/>
          <w:szCs w:val="20"/>
          <w:lang w:val="en-GB"/>
        </w:rPr>
        <w:t>b</w:t>
      </w:r>
      <w:r w:rsidRPr="00DF0492">
        <w:rPr>
          <w:sz w:val="20"/>
          <w:szCs w:val="20"/>
          <w:lang w:val="en-GB"/>
        </w:rPr>
        <w:t xml:space="preserve">). In this case, the </w:t>
      </w:r>
      <w:proofErr w:type="spellStart"/>
      <w:r w:rsidRPr="00DF0492">
        <w:rPr>
          <w:sz w:val="20"/>
          <w:szCs w:val="20"/>
          <w:lang w:val="en-GB"/>
        </w:rPr>
        <w:t>Ponticus</w:t>
      </w:r>
      <w:proofErr w:type="spellEnd"/>
      <w:r w:rsidRPr="00DF0492">
        <w:rPr>
          <w:sz w:val="20"/>
          <w:szCs w:val="20"/>
          <w:lang w:val="en-GB"/>
        </w:rPr>
        <w:t xml:space="preserve"> cultivar produced 50% less straw mass than the </w:t>
      </w:r>
      <w:proofErr w:type="spellStart"/>
      <w:r w:rsidRPr="00DF0492">
        <w:rPr>
          <w:sz w:val="20"/>
          <w:szCs w:val="20"/>
          <w:lang w:val="en-GB"/>
        </w:rPr>
        <w:t>Ostpreußischer</w:t>
      </w:r>
      <w:proofErr w:type="spellEnd"/>
      <w:r w:rsidRPr="00DF0492">
        <w:rPr>
          <w:sz w:val="20"/>
          <w:szCs w:val="20"/>
          <w:lang w:val="en-GB"/>
        </w:rPr>
        <w:t xml:space="preserve"> cultivar when comparing the extremes along the erosion-deposition gradient (</w:t>
      </w:r>
      <w:proofErr w:type="spellStart"/>
      <w:r w:rsidRPr="00DF0492">
        <w:rPr>
          <w:sz w:val="20"/>
          <w:szCs w:val="20"/>
          <w:lang w:val="en-GB"/>
        </w:rPr>
        <w:t>Rg</w:t>
      </w:r>
      <w:proofErr w:type="spellEnd"/>
      <w:r w:rsidRPr="00DF0492">
        <w:rPr>
          <w:sz w:val="20"/>
          <w:szCs w:val="20"/>
          <w:lang w:val="en-GB"/>
        </w:rPr>
        <w:t>-ca and Rg-co.gl). This ratio between grain and straw biomass resulted in a nearly constant harvest index (HI) (</w:t>
      </w:r>
      <w:r w:rsidR="007A0C71" w:rsidRPr="00DF0492">
        <w:rPr>
          <w:sz w:val="20"/>
          <w:szCs w:val="20"/>
          <w:lang w:val="en-GB"/>
        </w:rPr>
        <w:t>Fig</w:t>
      </w:r>
      <w:r w:rsidR="00BC0955">
        <w:rPr>
          <w:sz w:val="20"/>
          <w:szCs w:val="20"/>
          <w:lang w:val="en-GB"/>
        </w:rPr>
        <w:t>ure S6</w:t>
      </w:r>
      <w:r w:rsidRPr="00DF0492">
        <w:rPr>
          <w:sz w:val="20"/>
          <w:szCs w:val="20"/>
          <w:lang w:val="en-GB"/>
        </w:rPr>
        <w:t xml:space="preserve">) across different levels of soil erosion for the more recent wheat cultivars: </w:t>
      </w:r>
      <w:proofErr w:type="spellStart"/>
      <w:r w:rsidRPr="00DF0492">
        <w:rPr>
          <w:sz w:val="20"/>
          <w:szCs w:val="20"/>
          <w:lang w:val="en-GB"/>
        </w:rPr>
        <w:t>Ponticus</w:t>
      </w:r>
      <w:proofErr w:type="spellEnd"/>
      <w:r w:rsidRPr="00DF0492">
        <w:rPr>
          <w:sz w:val="20"/>
          <w:szCs w:val="20"/>
          <w:lang w:val="en-GB"/>
        </w:rPr>
        <w:t xml:space="preserve"> had values close to 0.7, and </w:t>
      </w:r>
      <w:proofErr w:type="spellStart"/>
      <w:r w:rsidR="009E64F8" w:rsidRPr="00DF0492">
        <w:rPr>
          <w:sz w:val="20"/>
          <w:szCs w:val="20"/>
          <w:lang w:val="en-GB"/>
        </w:rPr>
        <w:t>Hadmerslebener</w:t>
      </w:r>
      <w:proofErr w:type="spellEnd"/>
      <w:r w:rsidR="009E64F8" w:rsidRPr="00DF0492">
        <w:rPr>
          <w:sz w:val="20"/>
          <w:szCs w:val="20"/>
          <w:lang w:val="en-GB"/>
        </w:rPr>
        <w:t xml:space="preserve"> </w:t>
      </w:r>
      <w:r w:rsidRPr="00DF0492">
        <w:rPr>
          <w:sz w:val="20"/>
          <w:szCs w:val="20"/>
          <w:lang w:val="en-GB"/>
        </w:rPr>
        <w:t>had values around 0.6. However, the earlier developed cultivar (</w:t>
      </w:r>
      <w:proofErr w:type="spellStart"/>
      <w:r w:rsidRPr="00DF0492">
        <w:rPr>
          <w:sz w:val="20"/>
          <w:szCs w:val="20"/>
          <w:lang w:val="en-GB"/>
        </w:rPr>
        <w:t>Ostpreußischer</w:t>
      </w:r>
      <w:proofErr w:type="spellEnd"/>
      <w:r w:rsidRPr="00DF0492">
        <w:rPr>
          <w:sz w:val="20"/>
          <w:szCs w:val="20"/>
          <w:lang w:val="en-GB"/>
        </w:rPr>
        <w:t>) showed a greater dependency of the HI on the degree of soil erosion by a HI reduction of 45% from the most eroded soil (</w:t>
      </w:r>
      <w:proofErr w:type="spellStart"/>
      <w:r w:rsidRPr="00DF0492">
        <w:rPr>
          <w:sz w:val="20"/>
          <w:szCs w:val="20"/>
          <w:lang w:val="en-GB"/>
        </w:rPr>
        <w:t>Rg</w:t>
      </w:r>
      <w:proofErr w:type="spellEnd"/>
      <w:r w:rsidRPr="00DF0492">
        <w:rPr>
          <w:sz w:val="20"/>
          <w:szCs w:val="20"/>
          <w:lang w:val="en-GB"/>
        </w:rPr>
        <w:t>-ca) to the deposition soil (Rg-co.gl).</w:t>
      </w:r>
    </w:p>
    <w:p w14:paraId="75D7698C" w14:textId="593C8B83" w:rsidR="00D044BB" w:rsidRPr="00E346ED" w:rsidRDefault="00E346ED" w:rsidP="00E346ED">
      <w:pPr>
        <w:pStyle w:val="StandardWeb"/>
        <w:spacing w:beforeAutospacing="0" w:afterAutospacing="0" w:line="360" w:lineRule="auto"/>
        <w:ind w:firstLine="709"/>
        <w:jc w:val="both"/>
        <w:rPr>
          <w:sz w:val="20"/>
          <w:szCs w:val="20"/>
          <w:lang w:val="en-GB"/>
        </w:rPr>
      </w:pPr>
      <w:r w:rsidRPr="00E346ED">
        <w:rPr>
          <w:sz w:val="20"/>
          <w:szCs w:val="20"/>
          <w:lang w:val="en-GB"/>
        </w:rPr>
        <w:t xml:space="preserve"> </w:t>
      </w:r>
    </w:p>
    <w:p w14:paraId="63F92455" w14:textId="7874F566" w:rsidR="00D044BB" w:rsidRPr="007163EA" w:rsidRDefault="007163EA" w:rsidP="00DF0492">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 xml:space="preserve">3.3 </w:t>
      </w:r>
      <w:r w:rsidR="00FD72EA" w:rsidRPr="007163EA">
        <w:rPr>
          <w:rFonts w:ascii="Times New Roman" w:hAnsi="Times New Roman" w:cs="Times New Roman"/>
          <w:b/>
          <w:sz w:val="20"/>
          <w:szCs w:val="20"/>
        </w:rPr>
        <w:t>Root to shoot ratio</w:t>
      </w:r>
    </w:p>
    <w:p w14:paraId="6902079A" w14:textId="3A7282FD" w:rsidR="00E346ED" w:rsidRDefault="00FD72EA" w:rsidP="00E346ED">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No clear trend can be observed in the root-to-shoot ratio across soil erosion levels and wheat cultivars (</w:t>
      </w:r>
      <w:r w:rsidR="00A04997" w:rsidRPr="00DF0492">
        <w:rPr>
          <w:rFonts w:ascii="Times New Roman" w:hAnsi="Times New Roman" w:cs="Times New Roman"/>
          <w:sz w:val="20"/>
          <w:szCs w:val="20"/>
        </w:rPr>
        <w:t>Fig</w:t>
      </w:r>
      <w:r w:rsidR="00076DBD">
        <w:rPr>
          <w:rFonts w:ascii="Times New Roman" w:hAnsi="Times New Roman" w:cs="Times New Roman"/>
          <w:sz w:val="20"/>
          <w:szCs w:val="20"/>
        </w:rPr>
        <w:t>ure S7</w:t>
      </w:r>
      <w:r w:rsidRPr="00DF0492">
        <w:rPr>
          <w:rFonts w:ascii="Times New Roman" w:hAnsi="Times New Roman" w:cs="Times New Roman"/>
          <w:sz w:val="20"/>
          <w:szCs w:val="20"/>
        </w:rPr>
        <w:t xml:space="preserve">). The values for </w:t>
      </w:r>
      <w:proofErr w:type="spellStart"/>
      <w:r w:rsidRPr="00DF0492">
        <w:rPr>
          <w:rFonts w:ascii="Times New Roman" w:hAnsi="Times New Roman" w:cs="Times New Roman"/>
          <w:sz w:val="20"/>
          <w:szCs w:val="20"/>
        </w:rPr>
        <w:t>Ostpreußischer</w:t>
      </w:r>
      <w:proofErr w:type="spellEnd"/>
      <w:r w:rsidRPr="00DF0492">
        <w:rPr>
          <w:rFonts w:ascii="Times New Roman" w:hAnsi="Times New Roman" w:cs="Times New Roman"/>
          <w:sz w:val="20"/>
          <w:szCs w:val="20"/>
        </w:rPr>
        <w:t xml:space="preserve"> fluctuated around 0.28. However, </w:t>
      </w:r>
      <w:proofErr w:type="spellStart"/>
      <w:r w:rsidRPr="00DF0492">
        <w:rPr>
          <w:rFonts w:ascii="Times New Roman" w:hAnsi="Times New Roman" w:cs="Times New Roman"/>
          <w:sz w:val="20"/>
          <w:szCs w:val="20"/>
        </w:rPr>
        <w:t>Hadmerslebener</w:t>
      </w:r>
      <w:proofErr w:type="spellEnd"/>
      <w:r w:rsidRPr="00DF0492">
        <w:rPr>
          <w:rFonts w:ascii="Times New Roman" w:hAnsi="Times New Roman" w:cs="Times New Roman"/>
          <w:sz w:val="20"/>
          <w:szCs w:val="20"/>
        </w:rPr>
        <w:t xml:space="preserve"> presented the lowest value in </w:t>
      </w:r>
      <w:proofErr w:type="spellStart"/>
      <w:r w:rsidR="00C74ACD" w:rsidRPr="00DF0492">
        <w:rPr>
          <w:rFonts w:ascii="Times New Roman" w:hAnsi="Times New Roman" w:cs="Times New Roman"/>
          <w:sz w:val="20"/>
          <w:szCs w:val="20"/>
        </w:rPr>
        <w:t>Rg</w:t>
      </w:r>
      <w:proofErr w:type="spellEnd"/>
      <w:r w:rsidR="00C74ACD" w:rsidRPr="00DF0492">
        <w:rPr>
          <w:rFonts w:ascii="Times New Roman" w:hAnsi="Times New Roman" w:cs="Times New Roman"/>
          <w:sz w:val="20"/>
          <w:szCs w:val="20"/>
        </w:rPr>
        <w:t>-ca</w:t>
      </w:r>
      <w:r w:rsidRPr="00DF0492">
        <w:rPr>
          <w:rFonts w:ascii="Times New Roman" w:hAnsi="Times New Roman" w:cs="Times New Roman"/>
          <w:sz w:val="20"/>
          <w:szCs w:val="20"/>
        </w:rPr>
        <w:t xml:space="preserve"> and the highest value in </w:t>
      </w:r>
      <w:proofErr w:type="spellStart"/>
      <w:r w:rsidR="00C74ACD" w:rsidRPr="00DF0492">
        <w:rPr>
          <w:rFonts w:ascii="Times New Roman" w:hAnsi="Times New Roman" w:cs="Times New Roman"/>
          <w:sz w:val="20"/>
          <w:szCs w:val="20"/>
        </w:rPr>
        <w:t>Lv</w:t>
      </w:r>
      <w:proofErr w:type="spellEnd"/>
      <w:r w:rsidR="00C74ACD" w:rsidRPr="00DF0492">
        <w:rPr>
          <w:rFonts w:ascii="Times New Roman" w:hAnsi="Times New Roman" w:cs="Times New Roman"/>
          <w:sz w:val="20"/>
          <w:szCs w:val="20"/>
        </w:rPr>
        <w:t>-cc</w:t>
      </w:r>
      <w:r w:rsidRPr="00DF0492">
        <w:rPr>
          <w:rFonts w:ascii="Times New Roman" w:hAnsi="Times New Roman" w:cs="Times New Roman"/>
          <w:sz w:val="20"/>
          <w:szCs w:val="20"/>
        </w:rPr>
        <w:t xml:space="preserve">, with a difference of more than four times. </w:t>
      </w:r>
      <w:proofErr w:type="spellStart"/>
      <w:r w:rsidRPr="00DF0492">
        <w:rPr>
          <w:rFonts w:ascii="Times New Roman" w:hAnsi="Times New Roman" w:cs="Times New Roman"/>
          <w:sz w:val="20"/>
          <w:szCs w:val="20"/>
        </w:rPr>
        <w:t>Ponticus</w:t>
      </w:r>
      <w:proofErr w:type="spellEnd"/>
      <w:r w:rsidRPr="00DF0492">
        <w:rPr>
          <w:rFonts w:ascii="Times New Roman" w:hAnsi="Times New Roman" w:cs="Times New Roman"/>
          <w:sz w:val="20"/>
          <w:szCs w:val="20"/>
        </w:rPr>
        <w:t xml:space="preserve"> presented the highest value in </w:t>
      </w:r>
      <w:proofErr w:type="spellStart"/>
      <w:r w:rsidRPr="00DF0492">
        <w:rPr>
          <w:rFonts w:ascii="Times New Roman" w:hAnsi="Times New Roman" w:cs="Times New Roman"/>
          <w:sz w:val="20"/>
          <w:szCs w:val="20"/>
        </w:rPr>
        <w:t>Lv</w:t>
      </w:r>
      <w:proofErr w:type="spellEnd"/>
      <w:r w:rsidRPr="00DF0492">
        <w:rPr>
          <w:rFonts w:ascii="Times New Roman" w:hAnsi="Times New Roman" w:cs="Times New Roman"/>
          <w:sz w:val="20"/>
          <w:szCs w:val="20"/>
        </w:rPr>
        <w:t>-ng and the lowest value in Rg-co.gl, with a dif</w:t>
      </w:r>
      <w:r w:rsidR="001E2F84" w:rsidRPr="00DF0492">
        <w:rPr>
          <w:rFonts w:ascii="Times New Roman" w:hAnsi="Times New Roman" w:cs="Times New Roman"/>
          <w:sz w:val="20"/>
          <w:szCs w:val="20"/>
        </w:rPr>
        <w:t>ference of more than two times.</w:t>
      </w:r>
    </w:p>
    <w:p w14:paraId="0AB81D35" w14:textId="0DEA9CD4" w:rsidR="00D044BB" w:rsidRPr="00DF0492" w:rsidRDefault="00E346ED" w:rsidP="00E346ED">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 xml:space="preserve"> </w:t>
      </w:r>
    </w:p>
    <w:p w14:paraId="54453778" w14:textId="782C9830" w:rsidR="00D044BB" w:rsidRPr="007163EA" w:rsidRDefault="007163EA" w:rsidP="00DF0492">
      <w:pPr>
        <w:spacing w:line="360" w:lineRule="auto"/>
        <w:jc w:val="both"/>
        <w:rPr>
          <w:rFonts w:ascii="Times New Roman" w:hAnsi="Times New Roman" w:cs="Times New Roman"/>
          <w:b/>
          <w:sz w:val="20"/>
          <w:szCs w:val="20"/>
        </w:rPr>
      </w:pPr>
      <w:r w:rsidRPr="007163EA">
        <w:rPr>
          <w:rFonts w:ascii="Times New Roman" w:hAnsi="Times New Roman" w:cs="Times New Roman"/>
          <w:b/>
          <w:sz w:val="20"/>
          <w:szCs w:val="20"/>
        </w:rPr>
        <w:t xml:space="preserve">3.4 </w:t>
      </w:r>
      <w:r w:rsidR="00FD72EA" w:rsidRPr="007163EA">
        <w:rPr>
          <w:rFonts w:ascii="Times New Roman" w:hAnsi="Times New Roman" w:cs="Times New Roman"/>
          <w:b/>
          <w:sz w:val="20"/>
          <w:szCs w:val="20"/>
        </w:rPr>
        <w:t>Modeling root biomass production across erosion levels</w:t>
      </w:r>
    </w:p>
    <w:p w14:paraId="7E6DDFCA" w14:textId="46A70F81" w:rsidR="00D044BB" w:rsidRPr="00DC4124" w:rsidRDefault="00FD72EA" w:rsidP="00DF0492">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 xml:space="preserve">Principal component 1 (PC1) explains </w:t>
      </w:r>
      <w:r w:rsidR="00701D32">
        <w:rPr>
          <w:rFonts w:ascii="Times New Roman" w:hAnsi="Times New Roman" w:cs="Times New Roman"/>
          <w:sz w:val="20"/>
          <w:szCs w:val="20"/>
        </w:rPr>
        <w:t>53</w:t>
      </w:r>
      <w:r w:rsidRPr="00DF0492">
        <w:rPr>
          <w:rFonts w:ascii="Times New Roman" w:hAnsi="Times New Roman" w:cs="Times New Roman"/>
          <w:sz w:val="20"/>
          <w:szCs w:val="20"/>
        </w:rPr>
        <w:t>.</w:t>
      </w:r>
      <w:r w:rsidR="00701D32">
        <w:rPr>
          <w:rFonts w:ascii="Times New Roman" w:hAnsi="Times New Roman" w:cs="Times New Roman"/>
          <w:sz w:val="20"/>
          <w:szCs w:val="20"/>
        </w:rPr>
        <w:t>7</w:t>
      </w:r>
      <w:r w:rsidRPr="00DF0492">
        <w:rPr>
          <w:rFonts w:ascii="Times New Roman" w:hAnsi="Times New Roman" w:cs="Times New Roman"/>
          <w:sz w:val="20"/>
          <w:szCs w:val="20"/>
        </w:rPr>
        <w:t xml:space="preserve">% of the total variance in the dataset while PC2 explains </w:t>
      </w:r>
      <w:r w:rsidR="00701D32">
        <w:rPr>
          <w:rFonts w:ascii="Times New Roman" w:hAnsi="Times New Roman" w:cs="Times New Roman"/>
          <w:sz w:val="20"/>
          <w:szCs w:val="20"/>
        </w:rPr>
        <w:t>16</w:t>
      </w:r>
      <w:r w:rsidRPr="00DF0492">
        <w:rPr>
          <w:rFonts w:ascii="Times New Roman" w:hAnsi="Times New Roman" w:cs="Times New Roman"/>
          <w:sz w:val="20"/>
          <w:szCs w:val="20"/>
        </w:rPr>
        <w:t>.</w:t>
      </w:r>
      <w:r w:rsidR="00701D32">
        <w:rPr>
          <w:rFonts w:ascii="Times New Roman" w:hAnsi="Times New Roman" w:cs="Times New Roman"/>
          <w:sz w:val="20"/>
          <w:szCs w:val="20"/>
        </w:rPr>
        <w:t>2</w:t>
      </w:r>
      <w:r w:rsidRPr="00DF0492">
        <w:rPr>
          <w:rFonts w:ascii="Times New Roman" w:hAnsi="Times New Roman" w:cs="Times New Roman"/>
          <w:sz w:val="20"/>
          <w:szCs w:val="20"/>
        </w:rPr>
        <w:t>%, a total of 69.</w:t>
      </w:r>
      <w:r w:rsidR="00701D32">
        <w:rPr>
          <w:rFonts w:ascii="Times New Roman" w:hAnsi="Times New Roman" w:cs="Times New Roman"/>
          <w:sz w:val="20"/>
          <w:szCs w:val="20"/>
        </w:rPr>
        <w:t>9</w:t>
      </w:r>
      <w:r w:rsidRPr="00DF0492">
        <w:rPr>
          <w:rFonts w:ascii="Times New Roman" w:hAnsi="Times New Roman" w:cs="Times New Roman"/>
          <w:sz w:val="20"/>
          <w:szCs w:val="20"/>
        </w:rPr>
        <w:t xml:space="preserve">% of the variance (Fig. </w:t>
      </w:r>
      <w:r w:rsidR="00701D32">
        <w:rPr>
          <w:rFonts w:ascii="Times New Roman" w:hAnsi="Times New Roman" w:cs="Times New Roman"/>
          <w:sz w:val="20"/>
          <w:szCs w:val="20"/>
        </w:rPr>
        <w:t>5</w:t>
      </w:r>
      <w:r w:rsidR="00B33C53">
        <w:rPr>
          <w:rFonts w:ascii="Times New Roman" w:hAnsi="Times New Roman" w:cs="Times New Roman"/>
          <w:sz w:val="20"/>
          <w:szCs w:val="20"/>
        </w:rPr>
        <w:t>a</w:t>
      </w:r>
      <w:r w:rsidRPr="00DF0492">
        <w:rPr>
          <w:rFonts w:ascii="Times New Roman" w:hAnsi="Times New Roman" w:cs="Times New Roman"/>
          <w:sz w:val="20"/>
          <w:szCs w:val="20"/>
        </w:rPr>
        <w:t>). Colored confidence ellipses representing the clustering of soil types by erosion</w:t>
      </w:r>
      <w:r w:rsidR="00E10CCC">
        <w:rPr>
          <w:rFonts w:ascii="Times New Roman" w:hAnsi="Times New Roman" w:cs="Times New Roman"/>
          <w:sz w:val="20"/>
          <w:szCs w:val="20"/>
        </w:rPr>
        <w:t>-deposition</w:t>
      </w:r>
      <w:r w:rsidRPr="00DF0492">
        <w:rPr>
          <w:rFonts w:ascii="Times New Roman" w:hAnsi="Times New Roman" w:cs="Times New Roman"/>
          <w:sz w:val="20"/>
          <w:szCs w:val="20"/>
        </w:rPr>
        <w:t xml:space="preserve"> </w:t>
      </w:r>
      <w:r w:rsidR="00E10CCC">
        <w:rPr>
          <w:rFonts w:ascii="Times New Roman" w:hAnsi="Times New Roman" w:cs="Times New Roman"/>
          <w:sz w:val="20"/>
          <w:szCs w:val="20"/>
        </w:rPr>
        <w:t>gradient</w:t>
      </w:r>
      <w:r w:rsidRPr="00DF0492">
        <w:rPr>
          <w:rFonts w:ascii="Times New Roman" w:hAnsi="Times New Roman" w:cs="Times New Roman"/>
          <w:sz w:val="20"/>
          <w:szCs w:val="20"/>
        </w:rPr>
        <w:t xml:space="preserve"> indicating that variables like</w:t>
      </w:r>
      <w:r w:rsidR="00FC2D27" w:rsidRPr="00DF0492">
        <w:rPr>
          <w:rFonts w:ascii="Times New Roman" w:hAnsi="Times New Roman" w:cs="Times New Roman"/>
          <w:sz w:val="20"/>
          <w:szCs w:val="20"/>
        </w:rPr>
        <w:t xml:space="preserve"> density,</w:t>
      </w:r>
      <w:r w:rsidRPr="00DF0492">
        <w:rPr>
          <w:rFonts w:ascii="Times New Roman" w:hAnsi="Times New Roman" w:cs="Times New Roman"/>
          <w:sz w:val="20"/>
          <w:szCs w:val="20"/>
        </w:rPr>
        <w:t xml:space="preserve"> pH and </w:t>
      </w:r>
      <w:r w:rsidR="00436881" w:rsidRPr="00DF0492">
        <w:rPr>
          <w:rFonts w:ascii="Times New Roman" w:hAnsi="Times New Roman" w:cs="Times New Roman"/>
          <w:sz w:val="20"/>
          <w:szCs w:val="20"/>
        </w:rPr>
        <w:t>Calcium Carbonate (</w:t>
      </w:r>
      <w:r w:rsidRPr="00DF0492">
        <w:rPr>
          <w:rFonts w:ascii="Times New Roman" w:hAnsi="Times New Roman" w:cs="Times New Roman"/>
          <w:sz w:val="20"/>
          <w:szCs w:val="20"/>
        </w:rPr>
        <w:t>CaCO</w:t>
      </w:r>
      <w:r w:rsidRPr="00DF0492">
        <w:rPr>
          <w:rFonts w:ascii="Times New Roman" w:hAnsi="Times New Roman" w:cs="Times New Roman"/>
          <w:sz w:val="20"/>
          <w:szCs w:val="20"/>
          <w:vertAlign w:val="subscript"/>
        </w:rPr>
        <w:t>3</w:t>
      </w:r>
      <w:r w:rsidR="00436881" w:rsidRPr="00DF0492">
        <w:rPr>
          <w:rFonts w:ascii="Times New Roman" w:hAnsi="Times New Roman" w:cs="Times New Roman"/>
          <w:sz w:val="20"/>
          <w:szCs w:val="20"/>
        </w:rPr>
        <w:t xml:space="preserve">) </w:t>
      </w:r>
      <w:r w:rsidRPr="00DF0492">
        <w:rPr>
          <w:rFonts w:ascii="Times New Roman" w:hAnsi="Times New Roman" w:cs="Times New Roman"/>
          <w:sz w:val="20"/>
          <w:szCs w:val="20"/>
        </w:rPr>
        <w:t xml:space="preserve">had a stronger negative effect on </w:t>
      </w:r>
      <w:proofErr w:type="spellStart"/>
      <w:r w:rsidRPr="00DF0492">
        <w:rPr>
          <w:rFonts w:ascii="Times New Roman" w:hAnsi="Times New Roman" w:cs="Times New Roman"/>
          <w:sz w:val="20"/>
          <w:szCs w:val="20"/>
        </w:rPr>
        <w:t>Rg</w:t>
      </w:r>
      <w:proofErr w:type="spellEnd"/>
      <w:r w:rsidRPr="00DF0492">
        <w:rPr>
          <w:rFonts w:ascii="Times New Roman" w:hAnsi="Times New Roman" w:cs="Times New Roman"/>
          <w:sz w:val="20"/>
          <w:szCs w:val="20"/>
        </w:rPr>
        <w:t xml:space="preserve">-ca while </w:t>
      </w:r>
      <w:r w:rsidR="00E338AD" w:rsidRPr="00DF0492">
        <w:rPr>
          <w:rFonts w:ascii="Times New Roman" w:hAnsi="Times New Roman" w:cs="Times New Roman"/>
          <w:sz w:val="20"/>
          <w:szCs w:val="20"/>
        </w:rPr>
        <w:t>SO</w:t>
      </w:r>
      <w:r w:rsidRPr="00DF0492">
        <w:rPr>
          <w:rFonts w:ascii="Times New Roman" w:hAnsi="Times New Roman" w:cs="Times New Roman"/>
          <w:sz w:val="20"/>
          <w:szCs w:val="20"/>
        </w:rPr>
        <w:t>C and N</w:t>
      </w:r>
      <w:r w:rsidR="0059030E" w:rsidRPr="00DF0492">
        <w:rPr>
          <w:rFonts w:ascii="Times New Roman" w:hAnsi="Times New Roman" w:cs="Times New Roman"/>
          <w:sz w:val="20"/>
          <w:szCs w:val="20"/>
        </w:rPr>
        <w:t xml:space="preserve"> </w:t>
      </w:r>
      <w:r w:rsidR="00FC2D27" w:rsidRPr="00DF0492">
        <w:rPr>
          <w:rFonts w:ascii="Times New Roman" w:hAnsi="Times New Roman" w:cs="Times New Roman"/>
          <w:sz w:val="20"/>
          <w:szCs w:val="20"/>
        </w:rPr>
        <w:t>had stronger and positive effect on</w:t>
      </w:r>
      <w:r w:rsidRPr="00DF0492">
        <w:rPr>
          <w:rFonts w:ascii="Times New Roman" w:hAnsi="Times New Roman" w:cs="Times New Roman"/>
          <w:sz w:val="20"/>
          <w:szCs w:val="20"/>
        </w:rPr>
        <w:t xml:space="preserve"> Rg-co.gl</w:t>
      </w:r>
      <w:r w:rsidRPr="00DC4124">
        <w:rPr>
          <w:rFonts w:ascii="Times New Roman" w:hAnsi="Times New Roman" w:cs="Times New Roman"/>
          <w:sz w:val="20"/>
          <w:szCs w:val="20"/>
        </w:rPr>
        <w:t>.</w:t>
      </w:r>
      <w:r w:rsidRPr="00472631">
        <w:rPr>
          <w:rFonts w:ascii="Times New Roman" w:hAnsi="Times New Roman" w:cs="Times New Roman"/>
          <w:sz w:val="20"/>
          <w:szCs w:val="20"/>
        </w:rPr>
        <w:t xml:space="preserve"> </w:t>
      </w:r>
      <w:r w:rsidR="00E10CCC" w:rsidRPr="00472631">
        <w:rPr>
          <w:rFonts w:ascii="Times New Roman" w:hAnsi="Times New Roman" w:cs="Times New Roman"/>
          <w:sz w:val="20"/>
          <w:szCs w:val="20"/>
        </w:rPr>
        <w:t xml:space="preserve">Soils with </w:t>
      </w:r>
      <w:r w:rsidR="00DC4124" w:rsidRPr="00472631">
        <w:rPr>
          <w:rFonts w:ascii="Times New Roman" w:hAnsi="Times New Roman" w:cs="Times New Roman"/>
          <w:sz w:val="20"/>
          <w:szCs w:val="20"/>
        </w:rPr>
        <w:t xml:space="preserve">higher </w:t>
      </w:r>
      <w:r w:rsidR="00E10CCC" w:rsidRPr="00472631">
        <w:rPr>
          <w:rFonts w:ascii="Times New Roman" w:hAnsi="Times New Roman" w:cs="Times New Roman"/>
          <w:sz w:val="20"/>
          <w:szCs w:val="20"/>
        </w:rPr>
        <w:t>available water capacity</w:t>
      </w:r>
      <w:r w:rsidR="00DC4124" w:rsidRPr="00472631">
        <w:rPr>
          <w:rFonts w:ascii="Times New Roman" w:hAnsi="Times New Roman" w:cs="Times New Roman"/>
          <w:sz w:val="20"/>
          <w:szCs w:val="20"/>
        </w:rPr>
        <w:t xml:space="preserve"> or/and capillary rise of ground water</w:t>
      </w:r>
      <w:r w:rsidR="00E10CCC" w:rsidRPr="00472631">
        <w:rPr>
          <w:rFonts w:ascii="Times New Roman" w:hAnsi="Times New Roman" w:cs="Times New Roman"/>
          <w:sz w:val="20"/>
          <w:szCs w:val="20"/>
        </w:rPr>
        <w:t xml:space="preserve"> (e.g. Rg-co.gl) produces shallower roots while denser soils (e.g. </w:t>
      </w:r>
      <w:proofErr w:type="spellStart"/>
      <w:r w:rsidR="00E10CCC" w:rsidRPr="00472631">
        <w:rPr>
          <w:rFonts w:ascii="Times New Roman" w:hAnsi="Times New Roman" w:cs="Times New Roman"/>
          <w:sz w:val="20"/>
          <w:szCs w:val="20"/>
        </w:rPr>
        <w:t>Rg</w:t>
      </w:r>
      <w:proofErr w:type="spellEnd"/>
      <w:r w:rsidR="00E10CCC" w:rsidRPr="00472631">
        <w:rPr>
          <w:rFonts w:ascii="Times New Roman" w:hAnsi="Times New Roman" w:cs="Times New Roman"/>
          <w:sz w:val="20"/>
          <w:szCs w:val="20"/>
        </w:rPr>
        <w:t>-ca) produces larger-diameter roots.</w:t>
      </w:r>
    </w:p>
    <w:p w14:paraId="582F497C" w14:textId="7FFA7FD6" w:rsidR="00D044BB" w:rsidRPr="00DF0492" w:rsidRDefault="00FD72EA" w:rsidP="00DF0492">
      <w:pPr>
        <w:spacing w:line="360" w:lineRule="auto"/>
        <w:ind w:firstLine="709"/>
        <w:jc w:val="both"/>
        <w:rPr>
          <w:rFonts w:ascii="Times New Roman" w:hAnsi="Times New Roman" w:cs="Times New Roman"/>
          <w:sz w:val="20"/>
          <w:szCs w:val="20"/>
          <w:lang w:val="en-GB"/>
        </w:rPr>
      </w:pPr>
      <w:r w:rsidRPr="00DF0492">
        <w:rPr>
          <w:rFonts w:ascii="Times New Roman" w:hAnsi="Times New Roman" w:cs="Times New Roman"/>
          <w:sz w:val="20"/>
          <w:szCs w:val="20"/>
          <w:lang w:val="en-GB"/>
        </w:rPr>
        <w:t>The supervised machine learning regression achieved a coefficient of determination (R²) of 0.89, with a Mean Absolute Perc</w:t>
      </w:r>
      <w:r w:rsidR="00B33C53">
        <w:rPr>
          <w:rFonts w:ascii="Times New Roman" w:hAnsi="Times New Roman" w:cs="Times New Roman"/>
          <w:sz w:val="20"/>
          <w:szCs w:val="20"/>
          <w:lang w:val="en-GB"/>
        </w:rPr>
        <w:t>entage Error (MAPE) of 26% (Figure</w:t>
      </w:r>
      <w:r w:rsidRPr="00DF0492">
        <w:rPr>
          <w:rFonts w:ascii="Times New Roman" w:hAnsi="Times New Roman" w:cs="Times New Roman"/>
          <w:sz w:val="20"/>
          <w:szCs w:val="20"/>
          <w:lang w:val="en-GB"/>
        </w:rPr>
        <w:t xml:space="preserve"> </w:t>
      </w:r>
      <w:r w:rsidR="00B33C53">
        <w:rPr>
          <w:rFonts w:ascii="Times New Roman" w:hAnsi="Times New Roman" w:cs="Times New Roman"/>
          <w:sz w:val="20"/>
          <w:szCs w:val="20"/>
          <w:lang w:val="en-GB"/>
        </w:rPr>
        <w:t>S8</w:t>
      </w:r>
      <w:r w:rsidRPr="00DF0492">
        <w:rPr>
          <w:rFonts w:ascii="Times New Roman" w:hAnsi="Times New Roman" w:cs="Times New Roman"/>
          <w:sz w:val="20"/>
          <w:szCs w:val="20"/>
          <w:lang w:val="en-GB"/>
        </w:rPr>
        <w:t xml:space="preserve">). According to the random forest ensemble algorithm the IPAR was the most important factor for predicting the root biomass values (Fig. </w:t>
      </w:r>
      <w:r w:rsidR="00B33C53">
        <w:rPr>
          <w:rFonts w:ascii="Times New Roman" w:hAnsi="Times New Roman" w:cs="Times New Roman"/>
          <w:sz w:val="20"/>
          <w:szCs w:val="20"/>
          <w:lang w:val="en-GB"/>
        </w:rPr>
        <w:t>5</w:t>
      </w:r>
      <w:r w:rsidRPr="00DF0492">
        <w:rPr>
          <w:rFonts w:ascii="Times New Roman" w:hAnsi="Times New Roman" w:cs="Times New Roman"/>
          <w:sz w:val="20"/>
          <w:szCs w:val="20"/>
          <w:lang w:val="en-GB"/>
        </w:rPr>
        <w:t xml:space="preserve">). All wheat cultivars in all soil types exhibited a similar asymptotic regression model for the relationship between root biomass and IPAR (Fig. </w:t>
      </w:r>
      <w:r w:rsidR="00B33C53">
        <w:rPr>
          <w:rFonts w:ascii="Times New Roman" w:hAnsi="Times New Roman" w:cs="Times New Roman"/>
          <w:sz w:val="20"/>
          <w:szCs w:val="20"/>
          <w:lang w:val="en-GB"/>
        </w:rPr>
        <w:t>6</w:t>
      </w:r>
      <w:r w:rsidRPr="00DF0492">
        <w:rPr>
          <w:rFonts w:ascii="Times New Roman" w:hAnsi="Times New Roman" w:cs="Times New Roman"/>
          <w:sz w:val="20"/>
          <w:szCs w:val="20"/>
          <w:lang w:val="en-GB"/>
        </w:rPr>
        <w:t xml:space="preserve">). This relationship featured an initial rapid increase in biomass with increasing IPAR, followed by a plateau, indicating a saturation point where additional light absorption no longer significantly boosted root biomass. The plateau values varied based on soil water content, wheat cultivar, and soil erosion degree, as highlighted by the order of importance in Fig. </w:t>
      </w:r>
      <w:r w:rsidR="00B33C53">
        <w:rPr>
          <w:rFonts w:ascii="Times New Roman" w:hAnsi="Times New Roman" w:cs="Times New Roman"/>
          <w:sz w:val="20"/>
          <w:szCs w:val="20"/>
          <w:lang w:val="en-GB"/>
        </w:rPr>
        <w:t>5b</w:t>
      </w:r>
      <w:r w:rsidRPr="00DF0492">
        <w:rPr>
          <w:rFonts w:ascii="Times New Roman" w:hAnsi="Times New Roman" w:cs="Times New Roman"/>
          <w:sz w:val="20"/>
          <w:szCs w:val="20"/>
          <w:lang w:val="en-GB"/>
        </w:rPr>
        <w:t>.</w:t>
      </w:r>
    </w:p>
    <w:p w14:paraId="2922F2B0" w14:textId="53508671" w:rsidR="00D044BB" w:rsidRPr="00DF0492" w:rsidRDefault="00FD72EA" w:rsidP="00DF0492">
      <w:pPr>
        <w:spacing w:line="360" w:lineRule="auto"/>
        <w:ind w:firstLine="709"/>
        <w:jc w:val="both"/>
        <w:rPr>
          <w:rFonts w:ascii="Times New Roman" w:hAnsi="Times New Roman" w:cs="Times New Roman"/>
          <w:sz w:val="20"/>
          <w:szCs w:val="20"/>
          <w:lang w:val="en-GB"/>
        </w:rPr>
      </w:pPr>
      <w:r w:rsidRPr="00DF0492">
        <w:rPr>
          <w:rFonts w:ascii="Times New Roman" w:hAnsi="Times New Roman" w:cs="Times New Roman"/>
          <w:sz w:val="20"/>
          <w:szCs w:val="20"/>
          <w:lang w:val="en-GB"/>
        </w:rPr>
        <w:t>At a model-assigned soil water content of 1</w:t>
      </w:r>
      <w:r w:rsidR="00673DE4" w:rsidRPr="00DF0492">
        <w:rPr>
          <w:rFonts w:ascii="Times New Roman" w:hAnsi="Times New Roman" w:cs="Times New Roman"/>
          <w:sz w:val="20"/>
          <w:szCs w:val="20"/>
          <w:lang w:val="en-GB"/>
        </w:rPr>
        <w:t>8</w:t>
      </w:r>
      <w:r w:rsidRPr="00DF0492">
        <w:rPr>
          <w:rFonts w:ascii="Times New Roman" w:hAnsi="Times New Roman" w:cs="Times New Roman"/>
          <w:sz w:val="20"/>
          <w:szCs w:val="20"/>
          <w:lang w:val="en-GB"/>
        </w:rPr>
        <w:t xml:space="preserve"> cm</w:t>
      </w:r>
      <w:r w:rsidRPr="00DF0492">
        <w:rPr>
          <w:rFonts w:ascii="Times New Roman" w:hAnsi="Times New Roman" w:cs="Times New Roman"/>
          <w:sz w:val="20"/>
          <w:szCs w:val="20"/>
          <w:vertAlign w:val="superscript"/>
          <w:lang w:val="en-GB"/>
        </w:rPr>
        <w:t>3</w:t>
      </w:r>
      <w:r w:rsidRPr="00DF0492">
        <w:rPr>
          <w:rFonts w:ascii="Times New Roman" w:hAnsi="Times New Roman" w:cs="Times New Roman"/>
          <w:sz w:val="20"/>
          <w:szCs w:val="20"/>
          <w:lang w:val="en-GB"/>
        </w:rPr>
        <w:t xml:space="preserve"> cm</w:t>
      </w:r>
      <w:r w:rsidRPr="00DF0492">
        <w:rPr>
          <w:rFonts w:ascii="Times New Roman" w:hAnsi="Times New Roman" w:cs="Times New Roman"/>
          <w:sz w:val="20"/>
          <w:szCs w:val="20"/>
          <w:vertAlign w:val="superscript"/>
          <w:lang w:val="en-GB"/>
        </w:rPr>
        <w:t>-3</w:t>
      </w:r>
      <w:r w:rsidRPr="00DF0492">
        <w:rPr>
          <w:rFonts w:ascii="Times New Roman" w:hAnsi="Times New Roman" w:cs="Times New Roman"/>
          <w:sz w:val="20"/>
          <w:szCs w:val="20"/>
          <w:lang w:val="en-GB"/>
        </w:rPr>
        <w:t xml:space="preserve">, root biomass plateaued at lower levels compared to higher water contents. Among the cultivars, </w:t>
      </w:r>
      <w:proofErr w:type="spellStart"/>
      <w:r w:rsidRPr="00DF0492">
        <w:rPr>
          <w:rFonts w:ascii="Times New Roman" w:hAnsi="Times New Roman" w:cs="Times New Roman"/>
          <w:sz w:val="20"/>
          <w:szCs w:val="20"/>
          <w:lang w:val="en-GB"/>
        </w:rPr>
        <w:t>Ostpreußischer</w:t>
      </w:r>
      <w:proofErr w:type="spellEnd"/>
      <w:r w:rsidRPr="00DF0492">
        <w:rPr>
          <w:rFonts w:ascii="Times New Roman" w:hAnsi="Times New Roman" w:cs="Times New Roman"/>
          <w:sz w:val="20"/>
          <w:szCs w:val="20"/>
          <w:lang w:val="en-GB"/>
        </w:rPr>
        <w:t xml:space="preserve"> generally exhibited the highest biomass across all soil types at this water content. At 24 cm</w:t>
      </w:r>
      <w:r w:rsidRPr="00DF0492">
        <w:rPr>
          <w:rFonts w:ascii="Times New Roman" w:hAnsi="Times New Roman" w:cs="Times New Roman"/>
          <w:sz w:val="20"/>
          <w:szCs w:val="20"/>
          <w:vertAlign w:val="superscript"/>
          <w:lang w:val="en-GB"/>
        </w:rPr>
        <w:t>3</w:t>
      </w:r>
      <w:r w:rsidRPr="00DF0492">
        <w:rPr>
          <w:rFonts w:ascii="Times New Roman" w:hAnsi="Times New Roman" w:cs="Times New Roman"/>
          <w:sz w:val="20"/>
          <w:szCs w:val="20"/>
          <w:lang w:val="en-GB"/>
        </w:rPr>
        <w:t xml:space="preserve"> cm</w:t>
      </w:r>
      <w:r w:rsidRPr="00DF0492">
        <w:rPr>
          <w:rFonts w:ascii="Times New Roman" w:hAnsi="Times New Roman" w:cs="Times New Roman"/>
          <w:sz w:val="20"/>
          <w:szCs w:val="20"/>
          <w:vertAlign w:val="superscript"/>
          <w:lang w:val="en-GB"/>
        </w:rPr>
        <w:t>-3</w:t>
      </w:r>
      <w:r w:rsidRPr="00DF0492">
        <w:rPr>
          <w:rFonts w:ascii="Times New Roman" w:hAnsi="Times New Roman" w:cs="Times New Roman"/>
          <w:sz w:val="20"/>
          <w:szCs w:val="20"/>
          <w:lang w:val="en-GB"/>
        </w:rPr>
        <w:t>, the shape of the graphs and the plateau values of root biomass remained consistent with those observed at the lower water content. At 30 cm</w:t>
      </w:r>
      <w:r w:rsidRPr="00DF0492">
        <w:rPr>
          <w:rFonts w:ascii="Times New Roman" w:hAnsi="Times New Roman" w:cs="Times New Roman"/>
          <w:sz w:val="20"/>
          <w:szCs w:val="20"/>
          <w:vertAlign w:val="superscript"/>
          <w:lang w:val="en-GB"/>
        </w:rPr>
        <w:t>3</w:t>
      </w:r>
      <w:r w:rsidRPr="00DF0492">
        <w:rPr>
          <w:rFonts w:ascii="Times New Roman" w:hAnsi="Times New Roman" w:cs="Times New Roman"/>
          <w:sz w:val="20"/>
          <w:szCs w:val="20"/>
          <w:lang w:val="en-GB"/>
        </w:rPr>
        <w:t xml:space="preserve"> cm</w:t>
      </w:r>
      <w:r w:rsidRPr="00DF0492">
        <w:rPr>
          <w:rFonts w:ascii="Times New Roman" w:hAnsi="Times New Roman" w:cs="Times New Roman"/>
          <w:sz w:val="20"/>
          <w:szCs w:val="20"/>
          <w:vertAlign w:val="superscript"/>
          <w:lang w:val="en-GB"/>
        </w:rPr>
        <w:t>-3</w:t>
      </w:r>
      <w:r w:rsidRPr="00DF0492">
        <w:rPr>
          <w:rFonts w:ascii="Times New Roman" w:hAnsi="Times New Roman" w:cs="Times New Roman"/>
          <w:sz w:val="20"/>
          <w:szCs w:val="20"/>
          <w:lang w:val="en-GB"/>
        </w:rPr>
        <w:t xml:space="preserve">, the highest biomass values were recorded across all soil types, showing a more rapid increase in biomass with IPAR. </w:t>
      </w:r>
      <w:proofErr w:type="spellStart"/>
      <w:r w:rsidRPr="00DF0492">
        <w:rPr>
          <w:rFonts w:ascii="Times New Roman" w:hAnsi="Times New Roman" w:cs="Times New Roman"/>
          <w:sz w:val="20"/>
          <w:szCs w:val="20"/>
          <w:lang w:val="en-GB"/>
        </w:rPr>
        <w:t>Hadmerslebener</w:t>
      </w:r>
      <w:proofErr w:type="spellEnd"/>
      <w:r w:rsidRPr="00DF0492">
        <w:rPr>
          <w:rFonts w:ascii="Times New Roman" w:hAnsi="Times New Roman" w:cs="Times New Roman"/>
          <w:sz w:val="20"/>
          <w:szCs w:val="20"/>
          <w:lang w:val="en-GB"/>
        </w:rPr>
        <w:t xml:space="preserve"> outperformed</w:t>
      </w:r>
      <w:r w:rsidR="00A664FB" w:rsidRPr="00DF0492">
        <w:rPr>
          <w:rFonts w:ascii="Times New Roman" w:hAnsi="Times New Roman" w:cs="Times New Roman"/>
          <w:sz w:val="20"/>
          <w:szCs w:val="20"/>
          <w:lang w:val="en-GB"/>
        </w:rPr>
        <w:t xml:space="preserve"> most of</w:t>
      </w:r>
      <w:r w:rsidRPr="00DF0492">
        <w:rPr>
          <w:rFonts w:ascii="Times New Roman" w:hAnsi="Times New Roman" w:cs="Times New Roman"/>
          <w:sz w:val="20"/>
          <w:szCs w:val="20"/>
          <w:lang w:val="en-GB"/>
        </w:rPr>
        <w:t xml:space="preserve"> the other cultivars under these conditions. </w:t>
      </w:r>
      <w:proofErr w:type="spellStart"/>
      <w:r w:rsidRPr="00DF0492">
        <w:rPr>
          <w:rFonts w:ascii="Times New Roman" w:hAnsi="Times New Roman" w:cs="Times New Roman"/>
          <w:sz w:val="20"/>
          <w:szCs w:val="20"/>
          <w:lang w:val="en-GB"/>
        </w:rPr>
        <w:t>Luvisols</w:t>
      </w:r>
      <w:proofErr w:type="spellEnd"/>
      <w:r w:rsidRPr="00DF0492">
        <w:rPr>
          <w:rFonts w:ascii="Times New Roman" w:hAnsi="Times New Roman" w:cs="Times New Roman"/>
          <w:sz w:val="20"/>
          <w:szCs w:val="20"/>
          <w:lang w:val="en-GB"/>
        </w:rPr>
        <w:t xml:space="preserve"> (</w:t>
      </w:r>
      <w:proofErr w:type="spellStart"/>
      <w:r w:rsidRPr="00DF0492">
        <w:rPr>
          <w:rFonts w:ascii="Times New Roman" w:hAnsi="Times New Roman" w:cs="Times New Roman"/>
          <w:sz w:val="20"/>
          <w:szCs w:val="20"/>
          <w:lang w:val="en-GB"/>
        </w:rPr>
        <w:t>Lv</w:t>
      </w:r>
      <w:proofErr w:type="spellEnd"/>
      <w:r w:rsidRPr="00DF0492">
        <w:rPr>
          <w:rFonts w:ascii="Times New Roman" w:hAnsi="Times New Roman" w:cs="Times New Roman"/>
          <w:sz w:val="20"/>
          <w:szCs w:val="20"/>
          <w:lang w:val="en-GB"/>
        </w:rPr>
        <w:t xml:space="preserve">-ng and </w:t>
      </w:r>
      <w:proofErr w:type="spellStart"/>
      <w:r w:rsidRPr="00DF0492">
        <w:rPr>
          <w:rFonts w:ascii="Times New Roman" w:hAnsi="Times New Roman" w:cs="Times New Roman"/>
          <w:sz w:val="20"/>
          <w:szCs w:val="20"/>
          <w:lang w:val="en-GB"/>
        </w:rPr>
        <w:t>Lv</w:t>
      </w:r>
      <w:proofErr w:type="spellEnd"/>
      <w:r w:rsidRPr="00DF0492">
        <w:rPr>
          <w:rFonts w:ascii="Times New Roman" w:hAnsi="Times New Roman" w:cs="Times New Roman"/>
          <w:sz w:val="20"/>
          <w:szCs w:val="20"/>
          <w:lang w:val="en-GB"/>
        </w:rPr>
        <w:t xml:space="preserve">-cc) consistently supported higher root biomass compared to </w:t>
      </w:r>
      <w:proofErr w:type="spellStart"/>
      <w:r w:rsidRPr="00DF0492">
        <w:rPr>
          <w:rFonts w:ascii="Times New Roman" w:hAnsi="Times New Roman" w:cs="Times New Roman"/>
          <w:sz w:val="20"/>
          <w:szCs w:val="20"/>
          <w:lang w:val="en-GB"/>
        </w:rPr>
        <w:t>Regosols</w:t>
      </w:r>
      <w:proofErr w:type="spellEnd"/>
      <w:r w:rsidRPr="00DF0492">
        <w:rPr>
          <w:rFonts w:ascii="Times New Roman" w:hAnsi="Times New Roman" w:cs="Times New Roman"/>
          <w:sz w:val="20"/>
          <w:szCs w:val="20"/>
          <w:lang w:val="en-GB"/>
        </w:rPr>
        <w:t xml:space="preserve"> (</w:t>
      </w:r>
      <w:proofErr w:type="spellStart"/>
      <w:r w:rsidRPr="00DF0492">
        <w:rPr>
          <w:rFonts w:ascii="Times New Roman" w:hAnsi="Times New Roman" w:cs="Times New Roman"/>
          <w:sz w:val="20"/>
          <w:szCs w:val="20"/>
          <w:lang w:val="en-GB"/>
        </w:rPr>
        <w:t>Rg</w:t>
      </w:r>
      <w:proofErr w:type="spellEnd"/>
      <w:r w:rsidRPr="00DF0492">
        <w:rPr>
          <w:rFonts w:ascii="Times New Roman" w:hAnsi="Times New Roman" w:cs="Times New Roman"/>
          <w:sz w:val="20"/>
          <w:szCs w:val="20"/>
          <w:lang w:val="en-GB"/>
        </w:rPr>
        <w:t>-ca and Rg-co.gl) across all wheat cultivars and soil water contents, with differences reaching up to 50% at higher water contents. The max</w:t>
      </w:r>
      <w:r w:rsidR="00073912" w:rsidRPr="00DF0492">
        <w:rPr>
          <w:rFonts w:ascii="Times New Roman" w:hAnsi="Times New Roman" w:cs="Times New Roman"/>
          <w:sz w:val="20"/>
          <w:szCs w:val="20"/>
          <w:lang w:val="en-GB"/>
        </w:rPr>
        <w:t xml:space="preserve">imum observed biomass was 450 g </w:t>
      </w:r>
      <w:r w:rsidRPr="00DF0492">
        <w:rPr>
          <w:rFonts w:ascii="Times New Roman" w:hAnsi="Times New Roman" w:cs="Times New Roman"/>
          <w:sz w:val="20"/>
          <w:szCs w:val="20"/>
          <w:lang w:val="en-GB"/>
        </w:rPr>
        <w:t>m</w:t>
      </w:r>
      <w:r w:rsidR="00073912" w:rsidRPr="00DF0492">
        <w:rPr>
          <w:rFonts w:ascii="Times New Roman" w:hAnsi="Times New Roman" w:cs="Times New Roman"/>
          <w:sz w:val="20"/>
          <w:szCs w:val="20"/>
          <w:vertAlign w:val="superscript"/>
          <w:lang w:val="en-GB"/>
        </w:rPr>
        <w:t>-2</w:t>
      </w:r>
      <w:r w:rsidRPr="00DF0492">
        <w:rPr>
          <w:rFonts w:ascii="Times New Roman" w:hAnsi="Times New Roman" w:cs="Times New Roman"/>
          <w:sz w:val="20"/>
          <w:szCs w:val="20"/>
          <w:lang w:val="en-GB"/>
        </w:rPr>
        <w:t xml:space="preserve"> for </w:t>
      </w:r>
      <w:proofErr w:type="spellStart"/>
      <w:r w:rsidRPr="00DF0492">
        <w:rPr>
          <w:rFonts w:ascii="Times New Roman" w:hAnsi="Times New Roman" w:cs="Times New Roman"/>
          <w:sz w:val="20"/>
          <w:szCs w:val="20"/>
          <w:lang w:val="en-GB"/>
        </w:rPr>
        <w:t>Lv</w:t>
      </w:r>
      <w:proofErr w:type="spellEnd"/>
      <w:r w:rsidRPr="00DF0492">
        <w:rPr>
          <w:rFonts w:ascii="Times New Roman" w:hAnsi="Times New Roman" w:cs="Times New Roman"/>
          <w:sz w:val="20"/>
          <w:szCs w:val="20"/>
          <w:lang w:val="en-GB"/>
        </w:rPr>
        <w:t>-cc soil</w:t>
      </w:r>
      <w:r w:rsidR="00073912" w:rsidRPr="00DF0492">
        <w:rPr>
          <w:rFonts w:ascii="Times New Roman" w:hAnsi="Times New Roman" w:cs="Times New Roman"/>
          <w:sz w:val="20"/>
          <w:szCs w:val="20"/>
          <w:lang w:val="en-GB"/>
        </w:rPr>
        <w:t xml:space="preserve"> with a water content of 30 cm³ cm</w:t>
      </w:r>
      <w:r w:rsidR="00073912" w:rsidRPr="00DF0492">
        <w:rPr>
          <w:rFonts w:ascii="Times New Roman" w:hAnsi="Times New Roman" w:cs="Times New Roman"/>
          <w:sz w:val="20"/>
          <w:szCs w:val="20"/>
          <w:vertAlign w:val="superscript"/>
          <w:lang w:val="en-GB"/>
        </w:rPr>
        <w:t>-3</w:t>
      </w:r>
      <w:r w:rsidRPr="00DF0492">
        <w:rPr>
          <w:rFonts w:ascii="Times New Roman" w:hAnsi="Times New Roman" w:cs="Times New Roman"/>
          <w:sz w:val="20"/>
          <w:szCs w:val="20"/>
          <w:lang w:val="en-GB"/>
        </w:rPr>
        <w:t xml:space="preserve">, achieved by </w:t>
      </w:r>
      <w:proofErr w:type="spellStart"/>
      <w:r w:rsidRPr="00DF0492">
        <w:rPr>
          <w:rFonts w:ascii="Times New Roman" w:hAnsi="Times New Roman" w:cs="Times New Roman"/>
          <w:sz w:val="20"/>
          <w:szCs w:val="20"/>
          <w:lang w:val="en-GB"/>
        </w:rPr>
        <w:lastRenderedPageBreak/>
        <w:t>Hadmerslebener</w:t>
      </w:r>
      <w:proofErr w:type="spellEnd"/>
      <w:r w:rsidRPr="00DF0492">
        <w:rPr>
          <w:rFonts w:ascii="Times New Roman" w:hAnsi="Times New Roman" w:cs="Times New Roman"/>
          <w:sz w:val="20"/>
          <w:szCs w:val="20"/>
          <w:lang w:val="en-GB"/>
        </w:rPr>
        <w:t>. In contrast, the minimum observed value was 180 g</w:t>
      </w:r>
      <w:r w:rsidR="00073912" w:rsidRPr="00DF0492">
        <w:rPr>
          <w:rFonts w:ascii="Times New Roman" w:hAnsi="Times New Roman" w:cs="Times New Roman"/>
          <w:sz w:val="20"/>
          <w:szCs w:val="20"/>
          <w:lang w:val="en-GB"/>
        </w:rPr>
        <w:t xml:space="preserve"> </w:t>
      </w:r>
      <w:r w:rsidRPr="00DF0492">
        <w:rPr>
          <w:rFonts w:ascii="Times New Roman" w:hAnsi="Times New Roman" w:cs="Times New Roman"/>
          <w:sz w:val="20"/>
          <w:szCs w:val="20"/>
          <w:lang w:val="en-GB"/>
        </w:rPr>
        <w:t>m</w:t>
      </w:r>
      <w:r w:rsidR="00073912" w:rsidRPr="00DF0492">
        <w:rPr>
          <w:rFonts w:ascii="Times New Roman" w:hAnsi="Times New Roman" w:cs="Times New Roman"/>
          <w:sz w:val="20"/>
          <w:szCs w:val="20"/>
          <w:vertAlign w:val="superscript"/>
          <w:lang w:val="en-GB"/>
        </w:rPr>
        <w:t>-2</w:t>
      </w:r>
      <w:r w:rsidRPr="00DF0492">
        <w:rPr>
          <w:rFonts w:ascii="Times New Roman" w:hAnsi="Times New Roman" w:cs="Times New Roman"/>
          <w:sz w:val="20"/>
          <w:szCs w:val="20"/>
          <w:lang w:val="en-GB"/>
        </w:rPr>
        <w:t xml:space="preserve"> for </w:t>
      </w:r>
      <w:proofErr w:type="spellStart"/>
      <w:r w:rsidRPr="00DF0492">
        <w:rPr>
          <w:rFonts w:ascii="Times New Roman" w:hAnsi="Times New Roman" w:cs="Times New Roman"/>
          <w:sz w:val="20"/>
          <w:szCs w:val="20"/>
          <w:lang w:val="en-GB"/>
        </w:rPr>
        <w:t>Ponticus</w:t>
      </w:r>
      <w:proofErr w:type="spellEnd"/>
      <w:r w:rsidRPr="00DF0492">
        <w:rPr>
          <w:rFonts w:ascii="Times New Roman" w:hAnsi="Times New Roman" w:cs="Times New Roman"/>
          <w:sz w:val="20"/>
          <w:szCs w:val="20"/>
          <w:lang w:val="en-GB"/>
        </w:rPr>
        <w:t xml:space="preserve"> in </w:t>
      </w:r>
      <w:proofErr w:type="spellStart"/>
      <w:r w:rsidRPr="00DF0492">
        <w:rPr>
          <w:rFonts w:ascii="Times New Roman" w:hAnsi="Times New Roman" w:cs="Times New Roman"/>
          <w:sz w:val="20"/>
          <w:szCs w:val="20"/>
          <w:lang w:val="en-GB"/>
        </w:rPr>
        <w:t>Rg</w:t>
      </w:r>
      <w:proofErr w:type="spellEnd"/>
      <w:r w:rsidRPr="00DF0492">
        <w:rPr>
          <w:rFonts w:ascii="Times New Roman" w:hAnsi="Times New Roman" w:cs="Times New Roman"/>
          <w:sz w:val="20"/>
          <w:szCs w:val="20"/>
          <w:lang w:val="en-GB"/>
        </w:rPr>
        <w:t>-ca soil</w:t>
      </w:r>
      <w:r w:rsidR="00073912" w:rsidRPr="00DF0492">
        <w:rPr>
          <w:rFonts w:ascii="Times New Roman" w:hAnsi="Times New Roman" w:cs="Times New Roman"/>
          <w:sz w:val="20"/>
          <w:szCs w:val="20"/>
          <w:lang w:val="en-GB"/>
        </w:rPr>
        <w:t xml:space="preserve"> with a water content of 1</w:t>
      </w:r>
      <w:r w:rsidR="00673DE4" w:rsidRPr="00DF0492">
        <w:rPr>
          <w:rFonts w:ascii="Times New Roman" w:hAnsi="Times New Roman" w:cs="Times New Roman"/>
          <w:sz w:val="20"/>
          <w:szCs w:val="20"/>
          <w:lang w:val="en-GB"/>
        </w:rPr>
        <w:t>8</w:t>
      </w:r>
      <w:r w:rsidR="00073912" w:rsidRPr="00DF0492">
        <w:rPr>
          <w:rFonts w:ascii="Times New Roman" w:hAnsi="Times New Roman" w:cs="Times New Roman"/>
          <w:sz w:val="20"/>
          <w:szCs w:val="20"/>
          <w:lang w:val="en-GB"/>
        </w:rPr>
        <w:t xml:space="preserve"> cm³ </w:t>
      </w:r>
      <w:r w:rsidRPr="00DF0492">
        <w:rPr>
          <w:rFonts w:ascii="Times New Roman" w:hAnsi="Times New Roman" w:cs="Times New Roman"/>
          <w:sz w:val="20"/>
          <w:szCs w:val="20"/>
          <w:lang w:val="en-GB"/>
        </w:rPr>
        <w:t>cm</w:t>
      </w:r>
      <w:r w:rsidR="00073912" w:rsidRPr="00DF0492">
        <w:rPr>
          <w:rFonts w:ascii="Times New Roman" w:hAnsi="Times New Roman" w:cs="Times New Roman"/>
          <w:sz w:val="20"/>
          <w:szCs w:val="20"/>
          <w:vertAlign w:val="superscript"/>
          <w:lang w:val="en-GB"/>
        </w:rPr>
        <w:t>-3</w:t>
      </w:r>
      <w:r w:rsidRPr="00DF0492">
        <w:rPr>
          <w:rFonts w:ascii="Times New Roman" w:hAnsi="Times New Roman" w:cs="Times New Roman"/>
          <w:sz w:val="20"/>
          <w:szCs w:val="20"/>
          <w:lang w:val="en-GB"/>
        </w:rPr>
        <w:t>.</w:t>
      </w:r>
    </w:p>
    <w:p w14:paraId="7C015591" w14:textId="40919448" w:rsidR="00E8556D" w:rsidRPr="00DF0492" w:rsidRDefault="00673DE4" w:rsidP="00C12C2C">
      <w:pPr>
        <w:pStyle w:val="StandardWeb"/>
        <w:spacing w:beforeAutospacing="0" w:afterAutospacing="0" w:line="360" w:lineRule="auto"/>
        <w:ind w:firstLine="708"/>
        <w:jc w:val="both"/>
        <w:rPr>
          <w:sz w:val="20"/>
          <w:szCs w:val="20"/>
          <w:lang w:val="en-GB"/>
        </w:rPr>
      </w:pPr>
      <w:r w:rsidRPr="00DF0492">
        <w:rPr>
          <w:sz w:val="20"/>
          <w:szCs w:val="20"/>
          <w:lang w:val="en-GB"/>
        </w:rPr>
        <w:t>Simulations revealed that the two more recent wheat cultivars experienced an average root biomass reduction of 4 to 8 g m</w:t>
      </w:r>
      <w:r w:rsidRPr="00DF0492">
        <w:rPr>
          <w:sz w:val="20"/>
          <w:szCs w:val="20"/>
          <w:vertAlign w:val="superscript"/>
          <w:lang w:val="en-GB"/>
        </w:rPr>
        <w:t>-2</w:t>
      </w:r>
      <w:r w:rsidRPr="00DF0492">
        <w:rPr>
          <w:sz w:val="20"/>
          <w:szCs w:val="20"/>
          <w:lang w:val="en-GB"/>
        </w:rPr>
        <w:t xml:space="preserve"> per 1% decrease in volume of soil water content, showing greater sensitivity compared to the 2 g m</w:t>
      </w:r>
      <w:r w:rsidRPr="00DF0492">
        <w:rPr>
          <w:sz w:val="20"/>
          <w:szCs w:val="20"/>
          <w:vertAlign w:val="superscript"/>
          <w:lang w:val="en-GB"/>
        </w:rPr>
        <w:t>-2</w:t>
      </w:r>
      <w:r w:rsidRPr="00DF0492">
        <w:rPr>
          <w:sz w:val="20"/>
          <w:szCs w:val="20"/>
          <w:lang w:val="en-GB"/>
        </w:rPr>
        <w:t xml:space="preserve"> reduction observed in the earlier developed cultivar (Table </w:t>
      </w:r>
      <w:r w:rsidR="00465BF6">
        <w:rPr>
          <w:sz w:val="20"/>
          <w:szCs w:val="20"/>
          <w:lang w:val="en-GB"/>
        </w:rPr>
        <w:t>S</w:t>
      </w:r>
      <w:r w:rsidRPr="00DF0492">
        <w:rPr>
          <w:sz w:val="20"/>
          <w:szCs w:val="20"/>
          <w:lang w:val="en-GB"/>
        </w:rPr>
        <w:t xml:space="preserve">2). A five year historical analysis of the </w:t>
      </w:r>
      <w:proofErr w:type="spellStart"/>
      <w:r w:rsidRPr="00DF0492">
        <w:rPr>
          <w:sz w:val="20"/>
          <w:szCs w:val="20"/>
          <w:lang w:val="en-GB"/>
        </w:rPr>
        <w:t>Quillow</w:t>
      </w:r>
      <w:proofErr w:type="spellEnd"/>
      <w:r w:rsidRPr="00DF0492">
        <w:rPr>
          <w:sz w:val="20"/>
          <w:szCs w:val="20"/>
          <w:lang w:val="en-GB"/>
        </w:rPr>
        <w:t xml:space="preserve"> catchment shows that soil water levels have been decreasing by an average of 0.19 cm</w:t>
      </w:r>
      <w:r w:rsidRPr="00DF0492">
        <w:rPr>
          <w:sz w:val="20"/>
          <w:szCs w:val="20"/>
          <w:vertAlign w:val="superscript"/>
          <w:lang w:val="en-GB"/>
        </w:rPr>
        <w:t>3</w:t>
      </w:r>
      <w:r w:rsidRPr="00DF0492">
        <w:rPr>
          <w:sz w:val="20"/>
          <w:szCs w:val="20"/>
          <w:lang w:val="en-GB"/>
        </w:rPr>
        <w:t xml:space="preserve"> cm³ per year</w:t>
      </w:r>
      <w:r w:rsidR="00170007" w:rsidRPr="00DF0492">
        <w:rPr>
          <w:sz w:val="20"/>
          <w:szCs w:val="20"/>
          <w:lang w:val="en-GB"/>
        </w:rPr>
        <w:t xml:space="preserve"> (</w:t>
      </w:r>
      <w:r w:rsidR="00465BF6">
        <w:rPr>
          <w:sz w:val="20"/>
          <w:szCs w:val="20"/>
          <w:lang w:val="en-GB"/>
        </w:rPr>
        <w:t>Figure S1</w:t>
      </w:r>
      <w:r w:rsidR="00170007" w:rsidRPr="00DF0492">
        <w:rPr>
          <w:sz w:val="20"/>
          <w:szCs w:val="20"/>
          <w:lang w:val="en-GB"/>
        </w:rPr>
        <w:t>a)</w:t>
      </w:r>
      <w:r w:rsidRPr="00DF0492">
        <w:rPr>
          <w:sz w:val="20"/>
          <w:szCs w:val="20"/>
          <w:lang w:val="en-GB"/>
        </w:rPr>
        <w:t>. As a result of soil drying, our simulations estimate that over the past five years, recently developed cultivars contributed 21 to 35 kg C ha⁻¹ less C to highly eroded soils, excluding exudates. In contrast, earlier developed cultivars contributed only 9 kg C ha⁻¹ less C. This difference was even more pronounced in depositional soils, where recently developed cultivars c</w:t>
      </w:r>
      <w:r w:rsidR="00C12C2C">
        <w:rPr>
          <w:sz w:val="20"/>
          <w:szCs w:val="20"/>
          <w:lang w:val="en-GB"/>
        </w:rPr>
        <w:t>ontributed 41 kg C ha⁻¹ less C.</w:t>
      </w:r>
    </w:p>
    <w:tbl>
      <w:tblPr>
        <w:tblStyle w:val="Tabellenraster"/>
        <w:tblW w:w="0" w:type="auto"/>
        <w:tblLook w:val="04A0" w:firstRow="1" w:lastRow="0" w:firstColumn="1" w:lastColumn="0" w:noHBand="0" w:noVBand="1"/>
      </w:tblPr>
      <w:tblGrid>
        <w:gridCol w:w="9628"/>
      </w:tblGrid>
      <w:tr w:rsidR="001E2F84" w:rsidRPr="00DF0492" w14:paraId="38A362BE" w14:textId="77777777" w:rsidTr="0044379D">
        <w:tc>
          <w:tcPr>
            <w:tcW w:w="9628" w:type="dxa"/>
          </w:tcPr>
          <w:p w14:paraId="4809BCF8" w14:textId="535833DD" w:rsidR="001E2F84" w:rsidRPr="00DF0492" w:rsidRDefault="002655C8" w:rsidP="00A057E6">
            <w:pPr>
              <w:spacing w:line="360" w:lineRule="auto"/>
              <w:jc w:val="center"/>
              <w:rPr>
                <w:rFonts w:ascii="Times New Roman" w:hAnsi="Times New Roman" w:cs="Times New Roman"/>
                <w:sz w:val="20"/>
                <w:szCs w:val="20"/>
              </w:rPr>
            </w:pPr>
            <w:r>
              <w:rPr>
                <w:rFonts w:ascii="Times New Roman" w:hAnsi="Times New Roman" w:cs="Times New Roman"/>
                <w:sz w:val="20"/>
                <w:szCs w:val="20"/>
              </w:rPr>
              <w:pict w14:anchorId="79CA7E86">
                <v:shape id="_x0000_i1026" type="#_x0000_t75" style="width:254.85pt;height:440.55pt">
                  <v:imagedata r:id="rId11" o:title="Fig5"/>
                </v:shape>
              </w:pict>
            </w:r>
          </w:p>
        </w:tc>
      </w:tr>
    </w:tbl>
    <w:p w14:paraId="572DA11C" w14:textId="3EFE1366" w:rsidR="001E2F84" w:rsidRDefault="001E2F84" w:rsidP="00DF0492">
      <w:pPr>
        <w:spacing w:line="360" w:lineRule="auto"/>
        <w:jc w:val="both"/>
        <w:rPr>
          <w:rFonts w:ascii="Times New Roman" w:hAnsi="Times New Roman" w:cs="Times New Roman"/>
          <w:b/>
          <w:sz w:val="20"/>
          <w:szCs w:val="20"/>
        </w:rPr>
      </w:pPr>
      <w:r w:rsidRPr="007170EB">
        <w:rPr>
          <w:rFonts w:ascii="Times New Roman" w:hAnsi="Times New Roman" w:cs="Times New Roman"/>
          <w:b/>
          <w:sz w:val="20"/>
          <w:szCs w:val="20"/>
        </w:rPr>
        <w:t xml:space="preserve">Figure </w:t>
      </w:r>
      <w:r w:rsidR="00F012DB">
        <w:rPr>
          <w:rFonts w:ascii="Times New Roman" w:hAnsi="Times New Roman" w:cs="Times New Roman"/>
          <w:b/>
          <w:sz w:val="20"/>
          <w:szCs w:val="20"/>
        </w:rPr>
        <w:t>5</w:t>
      </w:r>
      <w:r w:rsidR="007170EB">
        <w:rPr>
          <w:rFonts w:ascii="Times New Roman" w:hAnsi="Times New Roman" w:cs="Times New Roman"/>
          <w:b/>
          <w:sz w:val="20"/>
          <w:szCs w:val="20"/>
        </w:rPr>
        <w:t>:</w:t>
      </w:r>
      <w:r w:rsidRPr="007170EB">
        <w:rPr>
          <w:rFonts w:ascii="Times New Roman" w:hAnsi="Times New Roman" w:cs="Times New Roman"/>
          <w:b/>
          <w:sz w:val="20"/>
          <w:szCs w:val="20"/>
        </w:rPr>
        <w:t xml:space="preserve"> </w:t>
      </w:r>
      <w:r w:rsidR="007221B6" w:rsidRPr="007170EB">
        <w:rPr>
          <w:rFonts w:ascii="Times New Roman" w:hAnsi="Times New Roman" w:cs="Times New Roman"/>
          <w:b/>
          <w:sz w:val="20"/>
          <w:szCs w:val="20"/>
        </w:rPr>
        <w:t>Unsupervised and supervised machine learning. a) Visual representation of the principal component analysis (PCA), showing the relationships between different variables across four groups of soils (</w:t>
      </w:r>
      <w:proofErr w:type="spellStart"/>
      <w:r w:rsidR="007221B6" w:rsidRPr="007170EB">
        <w:rPr>
          <w:rFonts w:ascii="Times New Roman" w:hAnsi="Times New Roman" w:cs="Times New Roman"/>
          <w:b/>
          <w:sz w:val="20"/>
          <w:szCs w:val="20"/>
        </w:rPr>
        <w:t>Rg</w:t>
      </w:r>
      <w:proofErr w:type="spellEnd"/>
      <w:r w:rsidR="007221B6" w:rsidRPr="007170EB">
        <w:rPr>
          <w:rFonts w:ascii="Times New Roman" w:hAnsi="Times New Roman" w:cs="Times New Roman"/>
          <w:b/>
          <w:sz w:val="20"/>
          <w:szCs w:val="20"/>
        </w:rPr>
        <w:t xml:space="preserve">-ca, </w:t>
      </w:r>
      <w:proofErr w:type="spellStart"/>
      <w:r w:rsidR="007221B6" w:rsidRPr="007170EB">
        <w:rPr>
          <w:rFonts w:ascii="Times New Roman" w:hAnsi="Times New Roman" w:cs="Times New Roman"/>
          <w:b/>
          <w:sz w:val="20"/>
          <w:szCs w:val="20"/>
        </w:rPr>
        <w:t>Lv</w:t>
      </w:r>
      <w:proofErr w:type="spellEnd"/>
      <w:r w:rsidR="007221B6" w:rsidRPr="007170EB">
        <w:rPr>
          <w:rFonts w:ascii="Times New Roman" w:hAnsi="Times New Roman" w:cs="Times New Roman"/>
          <w:b/>
          <w:sz w:val="20"/>
          <w:szCs w:val="20"/>
        </w:rPr>
        <w:t xml:space="preserve">-ng, </w:t>
      </w:r>
      <w:proofErr w:type="spellStart"/>
      <w:r w:rsidR="007221B6" w:rsidRPr="007170EB">
        <w:rPr>
          <w:rFonts w:ascii="Times New Roman" w:hAnsi="Times New Roman" w:cs="Times New Roman"/>
          <w:b/>
          <w:sz w:val="20"/>
          <w:szCs w:val="20"/>
        </w:rPr>
        <w:t>Lv</w:t>
      </w:r>
      <w:proofErr w:type="spellEnd"/>
      <w:r w:rsidR="007221B6" w:rsidRPr="007170EB">
        <w:rPr>
          <w:rFonts w:ascii="Times New Roman" w:hAnsi="Times New Roman" w:cs="Times New Roman"/>
          <w:b/>
          <w:sz w:val="20"/>
          <w:szCs w:val="20"/>
        </w:rPr>
        <w:t xml:space="preserve">-cc, and Rg-co.gl). Confidence ellipses: Represent the clustering of different </w:t>
      </w:r>
      <w:r w:rsidR="007221B6">
        <w:rPr>
          <w:rFonts w:ascii="Times New Roman" w:hAnsi="Times New Roman" w:cs="Times New Roman"/>
          <w:b/>
          <w:sz w:val="20"/>
          <w:szCs w:val="20"/>
        </w:rPr>
        <w:t>soil types based on the PCA. b) I</w:t>
      </w:r>
      <w:r w:rsidR="007221B6" w:rsidRPr="007170EB">
        <w:rPr>
          <w:rFonts w:ascii="Times New Roman" w:hAnsi="Times New Roman" w:cs="Times New Roman"/>
          <w:b/>
          <w:sz w:val="20"/>
          <w:szCs w:val="20"/>
        </w:rPr>
        <w:t>mportance of each feature in the prediction of root biomass.</w:t>
      </w:r>
    </w:p>
    <w:p w14:paraId="30B43DC4" w14:textId="77777777" w:rsidR="00E346ED" w:rsidRPr="00C12C2C" w:rsidRDefault="00E346ED" w:rsidP="00DF0492">
      <w:pPr>
        <w:spacing w:line="360" w:lineRule="auto"/>
        <w:jc w:val="both"/>
        <w:rPr>
          <w:rFonts w:ascii="Times New Roman" w:hAnsi="Times New Roman" w:cs="Times New Roman"/>
          <w:b/>
          <w:sz w:val="20"/>
          <w:szCs w:val="20"/>
        </w:rPr>
      </w:pPr>
    </w:p>
    <w:tbl>
      <w:tblPr>
        <w:tblStyle w:val="Tabellenraster"/>
        <w:tblW w:w="0" w:type="auto"/>
        <w:tblLook w:val="04A0" w:firstRow="1" w:lastRow="0" w:firstColumn="1" w:lastColumn="0" w:noHBand="0" w:noVBand="1"/>
      </w:tblPr>
      <w:tblGrid>
        <w:gridCol w:w="9628"/>
      </w:tblGrid>
      <w:tr w:rsidR="001E2F84" w:rsidRPr="00DF0492" w14:paraId="47F5F057" w14:textId="77777777" w:rsidTr="0044379D">
        <w:tc>
          <w:tcPr>
            <w:tcW w:w="9628" w:type="dxa"/>
          </w:tcPr>
          <w:p w14:paraId="4308E996" w14:textId="2C961927" w:rsidR="001E2F84" w:rsidRPr="00DF0492" w:rsidRDefault="002655C8" w:rsidP="00DF0492">
            <w:pPr>
              <w:spacing w:line="360" w:lineRule="auto"/>
              <w:jc w:val="both"/>
              <w:rPr>
                <w:rFonts w:ascii="Times New Roman" w:hAnsi="Times New Roman" w:cs="Times New Roman"/>
                <w:sz w:val="20"/>
                <w:szCs w:val="20"/>
              </w:rPr>
            </w:pPr>
            <w:r>
              <w:rPr>
                <w:rFonts w:ascii="Times New Roman" w:hAnsi="Times New Roman" w:cs="Times New Roman"/>
                <w:sz w:val="20"/>
                <w:szCs w:val="20"/>
              </w:rPr>
              <w:lastRenderedPageBreak/>
              <w:pict w14:anchorId="53023A20">
                <v:shape id="_x0000_i1027" type="#_x0000_t75" style="width:473.7pt;height:486.3pt">
                  <v:imagedata r:id="rId12" o:title="Fig6"/>
                </v:shape>
              </w:pict>
            </w:r>
          </w:p>
        </w:tc>
      </w:tr>
    </w:tbl>
    <w:p w14:paraId="1C78B6B7" w14:textId="612E0EE3" w:rsidR="001E2F84" w:rsidRPr="007170EB" w:rsidRDefault="001E2F84" w:rsidP="00DF0492">
      <w:pPr>
        <w:spacing w:line="360" w:lineRule="auto"/>
        <w:jc w:val="both"/>
        <w:rPr>
          <w:rFonts w:ascii="Times New Roman" w:hAnsi="Times New Roman" w:cs="Times New Roman"/>
          <w:b/>
          <w:sz w:val="20"/>
          <w:szCs w:val="20"/>
        </w:rPr>
      </w:pPr>
      <w:r w:rsidRPr="007170EB">
        <w:rPr>
          <w:rFonts w:ascii="Times New Roman" w:hAnsi="Times New Roman" w:cs="Times New Roman"/>
          <w:b/>
          <w:sz w:val="20"/>
          <w:szCs w:val="20"/>
        </w:rPr>
        <w:t xml:space="preserve">Figure </w:t>
      </w:r>
      <w:r w:rsidR="00F012DB">
        <w:rPr>
          <w:rFonts w:ascii="Times New Roman" w:hAnsi="Times New Roman" w:cs="Times New Roman"/>
          <w:b/>
          <w:sz w:val="20"/>
          <w:szCs w:val="20"/>
        </w:rPr>
        <w:t>6</w:t>
      </w:r>
      <w:r w:rsidR="007170EB">
        <w:rPr>
          <w:rFonts w:ascii="Times New Roman" w:hAnsi="Times New Roman" w:cs="Times New Roman"/>
          <w:b/>
          <w:sz w:val="20"/>
          <w:szCs w:val="20"/>
        </w:rPr>
        <w:t>:</w:t>
      </w:r>
      <w:r w:rsidRPr="007170EB">
        <w:rPr>
          <w:rFonts w:ascii="Times New Roman" w:hAnsi="Times New Roman" w:cs="Times New Roman"/>
          <w:b/>
          <w:sz w:val="20"/>
          <w:szCs w:val="20"/>
        </w:rPr>
        <w:t xml:space="preserve"> </w:t>
      </w:r>
      <w:r w:rsidR="00A76D2A" w:rsidRPr="007170EB">
        <w:rPr>
          <w:rFonts w:ascii="Times New Roman" w:hAnsi="Times New Roman" w:cs="Times New Roman"/>
          <w:b/>
          <w:sz w:val="20"/>
          <w:szCs w:val="20"/>
        </w:rPr>
        <w:t>Simulated relationship between root biomass (g m</w:t>
      </w:r>
      <w:r w:rsidR="00A76D2A" w:rsidRPr="007170EB">
        <w:rPr>
          <w:rFonts w:ascii="Times New Roman" w:hAnsi="Times New Roman" w:cs="Times New Roman"/>
          <w:b/>
          <w:sz w:val="20"/>
          <w:szCs w:val="20"/>
          <w:vertAlign w:val="superscript"/>
        </w:rPr>
        <w:t>-2</w:t>
      </w:r>
      <w:r w:rsidR="00A76D2A" w:rsidRPr="007170EB">
        <w:rPr>
          <w:rFonts w:ascii="Times New Roman" w:hAnsi="Times New Roman" w:cs="Times New Roman"/>
          <w:b/>
          <w:sz w:val="20"/>
          <w:szCs w:val="20"/>
        </w:rPr>
        <w:t>) and IPAR (incident photosynthetically active radiation) across four different soil types (</w:t>
      </w:r>
      <w:proofErr w:type="spellStart"/>
      <w:r w:rsidR="00A76D2A" w:rsidRPr="007170EB">
        <w:rPr>
          <w:rFonts w:ascii="Times New Roman" w:hAnsi="Times New Roman" w:cs="Times New Roman"/>
          <w:b/>
          <w:sz w:val="20"/>
          <w:szCs w:val="20"/>
        </w:rPr>
        <w:t>Rg</w:t>
      </w:r>
      <w:proofErr w:type="spellEnd"/>
      <w:r w:rsidR="00A76D2A" w:rsidRPr="007170EB">
        <w:rPr>
          <w:rFonts w:ascii="Times New Roman" w:hAnsi="Times New Roman" w:cs="Times New Roman"/>
          <w:b/>
          <w:sz w:val="20"/>
          <w:szCs w:val="20"/>
        </w:rPr>
        <w:t xml:space="preserve">-ca, </w:t>
      </w:r>
      <w:proofErr w:type="spellStart"/>
      <w:r w:rsidR="00A76D2A" w:rsidRPr="007170EB">
        <w:rPr>
          <w:rFonts w:ascii="Times New Roman" w:hAnsi="Times New Roman" w:cs="Times New Roman"/>
          <w:b/>
          <w:sz w:val="20"/>
          <w:szCs w:val="20"/>
        </w:rPr>
        <w:t>Lv</w:t>
      </w:r>
      <w:proofErr w:type="spellEnd"/>
      <w:r w:rsidR="00A76D2A" w:rsidRPr="007170EB">
        <w:rPr>
          <w:rFonts w:ascii="Times New Roman" w:hAnsi="Times New Roman" w:cs="Times New Roman"/>
          <w:b/>
          <w:sz w:val="20"/>
          <w:szCs w:val="20"/>
        </w:rPr>
        <w:t xml:space="preserve">-ng, </w:t>
      </w:r>
      <w:proofErr w:type="spellStart"/>
      <w:r w:rsidR="00A76D2A" w:rsidRPr="007170EB">
        <w:rPr>
          <w:rFonts w:ascii="Times New Roman" w:hAnsi="Times New Roman" w:cs="Times New Roman"/>
          <w:b/>
          <w:sz w:val="20"/>
          <w:szCs w:val="20"/>
        </w:rPr>
        <w:t>Lv</w:t>
      </w:r>
      <w:proofErr w:type="spellEnd"/>
      <w:r w:rsidR="00A76D2A" w:rsidRPr="007170EB">
        <w:rPr>
          <w:rFonts w:ascii="Times New Roman" w:hAnsi="Times New Roman" w:cs="Times New Roman"/>
          <w:b/>
          <w:sz w:val="20"/>
          <w:szCs w:val="20"/>
        </w:rPr>
        <w:t>-cc, and Rg-co.gl) and three different wheat varieties (</w:t>
      </w:r>
      <w:proofErr w:type="spellStart"/>
      <w:r w:rsidR="00A76D2A" w:rsidRPr="007170EB">
        <w:rPr>
          <w:rFonts w:ascii="Times New Roman" w:hAnsi="Times New Roman" w:cs="Times New Roman"/>
          <w:b/>
          <w:sz w:val="20"/>
          <w:szCs w:val="20"/>
        </w:rPr>
        <w:t>Ostpreußischer</w:t>
      </w:r>
      <w:proofErr w:type="spellEnd"/>
      <w:r w:rsidR="00A76D2A" w:rsidRPr="007170EB">
        <w:rPr>
          <w:rFonts w:ascii="Times New Roman" w:hAnsi="Times New Roman" w:cs="Times New Roman"/>
          <w:b/>
          <w:sz w:val="20"/>
          <w:szCs w:val="20"/>
        </w:rPr>
        <w:t xml:space="preserve">, </w:t>
      </w:r>
      <w:proofErr w:type="spellStart"/>
      <w:r w:rsidR="00A76D2A" w:rsidRPr="007170EB">
        <w:rPr>
          <w:rFonts w:ascii="Times New Roman" w:hAnsi="Times New Roman" w:cs="Times New Roman"/>
          <w:b/>
          <w:sz w:val="20"/>
          <w:szCs w:val="20"/>
        </w:rPr>
        <w:t>Hadmerslebener</w:t>
      </w:r>
      <w:proofErr w:type="spellEnd"/>
      <w:r w:rsidR="00A76D2A" w:rsidRPr="007170EB">
        <w:rPr>
          <w:rFonts w:ascii="Times New Roman" w:hAnsi="Times New Roman" w:cs="Times New Roman"/>
          <w:b/>
          <w:sz w:val="20"/>
          <w:szCs w:val="20"/>
        </w:rPr>
        <w:t xml:space="preserve">, and </w:t>
      </w:r>
      <w:proofErr w:type="spellStart"/>
      <w:r w:rsidR="00A76D2A" w:rsidRPr="007170EB">
        <w:rPr>
          <w:rFonts w:ascii="Times New Roman" w:hAnsi="Times New Roman" w:cs="Times New Roman"/>
          <w:b/>
          <w:sz w:val="20"/>
          <w:szCs w:val="20"/>
        </w:rPr>
        <w:t>Ponticus</w:t>
      </w:r>
      <w:proofErr w:type="spellEnd"/>
      <w:r w:rsidR="00A76D2A" w:rsidRPr="007170EB">
        <w:rPr>
          <w:rFonts w:ascii="Times New Roman" w:hAnsi="Times New Roman" w:cs="Times New Roman"/>
          <w:b/>
          <w:sz w:val="20"/>
          <w:szCs w:val="20"/>
        </w:rPr>
        <w:t>). Each soil type is represented in a separate column, while each row corresponds to a different level of soil water content (18, 24, and 30 cm³ cm</w:t>
      </w:r>
      <w:r w:rsidR="00A76D2A" w:rsidRPr="007170EB">
        <w:rPr>
          <w:rFonts w:ascii="Times New Roman" w:hAnsi="Times New Roman" w:cs="Times New Roman"/>
          <w:b/>
          <w:sz w:val="20"/>
          <w:szCs w:val="20"/>
          <w:vertAlign w:val="superscript"/>
        </w:rPr>
        <w:t>-3</w:t>
      </w:r>
      <w:r w:rsidR="00A76D2A" w:rsidRPr="007170EB">
        <w:rPr>
          <w:rFonts w:ascii="Times New Roman" w:hAnsi="Times New Roman" w:cs="Times New Roman"/>
          <w:b/>
          <w:sz w:val="20"/>
          <w:szCs w:val="20"/>
        </w:rPr>
        <w:t>).</w:t>
      </w:r>
    </w:p>
    <w:p w14:paraId="4B3F5607" w14:textId="77777777" w:rsidR="00064A36" w:rsidRPr="00DF0492" w:rsidRDefault="00064A36" w:rsidP="00DF0492">
      <w:pPr>
        <w:spacing w:line="360" w:lineRule="auto"/>
        <w:jc w:val="both"/>
        <w:rPr>
          <w:rFonts w:ascii="Times New Roman" w:hAnsi="Times New Roman" w:cs="Times New Roman"/>
          <w:sz w:val="20"/>
          <w:szCs w:val="20"/>
        </w:rPr>
      </w:pPr>
    </w:p>
    <w:p w14:paraId="543F9475" w14:textId="4C1EF6CE" w:rsidR="000209F2" w:rsidRPr="00DF0492" w:rsidRDefault="007163EA" w:rsidP="00DF0492">
      <w:pPr>
        <w:spacing w:line="360" w:lineRule="auto"/>
        <w:jc w:val="both"/>
        <w:rPr>
          <w:rFonts w:ascii="Times New Roman" w:hAnsi="Times New Roman" w:cs="Times New Roman"/>
          <w:b/>
          <w:sz w:val="20"/>
          <w:szCs w:val="20"/>
        </w:rPr>
      </w:pPr>
      <w:r>
        <w:rPr>
          <w:rFonts w:ascii="Times New Roman" w:hAnsi="Times New Roman" w:cs="Times New Roman"/>
          <w:b/>
          <w:sz w:val="20"/>
          <w:szCs w:val="20"/>
        </w:rPr>
        <w:t xml:space="preserve">4 </w:t>
      </w:r>
      <w:r w:rsidR="00FD72EA" w:rsidRPr="00DF0492">
        <w:rPr>
          <w:rFonts w:ascii="Times New Roman" w:hAnsi="Times New Roman" w:cs="Times New Roman"/>
          <w:b/>
          <w:sz w:val="20"/>
          <w:szCs w:val="20"/>
        </w:rPr>
        <w:t>Discussion</w:t>
      </w:r>
    </w:p>
    <w:p w14:paraId="06A64E66" w14:textId="01FAD728" w:rsidR="004433A3" w:rsidRPr="00956871" w:rsidRDefault="000B525C" w:rsidP="00A95323">
      <w:pPr>
        <w:spacing w:line="360" w:lineRule="auto"/>
        <w:ind w:firstLine="708"/>
        <w:jc w:val="both"/>
        <w:rPr>
          <w:rFonts w:ascii="Times New Roman" w:eastAsia="Times New Roman" w:hAnsi="Times New Roman" w:cs="Times New Roman"/>
          <w:color w:val="FF0000"/>
          <w:kern w:val="0"/>
          <w:sz w:val="20"/>
          <w:szCs w:val="20"/>
          <w:lang w:val="en-GB" w:eastAsia="de-DE" w:bidi="ar-SA"/>
        </w:rPr>
      </w:pPr>
      <w:r w:rsidRPr="00B80201">
        <w:rPr>
          <w:rFonts w:ascii="Times New Roman" w:eastAsia="Times New Roman" w:hAnsi="Times New Roman" w:cs="Times New Roman"/>
          <w:color w:val="FF0000"/>
          <w:kern w:val="0"/>
          <w:sz w:val="20"/>
          <w:szCs w:val="20"/>
          <w:lang w:val="en-GB" w:eastAsia="de-DE" w:bidi="ar-SA"/>
        </w:rPr>
        <w:t xml:space="preserve">Along the studied erosion–deposition gradient, the oldest wheat cultivar grown in Rg-co.gl soil produced approximately 50% more straw and root biomass than the most recent cultivar grown in </w:t>
      </w:r>
      <w:proofErr w:type="spellStart"/>
      <w:r w:rsidRPr="00B80201">
        <w:rPr>
          <w:rFonts w:ascii="Times New Roman" w:eastAsia="Times New Roman" w:hAnsi="Times New Roman" w:cs="Times New Roman"/>
          <w:color w:val="FF0000"/>
          <w:kern w:val="0"/>
          <w:sz w:val="20"/>
          <w:szCs w:val="20"/>
          <w:lang w:val="en-GB" w:eastAsia="de-DE" w:bidi="ar-SA"/>
        </w:rPr>
        <w:t>Rg</w:t>
      </w:r>
      <w:proofErr w:type="spellEnd"/>
      <w:r w:rsidRPr="00B80201">
        <w:rPr>
          <w:rFonts w:ascii="Times New Roman" w:eastAsia="Times New Roman" w:hAnsi="Times New Roman" w:cs="Times New Roman"/>
          <w:color w:val="FF0000"/>
          <w:kern w:val="0"/>
          <w:sz w:val="20"/>
          <w:szCs w:val="20"/>
          <w:lang w:val="en-GB" w:eastAsia="de-DE" w:bidi="ar-SA"/>
        </w:rPr>
        <w:t>-ca soil—corresponding to an annual difference of about 3.2 tons of C per hectare</w:t>
      </w:r>
      <w:r w:rsidR="007E6207" w:rsidRPr="00B80201">
        <w:rPr>
          <w:rFonts w:ascii="Times New Roman" w:eastAsia="Times New Roman" w:hAnsi="Times New Roman" w:cs="Times New Roman"/>
          <w:color w:val="FF0000"/>
          <w:kern w:val="0"/>
          <w:sz w:val="20"/>
          <w:szCs w:val="20"/>
          <w:lang w:val="en-GB" w:eastAsia="de-DE" w:bidi="ar-SA"/>
        </w:rPr>
        <w:t>—of which 0.6 tons come from roots in the subsoil</w:t>
      </w:r>
      <w:r w:rsidR="001C53CF" w:rsidRPr="00B80201">
        <w:rPr>
          <w:rFonts w:ascii="Times New Roman" w:eastAsia="Times New Roman" w:hAnsi="Times New Roman" w:cs="Times New Roman"/>
          <w:color w:val="FF0000"/>
          <w:kern w:val="0"/>
          <w:sz w:val="20"/>
          <w:szCs w:val="20"/>
          <w:lang w:val="en-GB" w:eastAsia="de-DE" w:bidi="ar-SA"/>
        </w:rPr>
        <w:t xml:space="preserve"> (Fig. 4)</w:t>
      </w:r>
      <w:r w:rsidRPr="00B80201">
        <w:rPr>
          <w:rFonts w:ascii="Times New Roman" w:eastAsia="Times New Roman" w:hAnsi="Times New Roman" w:cs="Times New Roman"/>
          <w:color w:val="FF0000"/>
          <w:kern w:val="0"/>
          <w:sz w:val="20"/>
          <w:szCs w:val="20"/>
          <w:lang w:val="en-GB" w:eastAsia="de-DE" w:bidi="ar-SA"/>
        </w:rPr>
        <w:t xml:space="preserve">. </w:t>
      </w:r>
      <w:r w:rsidR="00906EDF" w:rsidRPr="00DF0492">
        <w:rPr>
          <w:rFonts w:ascii="Times New Roman" w:eastAsia="Times New Roman" w:hAnsi="Times New Roman" w:cs="Times New Roman"/>
          <w:kern w:val="0"/>
          <w:sz w:val="20"/>
          <w:szCs w:val="20"/>
          <w:lang w:val="en-GB" w:eastAsia="de-DE" w:bidi="ar-SA"/>
        </w:rPr>
        <w:t xml:space="preserve">This </w:t>
      </w:r>
      <w:r w:rsidRPr="00472631">
        <w:rPr>
          <w:rFonts w:ascii="Times New Roman" w:eastAsia="Times New Roman" w:hAnsi="Times New Roman" w:cs="Times New Roman"/>
          <w:kern w:val="0"/>
          <w:sz w:val="20"/>
          <w:szCs w:val="20"/>
          <w:lang w:val="en-GB" w:eastAsia="de-DE" w:bidi="ar-SA"/>
        </w:rPr>
        <w:t>difference</w:t>
      </w:r>
      <w:r w:rsidR="00906EDF" w:rsidRPr="00DC4124">
        <w:rPr>
          <w:rFonts w:ascii="Times New Roman" w:eastAsia="Times New Roman" w:hAnsi="Times New Roman" w:cs="Times New Roman"/>
          <w:kern w:val="0"/>
          <w:sz w:val="20"/>
          <w:szCs w:val="20"/>
          <w:lang w:val="en-GB" w:eastAsia="de-DE" w:bidi="ar-SA"/>
        </w:rPr>
        <w:t xml:space="preserve"> </w:t>
      </w:r>
      <w:r w:rsidR="00906EDF" w:rsidRPr="00DF0492">
        <w:rPr>
          <w:rFonts w:ascii="Times New Roman" w:eastAsia="Times New Roman" w:hAnsi="Times New Roman" w:cs="Times New Roman"/>
          <w:kern w:val="0"/>
          <w:sz w:val="20"/>
          <w:szCs w:val="20"/>
          <w:lang w:val="en-GB" w:eastAsia="de-DE" w:bidi="ar-SA"/>
        </w:rPr>
        <w:t>underscores the importance of wheat cultivar selection, as biomass production and allocation strategies vary among cultivars. Earlier cultivars exhibit significant</w:t>
      </w:r>
      <w:r w:rsidR="002156CD">
        <w:rPr>
          <w:rFonts w:ascii="Times New Roman" w:eastAsia="Times New Roman" w:hAnsi="Times New Roman" w:cs="Times New Roman"/>
          <w:kern w:val="0"/>
          <w:sz w:val="20"/>
          <w:szCs w:val="20"/>
          <w:lang w:val="en-GB" w:eastAsia="de-DE" w:bidi="ar-SA"/>
        </w:rPr>
        <w:t xml:space="preserve"> </w:t>
      </w:r>
      <w:r w:rsidR="002156CD" w:rsidRPr="00472631">
        <w:rPr>
          <w:rFonts w:ascii="Times New Roman" w:eastAsia="Times New Roman" w:hAnsi="Times New Roman" w:cs="Times New Roman"/>
          <w:kern w:val="0"/>
          <w:sz w:val="20"/>
          <w:szCs w:val="20"/>
          <w:lang w:val="en-GB" w:eastAsia="de-DE" w:bidi="ar-SA"/>
        </w:rPr>
        <w:t>higher</w:t>
      </w:r>
      <w:r w:rsidR="00906EDF" w:rsidRPr="00DC4124">
        <w:rPr>
          <w:rFonts w:ascii="Times New Roman" w:eastAsia="Times New Roman" w:hAnsi="Times New Roman" w:cs="Times New Roman"/>
          <w:kern w:val="0"/>
          <w:sz w:val="20"/>
          <w:szCs w:val="20"/>
          <w:lang w:val="en-GB" w:eastAsia="de-DE" w:bidi="ar-SA"/>
        </w:rPr>
        <w:t xml:space="preserve"> straw biomass </w:t>
      </w:r>
      <w:r w:rsidR="002156CD" w:rsidRPr="00472631">
        <w:rPr>
          <w:rFonts w:ascii="Times New Roman" w:eastAsia="Times New Roman" w:hAnsi="Times New Roman" w:cs="Times New Roman"/>
          <w:kern w:val="0"/>
          <w:sz w:val="20"/>
          <w:szCs w:val="20"/>
          <w:lang w:val="en-GB" w:eastAsia="de-DE" w:bidi="ar-SA"/>
        </w:rPr>
        <w:t>production than the most recent cultivar</w:t>
      </w:r>
      <w:r w:rsidR="00DC4124">
        <w:rPr>
          <w:rFonts w:ascii="Times New Roman" w:eastAsia="Times New Roman" w:hAnsi="Times New Roman" w:cs="Times New Roman"/>
          <w:kern w:val="0"/>
          <w:sz w:val="20"/>
          <w:szCs w:val="20"/>
          <w:lang w:val="en-GB" w:eastAsia="de-DE" w:bidi="ar-SA"/>
        </w:rPr>
        <w:t>,</w:t>
      </w:r>
      <w:r w:rsidR="00906EDF" w:rsidRPr="00DF0492">
        <w:rPr>
          <w:rFonts w:ascii="Times New Roman" w:eastAsia="Times New Roman" w:hAnsi="Times New Roman" w:cs="Times New Roman"/>
          <w:kern w:val="0"/>
          <w:sz w:val="20"/>
          <w:szCs w:val="20"/>
          <w:lang w:val="en-GB" w:eastAsia="de-DE" w:bidi="ar-SA"/>
        </w:rPr>
        <w:t xml:space="preserve"> while recently developed cultivars face greater declines in grain yield under eroded soil conditions. Earlier-developed wheat cultivars demonstrate greater resilience in root biomass production, even </w:t>
      </w:r>
      <w:r w:rsidR="00DC4124">
        <w:rPr>
          <w:rFonts w:ascii="Times New Roman" w:eastAsia="Times New Roman" w:hAnsi="Times New Roman" w:cs="Times New Roman"/>
          <w:kern w:val="0"/>
          <w:sz w:val="20"/>
          <w:szCs w:val="20"/>
          <w:lang w:val="en-GB" w:eastAsia="de-DE" w:bidi="ar-SA"/>
        </w:rPr>
        <w:t>at the</w:t>
      </w:r>
      <w:r w:rsidR="00DC4124" w:rsidRPr="00DF0492">
        <w:rPr>
          <w:rFonts w:ascii="Times New Roman" w:eastAsia="Times New Roman" w:hAnsi="Times New Roman" w:cs="Times New Roman"/>
          <w:kern w:val="0"/>
          <w:sz w:val="20"/>
          <w:szCs w:val="20"/>
          <w:lang w:val="en-GB" w:eastAsia="de-DE" w:bidi="ar-SA"/>
        </w:rPr>
        <w:t xml:space="preserve"> </w:t>
      </w:r>
      <w:r w:rsidR="001C53CF">
        <w:rPr>
          <w:rFonts w:ascii="Times New Roman" w:eastAsia="Times New Roman" w:hAnsi="Times New Roman" w:cs="Times New Roman"/>
          <w:kern w:val="0"/>
          <w:sz w:val="20"/>
          <w:szCs w:val="20"/>
          <w:lang w:val="en-GB" w:eastAsia="de-DE" w:bidi="ar-SA"/>
        </w:rPr>
        <w:t>extremely eroded soil</w:t>
      </w:r>
      <w:r w:rsidR="00150A2C">
        <w:rPr>
          <w:rFonts w:ascii="Times New Roman" w:eastAsia="Times New Roman" w:hAnsi="Times New Roman" w:cs="Times New Roman"/>
          <w:kern w:val="0"/>
          <w:sz w:val="20"/>
          <w:szCs w:val="20"/>
          <w:lang w:val="en-GB" w:eastAsia="de-DE" w:bidi="ar-SA"/>
        </w:rPr>
        <w:t xml:space="preserve"> </w:t>
      </w:r>
      <w:r w:rsidR="00150A2C" w:rsidRPr="00956871">
        <w:rPr>
          <w:rFonts w:ascii="Times New Roman" w:eastAsia="Times New Roman" w:hAnsi="Times New Roman" w:cs="Times New Roman"/>
          <w:color w:val="FF0000"/>
          <w:kern w:val="0"/>
          <w:sz w:val="20"/>
          <w:szCs w:val="20"/>
          <w:lang w:val="en-GB" w:eastAsia="de-DE" w:bidi="ar-SA"/>
        </w:rPr>
        <w:t xml:space="preserve">with greater root </w:t>
      </w:r>
      <w:r w:rsidR="00150A2C" w:rsidRPr="00956871">
        <w:rPr>
          <w:rFonts w:ascii="Times New Roman" w:eastAsia="Times New Roman" w:hAnsi="Times New Roman" w:cs="Times New Roman"/>
          <w:color w:val="FF0000"/>
          <w:kern w:val="0"/>
          <w:sz w:val="20"/>
          <w:szCs w:val="20"/>
          <w:lang w:val="en-GB" w:eastAsia="de-DE" w:bidi="ar-SA"/>
        </w:rPr>
        <w:lastRenderedPageBreak/>
        <w:t>development at depths beyond 1 meter compared to the other cultivars (Fig. 3).</w:t>
      </w:r>
      <w:r w:rsidR="00CE08EA" w:rsidRPr="00956871">
        <w:rPr>
          <w:rFonts w:ascii="Times New Roman" w:eastAsia="Times New Roman" w:hAnsi="Times New Roman" w:cs="Times New Roman"/>
          <w:color w:val="FF0000"/>
          <w:kern w:val="0"/>
          <w:sz w:val="20"/>
          <w:szCs w:val="20"/>
          <w:lang w:val="en-GB" w:eastAsia="de-DE" w:bidi="ar-SA"/>
        </w:rPr>
        <w:t xml:space="preserve"> Given the benefits of promoting deeper carbon inputs within the soil profile</w:t>
      </w:r>
      <w:r w:rsidR="00C44113" w:rsidRPr="00956871">
        <w:rPr>
          <w:rFonts w:ascii="Times New Roman" w:eastAsia="Times New Roman" w:hAnsi="Times New Roman" w:cs="Times New Roman"/>
          <w:color w:val="FF0000"/>
          <w:kern w:val="0"/>
          <w:sz w:val="20"/>
          <w:szCs w:val="20"/>
          <w:lang w:val="en-GB" w:eastAsia="de-DE" w:bidi="ar-SA"/>
        </w:rPr>
        <w:t xml:space="preserve"> </w:t>
      </w:r>
      <w:r w:rsidR="00C44113" w:rsidRPr="00956871">
        <w:rPr>
          <w:rFonts w:ascii="Times New Roman" w:eastAsia="Times New Roman" w:hAnsi="Times New Roman" w:cs="Times New Roman"/>
          <w:color w:val="FF0000"/>
          <w:kern w:val="0"/>
          <w:sz w:val="20"/>
          <w:szCs w:val="20"/>
          <w:lang w:val="en-GB" w:eastAsia="de-DE" w:bidi="ar-SA"/>
        </w:rPr>
        <w:fldChar w:fldCharType="begin" w:fldLock="1"/>
      </w:r>
      <w:r w:rsidR="007F5DA0" w:rsidRPr="00956871">
        <w:rPr>
          <w:rFonts w:ascii="Times New Roman" w:eastAsia="Times New Roman" w:hAnsi="Times New Roman" w:cs="Times New Roman"/>
          <w:color w:val="FF0000"/>
          <w:kern w:val="0"/>
          <w:sz w:val="20"/>
          <w:szCs w:val="20"/>
          <w:lang w:val="en-GB" w:eastAsia="de-DE" w:bidi="ar-SA"/>
        </w:rPr>
        <w:instrText>ADDIN CSL_CITATION {"citationItems":[{"id":"ITEM-1","itemData":{"DOI":"10.1038/s41467-022-31540-9","ISSN":"20411723","PMID":"35778395","abstract":"Soil is the largest terrestrial reservoir of organic carbon and is central for climate change mitigation and carbon-climate feedbacks. Chemical and physical associations of soil carbon with minerals play a critical role in carbon storage, but the amount and global capacity for storage in this form remain unquantified. Here, we produce spatially-resolved global estimates of mineral-associated organic carbon stocks and carbon-storage capacity by analyzing 1144 globally-distributed soil profiles. We show that current stocks total 899 Pg C to a depth of 1 m in non-permafrost mineral soils. Although this constitutes 66% and 70% of soil carbon in surface and deeper layers, respectively, it is only 42% and 21% of the mineralogical capacity. Regions under agricultural management and deeper soil layers show the largest undersaturation of mineral-associated carbon. Critically, the degree of undersaturation indicates sequestration efficiency over years to decades. We show that, across 103 carbon-accrual measurements spanning management interventions globally, soils furthest from their mineralogical capacity are more effective at accruing carbon; sequestration rates average 3-times higher in soils at one tenth of their capacity compared to soils at one half of their capacity. Our findings provide insights into the world’s soils, their capacity to store carbon, and priority regions and actions for soil carbon management.","author":[{"dropping-particle":"","family":"Georgiou","given":"Katerina","non-dropping-particle":"","parse-names":false,"suffix":""},{"dropping-particle":"","family":"Jackson","given":"Robert B.","non-dropping-particle":"","parse-names":false,"suffix":""},{"dropping-particle":"","family":"Vindušková","given":"Olga","non-dropping-particle":"","parse-names":false,"suffix":""},{"dropping-particle":"","family":"Abramoff","given":"Rose Z.","non-dropping-particle":"","parse-names":false,"suffix":""},{"dropping-particle":"","family":"Ahlström","given":"Anders","non-dropping-particle":"","parse-names":false,"suffix":""},{"dropping-particle":"","family":"Feng","given":"Wenting","non-dropping-particle":"","parse-names":false,"suffix":""},{"dropping-particle":"","family":"Harden","given":"Jennifer W.","non-dropping-particle":"","parse-names":false,"suffix":""},{"dropping-particle":"","family":"Pellegrini","given":"Adam F.A.","non-dropping-particle":"","parse-names":false,"suffix":""},{"dropping-particle":"","family":"Polley","given":"H. Wayne","non-dropping-particle":"","parse-names":false,"suffix":""},{"dropping-particle":"","family":"Soong","given":"Jennifer L.","non-dropping-particle":"","parse-names":false,"suffix":""},{"dropping-particle":"","family":"Riley","given":"William J.","non-dropping-particle":"","parse-names":false,"suffix":""},{"dropping-particle":"","family":"Torn","given":"Margaret S.","non-dropping-particle":"","parse-names":false,"suffix":""}],"container-title":"Nature Communications","id":"ITEM-1","issue":"1","issued":{"date-parts":[["2022"]]},"page":"1-12","title":"Global stocks and capacity of mineral-associated soil organic carbon","type":"article-journal","volume":"13"},"uris":["http://www.mendeley.com/documents/?uuid=51e29f30-158b-45d7-b3fb-157f646fe105"]}],"mendeley":{"formattedCitation":"(Georgiou et al., 2022)","plainTextFormattedCitation":"(Georgiou et al., 2022)","previouslyFormattedCitation":"(Georgiou et al., 2022)"},"properties":{"noteIndex":0},"schema":"https://github.com/citation-style-language/schema/raw/master/csl-citation.json"}</w:instrText>
      </w:r>
      <w:r w:rsidR="00C44113" w:rsidRPr="00956871">
        <w:rPr>
          <w:rFonts w:ascii="Times New Roman" w:eastAsia="Times New Roman" w:hAnsi="Times New Roman" w:cs="Times New Roman"/>
          <w:color w:val="FF0000"/>
          <w:kern w:val="0"/>
          <w:sz w:val="20"/>
          <w:szCs w:val="20"/>
          <w:lang w:val="en-GB" w:eastAsia="de-DE" w:bidi="ar-SA"/>
        </w:rPr>
        <w:fldChar w:fldCharType="separate"/>
      </w:r>
      <w:r w:rsidR="00C44113" w:rsidRPr="00956871">
        <w:rPr>
          <w:rFonts w:ascii="Times New Roman" w:eastAsia="Times New Roman" w:hAnsi="Times New Roman" w:cs="Times New Roman"/>
          <w:noProof/>
          <w:color w:val="FF0000"/>
          <w:kern w:val="0"/>
          <w:sz w:val="20"/>
          <w:szCs w:val="20"/>
          <w:lang w:val="en-GB" w:eastAsia="de-DE" w:bidi="ar-SA"/>
        </w:rPr>
        <w:t>(Georgiou et al., 2022)</w:t>
      </w:r>
      <w:r w:rsidR="00C44113" w:rsidRPr="00956871">
        <w:rPr>
          <w:rFonts w:ascii="Times New Roman" w:eastAsia="Times New Roman" w:hAnsi="Times New Roman" w:cs="Times New Roman"/>
          <w:color w:val="FF0000"/>
          <w:kern w:val="0"/>
          <w:sz w:val="20"/>
          <w:szCs w:val="20"/>
          <w:lang w:val="en-GB" w:eastAsia="de-DE" w:bidi="ar-SA"/>
        </w:rPr>
        <w:fldChar w:fldCharType="end"/>
      </w:r>
      <w:r w:rsidR="00593AC5" w:rsidRPr="00956871">
        <w:rPr>
          <w:rFonts w:ascii="Times New Roman" w:eastAsia="Times New Roman" w:hAnsi="Times New Roman" w:cs="Times New Roman"/>
          <w:color w:val="FF0000"/>
          <w:kern w:val="0"/>
          <w:sz w:val="20"/>
          <w:szCs w:val="20"/>
          <w:lang w:val="en-GB" w:eastAsia="de-DE" w:bidi="ar-SA"/>
        </w:rPr>
        <w:t xml:space="preserve"> such performance of </w:t>
      </w:r>
      <w:proofErr w:type="spellStart"/>
      <w:r w:rsidR="00593AC5" w:rsidRPr="00956871">
        <w:rPr>
          <w:rFonts w:ascii="Times New Roman" w:eastAsia="Times New Roman" w:hAnsi="Times New Roman" w:cs="Times New Roman"/>
          <w:color w:val="FF0000"/>
          <w:kern w:val="0"/>
          <w:sz w:val="20"/>
          <w:szCs w:val="20"/>
          <w:lang w:val="en-GB" w:eastAsia="de-DE" w:bidi="ar-SA"/>
        </w:rPr>
        <w:t>Ostpreußischer</w:t>
      </w:r>
      <w:proofErr w:type="spellEnd"/>
      <w:r w:rsidR="00593AC5" w:rsidRPr="00956871">
        <w:rPr>
          <w:rFonts w:ascii="Times New Roman" w:eastAsia="Times New Roman" w:hAnsi="Times New Roman" w:cs="Times New Roman"/>
          <w:color w:val="FF0000"/>
          <w:kern w:val="0"/>
          <w:sz w:val="20"/>
          <w:szCs w:val="20"/>
          <w:lang w:val="en-GB" w:eastAsia="de-DE" w:bidi="ar-SA"/>
        </w:rPr>
        <w:t xml:space="preserve"> cultivar is a desirable trait for increasing carbon stocks in degraded soils</w:t>
      </w:r>
      <w:r w:rsidR="00CE08EA" w:rsidRPr="00956871">
        <w:rPr>
          <w:rFonts w:ascii="Times New Roman" w:eastAsia="Times New Roman" w:hAnsi="Times New Roman" w:cs="Times New Roman"/>
          <w:color w:val="FF0000"/>
          <w:kern w:val="0"/>
          <w:sz w:val="20"/>
          <w:szCs w:val="20"/>
          <w:lang w:val="en-GB" w:eastAsia="de-DE" w:bidi="ar-SA"/>
        </w:rPr>
        <w:t xml:space="preserve"> </w:t>
      </w:r>
      <w:r w:rsidR="00C44113" w:rsidRPr="00956871">
        <w:rPr>
          <w:rFonts w:ascii="Times New Roman" w:eastAsia="Times New Roman" w:hAnsi="Times New Roman" w:cs="Times New Roman"/>
          <w:color w:val="FF0000"/>
          <w:kern w:val="0"/>
          <w:sz w:val="20"/>
          <w:szCs w:val="20"/>
          <w:lang w:val="en-GB" w:eastAsia="de-DE" w:bidi="ar-SA"/>
        </w:rPr>
        <w:fldChar w:fldCharType="begin" w:fldLock="1"/>
      </w:r>
      <w:r w:rsidR="00C44113" w:rsidRPr="00956871">
        <w:rPr>
          <w:rFonts w:ascii="Times New Roman" w:eastAsia="Times New Roman" w:hAnsi="Times New Roman" w:cs="Times New Roman"/>
          <w:color w:val="FF0000"/>
          <w:kern w:val="0"/>
          <w:sz w:val="20"/>
          <w:szCs w:val="20"/>
          <w:lang w:val="en-GB" w:eastAsia="de-DE" w:bidi="ar-SA"/>
        </w:rPr>
        <w:instrText>ADDIN CSL_CITATION {"citationItems":[{"id":"ITEM-1","itemData":{"DOI":"10.1016/j.soilbio.2022.108697","ISSN":"00380717","abstract":"Due to their substantial volume, subsoils contain more of the total soil carbon (C) pool than topsoils. Much of this C is thousands of years old, suggesting that subsoils offer considerable potential for long-term C sequestration. However, knowledge of subsoil C behaviour and manageability remains incomplete, and subsoil C storage potential has yet to be realised at a large scale, particularly in agricultural systems. A range of biological (e.g. deep-rooting), chemical (e.g. biochar burial) and physical (e.g. deep ploughing) C sequestration strategies have been proposed, but are yet to be assessed. In this review, we identify the main factors that regulate subsoil C cycling and critically evaluate the evidence and mechanistic basis of subsoil strategies designed to promote greater C storage, with particular emphasis on agroecosystems. We assess the barriers and opportunities for the implementation of strategies to enhance subsoil C sequestration and identify 5 key current gaps in scientific understanding. We conclude that subsoils, while highly heterogeneous, are in many cases more suited to long-term C sequestration than topsoils. The proposed strategies may also bring other tangible benefits to cropping systems (e.g. enhanced water holding capacity and nutrient use efficiency). Furthermore, while the subsoil C sequestration strategies we reviewed have large potential, more long-term studies are needed across a diverse range of soils and climates, in conjunction with chronosequence and space-for-time substitutions. Also, it is vital that subsoils are more consistently included in modelled estimations of soil C stocks and C sequestration potential, and that subsoil-explicit C models are developed to specifically reflect subsoil processes. Finally, further mapping of subsoil C is needed in specific regions (e.g. in the Middle East, Eastern Europe, South and Central America, South Asia and Africa). Conducting both immediate and long-term subsoil C studies will fill the knowledge gaps to devise appropriate soil C sequestration strategies and policies to help in the global fight against climate change and decline in soil quality. In conclusion, our evidence-based analysis reveals that subsoils offer an untapped potential to enhance global C storage in terrestrial ecosystems.","author":[{"dropping-particle":"","family":"Button","given":"Erik S.","non-dropping-particle":"","parse-names":false,"suffix":""},{"dropping-particle":"","family":"Pett-Ridge","given":"Jennifer","non-dropping-particle":"","parse-names":false,"suffix":""},{"dropping-particle":"V.","family":"Murphy","given":"Daniel","non-dropping-particle":"","parse-names":false,"suffix":""},{"dropping-particle":"","family":"Kuzyakov","given":"Yakov","non-dropping-particle":"","parse-names":false,"suffix":""},{"dropping-particle":"","family":"Chadwick","given":"David R.","non-dropping-particle":"","parse-names":false,"suffix":""},{"dropping-particle":"","family":"Jones","given":"Davey L.","non-dropping-particle":"","parse-names":false,"suffix":""}],"container-title":"Soil Biology and Biochemistry","id":"ITEM-1","issue":"May","issued":{"date-parts":[["2022"]]},"page":"108697","publisher":"Elsevier Ltd","title":"Deep-C storage: Biological, chemical and physical strategies to enhance carbon stocks in agricultural subsoils","type":"article-journal","volume":"170"},"uris":["http://www.mendeley.com/documents/?uuid=9a91c5f9-bb4e-4fbc-87b6-63b6556a110e"]}],"mendeley":{"formattedCitation":"(Button et al., 2022)","plainTextFormattedCitation":"(Button et al., 2022)","previouslyFormattedCitation":"(Button et al., 2022)"},"properties":{"noteIndex":0},"schema":"https://github.com/citation-style-language/schema/raw/master/csl-citation.json"}</w:instrText>
      </w:r>
      <w:r w:rsidR="00C44113" w:rsidRPr="00956871">
        <w:rPr>
          <w:rFonts w:ascii="Times New Roman" w:eastAsia="Times New Roman" w:hAnsi="Times New Roman" w:cs="Times New Roman"/>
          <w:color w:val="FF0000"/>
          <w:kern w:val="0"/>
          <w:sz w:val="20"/>
          <w:szCs w:val="20"/>
          <w:lang w:val="en-GB" w:eastAsia="de-DE" w:bidi="ar-SA"/>
        </w:rPr>
        <w:fldChar w:fldCharType="separate"/>
      </w:r>
      <w:r w:rsidR="00C44113" w:rsidRPr="00956871">
        <w:rPr>
          <w:rFonts w:ascii="Times New Roman" w:eastAsia="Times New Roman" w:hAnsi="Times New Roman" w:cs="Times New Roman"/>
          <w:noProof/>
          <w:color w:val="FF0000"/>
          <w:kern w:val="0"/>
          <w:sz w:val="20"/>
          <w:szCs w:val="20"/>
          <w:lang w:val="en-GB" w:eastAsia="de-DE" w:bidi="ar-SA"/>
        </w:rPr>
        <w:t>(Button et al., 2022)</w:t>
      </w:r>
      <w:r w:rsidR="00C44113" w:rsidRPr="00956871">
        <w:rPr>
          <w:rFonts w:ascii="Times New Roman" w:eastAsia="Times New Roman" w:hAnsi="Times New Roman" w:cs="Times New Roman"/>
          <w:color w:val="FF0000"/>
          <w:kern w:val="0"/>
          <w:sz w:val="20"/>
          <w:szCs w:val="20"/>
          <w:lang w:val="en-GB" w:eastAsia="de-DE" w:bidi="ar-SA"/>
        </w:rPr>
        <w:fldChar w:fldCharType="end"/>
      </w:r>
      <w:r w:rsidR="00CE08EA" w:rsidRPr="00956871">
        <w:rPr>
          <w:rFonts w:ascii="Times New Roman" w:eastAsia="Times New Roman" w:hAnsi="Times New Roman" w:cs="Times New Roman"/>
          <w:color w:val="FF0000"/>
          <w:kern w:val="0"/>
          <w:sz w:val="20"/>
          <w:szCs w:val="20"/>
          <w:lang w:val="en-GB" w:eastAsia="de-DE" w:bidi="ar-SA"/>
        </w:rPr>
        <w:t>.</w:t>
      </w:r>
    </w:p>
    <w:p w14:paraId="773AB1D8" w14:textId="0B0E13D1" w:rsidR="00CC1B22" w:rsidRPr="00B80201" w:rsidRDefault="0038399A" w:rsidP="00A95323">
      <w:pPr>
        <w:suppressAutoHyphens w:val="0"/>
        <w:spacing w:line="360" w:lineRule="auto"/>
        <w:ind w:firstLine="708"/>
        <w:jc w:val="both"/>
        <w:rPr>
          <w:rFonts w:ascii="Times New Roman" w:hAnsi="Times New Roman" w:cs="Times New Roman"/>
          <w:color w:val="FF0000"/>
          <w:sz w:val="20"/>
          <w:szCs w:val="20"/>
          <w:lang w:val="en-GB"/>
        </w:rPr>
      </w:pPr>
      <w:r w:rsidRPr="00B80201">
        <w:rPr>
          <w:rFonts w:ascii="Times New Roman" w:hAnsi="Times New Roman" w:cs="Times New Roman"/>
          <w:color w:val="FF0000"/>
          <w:sz w:val="20"/>
          <w:szCs w:val="20"/>
          <w:lang w:val="en-GB"/>
        </w:rPr>
        <w:t>The comparison of root biomasses with those reported in the literature presents several challenges, primarily due to the wide variation in sampling methods, calculation procedures, and adjustment criteria used</w:t>
      </w:r>
      <w:r w:rsidR="00C44113" w:rsidRPr="00B80201">
        <w:rPr>
          <w:rFonts w:ascii="Times New Roman" w:hAnsi="Times New Roman" w:cs="Times New Roman"/>
          <w:color w:val="FF0000"/>
          <w:sz w:val="20"/>
          <w:szCs w:val="20"/>
          <w:lang w:val="en-GB"/>
        </w:rPr>
        <w:t xml:space="preserve"> </w:t>
      </w:r>
      <w:r w:rsidR="00C44113" w:rsidRPr="00B80201">
        <w:rPr>
          <w:rFonts w:ascii="Times New Roman" w:hAnsi="Times New Roman" w:cs="Times New Roman"/>
          <w:color w:val="FF0000"/>
          <w:sz w:val="20"/>
          <w:szCs w:val="20"/>
          <w:lang w:val="en-GB"/>
        </w:rPr>
        <w:fldChar w:fldCharType="begin" w:fldLock="1"/>
      </w:r>
      <w:r w:rsidR="00C44113" w:rsidRPr="00B80201">
        <w:rPr>
          <w:rFonts w:ascii="Times New Roman" w:hAnsi="Times New Roman" w:cs="Times New Roman"/>
          <w:color w:val="FF0000"/>
          <w:sz w:val="20"/>
          <w:szCs w:val="20"/>
          <w:lang w:val="en-GB"/>
        </w:rPr>
        <w:instrText>ADDIN CSL_CITATION {"citationItems":[{"id":"ITEM-1","itemData":{"DOI":"10.1007/s10021-009-9295-8","ISBN":"1002100992","ISSN":"14329840","abstract":"Estimating root production has been difficult due to multiple potential biases associated with both old and new methods. This shortgrass steppe site is the only place we are aware of that can compare most methods including sequential coring, ingrowth cores, and ingrowth donuts, 14C pulse-isotope dilution, 14C pulse-isotope turnover, rhizotron windows, and minirhizotron, and indirect methods including nitrogen budget, carbon flux, simulation carbon flow model, and regression model. We used the studies at this site, other comparisons, a summary of potential directional biases, and different ways of calculating estimates in a logical, comparative approach of evaluating methods. Much of the literature for root production is based on sequential biomass coring, a method resulting in erroneous estimates. Root ingrowth estimates of production are generally conservative compared to minirhizotron and isotope turnover methods. The size of the ingrowth area may be the most important determinant of the underestimation. Estimates based on pulse-isotope dilution are also erroneous due to non-uniform labeling of tissues. Uniform labeling is not an assumption of the pulse-isotope turnover method, and this method has the least severe potential biases. Root production estimates from pulse-isotope turnover were lower than those using minirhizotron when the most common method of calculation was used. This agrees with literature concerning bomb 14C continuous-isotope labeling comparisons with minirhizotron, although some potential biases between isotope methods are different. However, good agreement between pulse-isotope turnover and minirhizotron were obtained when minirhizotron estimates were calculated from regression of decomposition versus production to equilibrium and when pulse-isotope turnover estimates were calculated from two-phase life-span regressions. This minirhizotron method bypasses biases associated with the artificial surface similar to root-cohort methods that may be practical only in mesic systems, and takes into account both short- and long-lived roots and corrects for soil-isotope contamination that the continuous-isotope labeling bomb 14C method is not able to account for. Comparisons of these direct methods are also made with four indirect methods. © 2009 Springer Science+Business Media, LLC.","author":[{"dropping-particle":"","family":"Milchunas","given":"Daniel G.","non-dropping-particle":"","parse-names":false,"suffix":""}],"container-title":"Ecosystems","id":"ITEM-1","issue":"8","issued":{"date-parts":[["2009"]]},"page":"1381-1402","title":"Estimating root production: Comparison of 11 methods in shortgrass steppe and review of biases","type":"article-journal","volume":"12"},"uris":["http://www.mendeley.com/documents/?uuid=5f17510d-544c-4d78-b76d-b3aaadc84560"]}],"mendeley":{"formattedCitation":"(Milchunas, 2009)","plainTextFormattedCitation":"(Milchunas, 2009)","previouslyFormattedCitation":"(Milchunas, 2009)"},"properties":{"noteIndex":0},"schema":"https://github.com/citation-style-language/schema/raw/master/csl-citation.json"}</w:instrText>
      </w:r>
      <w:r w:rsidR="00C44113" w:rsidRPr="00B80201">
        <w:rPr>
          <w:rFonts w:ascii="Times New Roman" w:hAnsi="Times New Roman" w:cs="Times New Roman"/>
          <w:color w:val="FF0000"/>
          <w:sz w:val="20"/>
          <w:szCs w:val="20"/>
          <w:lang w:val="en-GB"/>
        </w:rPr>
        <w:fldChar w:fldCharType="separate"/>
      </w:r>
      <w:r w:rsidR="00C44113" w:rsidRPr="00B80201">
        <w:rPr>
          <w:rFonts w:ascii="Times New Roman" w:hAnsi="Times New Roman" w:cs="Times New Roman"/>
          <w:noProof/>
          <w:color w:val="FF0000"/>
          <w:sz w:val="20"/>
          <w:szCs w:val="20"/>
          <w:lang w:val="en-GB"/>
        </w:rPr>
        <w:t>(Milchunas, 2009)</w:t>
      </w:r>
      <w:r w:rsidR="00C44113" w:rsidRPr="00B80201">
        <w:rPr>
          <w:rFonts w:ascii="Times New Roman" w:hAnsi="Times New Roman" w:cs="Times New Roman"/>
          <w:color w:val="FF0000"/>
          <w:sz w:val="20"/>
          <w:szCs w:val="20"/>
          <w:lang w:val="en-GB"/>
        </w:rPr>
        <w:fldChar w:fldCharType="end"/>
      </w:r>
      <w:r w:rsidRPr="00B80201">
        <w:rPr>
          <w:rFonts w:ascii="Times New Roman" w:hAnsi="Times New Roman" w:cs="Times New Roman"/>
          <w:color w:val="FF0000"/>
          <w:sz w:val="20"/>
          <w:szCs w:val="20"/>
          <w:lang w:val="en-GB"/>
        </w:rPr>
        <w:t xml:space="preserve">. Among these factors, the sampling date stands out as particularly critical. Our results show pronounced variation in root biomass formation and degradation rates throughout the crop cycle, especially between BBCH stages 31 and 92, with a sharp decline following harvest (Figure S3). </w:t>
      </w:r>
      <w:r w:rsidR="007F5DA0" w:rsidRPr="00B80201">
        <w:rPr>
          <w:rFonts w:ascii="Times New Roman" w:hAnsi="Times New Roman" w:cs="Times New Roman"/>
          <w:color w:val="FF0000"/>
          <w:sz w:val="20"/>
          <w:szCs w:val="20"/>
          <w:lang w:val="en-GB"/>
        </w:rPr>
        <w:fldChar w:fldCharType="begin" w:fldLock="1"/>
      </w:r>
      <w:r w:rsidR="006816E0" w:rsidRPr="00B80201">
        <w:rPr>
          <w:rFonts w:ascii="Times New Roman" w:hAnsi="Times New Roman" w:cs="Times New Roman"/>
          <w:color w:val="FF0000"/>
          <w:sz w:val="20"/>
          <w:szCs w:val="20"/>
          <w:lang w:val="en-GB"/>
        </w:rPr>
        <w:instrText>ADDIN CSL_CITATION {"citationItems":[{"id":"ITEM-1","itemData":{"DOI":"10.1111/ejss.70077","ISSN":"13652389","abstract":"Ensuring food security through sustainable practices while reducing greenhouse gas emissions are key challenges in modern agriculture. Utilising genetic variability within a crop species to identify varieties with higher root biomass carbon (C) could help address these challenges. It is thus crucial to quantify and understand intra-specific above- and belowground performance under varying environmental conditions. The study objectives were to: (a) quantify root biomass and depth distribution in different winter wheat varieties under various pedoclimatic conditions, (b) investigate the influence of variety and pedoclimatic conditions on the relationship between above- and belowground biomass production, and (c) assess whether optimised winter wheat variety selection can lead to both greater root biomass C and yield, boosting C accrual. Root biomass, root distribution to 1 m soil depth and root-to-shoot ratios were assessed in 10 different winter wheat varieties grown at 11 experimental sites covering a European climatic gradient from Spain to Norway. Median root biomass down to 1 m depth was 1.4 ± 0.7 Mg ha−1. The primary explanatory factor was site, accounting for 60% of the variation in root biomass production, while the genetic diversity between wheat varieties explained 9.5%. Precipitation had a significantly negative effect on total root biomass, especially in subsoil. Significant differences were also observed between varieties in root-to-shoot ratios and grain yield. The difference between the variety with the lowest root biomass and the one with the highest across sites was on average 0.9 Mg ha−1 which is an increase of 45%. Pedoclimatic conditions had a greater influence than variety, and determined the relationship's direction between root biomass and grain yield. A site-specific approach is, therefore, needed to realise the full potential for increased root biomass and yield offered by optimised variety selection.","author":[{"dropping-particle":"","family":"Heinemann","given":"H.","non-dropping-particle":"","parse-names":false,"suffix":""},{"dropping-particle":"","family":"Durand-Maniclas","given":"F.","non-dropping-particle":"","parse-names":false,"suffix":""},{"dropping-particle":"","family":"Seidel","given":"F.","non-dropping-particle":"","parse-names":false,"suffix":""},{"dropping-particle":"","family":"Ciulla","given":"F.","non-dropping-particle":"","parse-names":false,"suffix":""},{"dropping-particle":"","family":"Bárcena","given":"T. G.","non-dropping-particle":"","parse-names":false,"suffix":""},{"dropping-particle":"","family":"Camenzind","given":"M.","non-dropping-particle":"","parse-names":false,"suffix":""},{"dropping-particle":"","family":"Corrado","given":"S.","non-dropping-particle":"","parse-names":false,"suffix":""},{"dropping-particle":"","family":"Csűrös","given":"Z.","non-dropping-particle":"","parse-names":false,"suffix":""},{"dropping-particle":"","family":"Czakó","given":"Zs","non-dropping-particle":"","parse-names":false,"suffix":""},{"dropping-particle":"","family":"Eylenbosch","given":"D.","non-dropping-particle":"","parse-names":false,"suffix":""},{"dropping-particle":"","family":"Ficke","given":"A.","non-dropping-particle":"","parse-names":false,"suffix":""},{"dropping-particle":"","family":"Flamm","given":"C.","non-dropping-particle":"","parse-names":false,"suffix":""},{"dropping-particle":"","family":"Herrera","given":"J. M.","non-dropping-particle":"","parse-names":false,"suffix":""},{"dropping-particle":"","family":"Horáková","given":"V.","non-dropping-particle":"","parse-names":false,"suffix":""},{"dropping-particle":"","family":"Hund","given":"A.","non-dropping-particle":"","parse-names":false,"suffix":""},{"dropping-particle":"","family":"Lüddeke","given":"F.","non-dropping-particle":"","parse-names":false,"suffix":""},{"dropping-particle":"","family":"Platz","given":"F.","non-dropping-particle":"","parse-names":false,"suffix":""},{"dropping-particle":"","family":"Poós","given":"B.","non-dropping-particle":"","parse-names":false,"suffix":""},{"dropping-particle":"","family":"Rasse","given":"D.","non-dropping-particle":"","parse-names":false,"suffix":""},{"dropping-particle":"","family":"Silva-Lopes","given":"M.","non-dropping-particle":"da","parse-names":false,"suffix":""},{"dropping-particle":"","family":"Toleikiene","given":"M.","non-dropping-particle":"","parse-names":false,"suffix":""},{"dropping-particle":"","family":"Veršulienė","given":"A.","non-dropping-particle":"","parse-names":false,"suffix":""},{"dropping-particle":"","family":"Visse-Mansiaux","given":"M.","non-dropping-particle":"","parse-names":false,"suffix":""},{"dropping-particle":"","family":"Yu","given":"K.","non-dropping-particle":"","parse-names":false,"suffix":""},{"dropping-particle":"","family":"Hirte","given":"J.","non-dropping-particle":"","parse-names":false,"suffix":""},{"dropping-particle":"","family":"Don","given":"A.","non-dropping-particle":"","parse-names":false,"suffix":""}],"container-title":"European Journal of Soil Science","id":"ITEM-1","issue":"2","issued":{"date-parts":[["2025"]]},"title":"Optimising Root and Grain Yield Through Variety Selection in Winter Wheat Across a European Climate Gradient","type":"article-journal","volume":"76"},"uris":["http://www.mendeley.com/documents/?uuid=915c24e8-758e-4207-a720-082a41bd0683"]}],"mendeley":{"formattedCitation":"(Heinemann et al., 2025)","manualFormatting":"Heinemann et al., (2025)","plainTextFormattedCitation":"(Heinemann et al., 2025)","previouslyFormattedCitation":"(Heinemann et al., 2025)"},"properties":{"noteIndex":0},"schema":"https://github.com/citation-style-language/schema/raw/master/csl-citation.json"}</w:instrText>
      </w:r>
      <w:r w:rsidR="007F5DA0" w:rsidRPr="00B80201">
        <w:rPr>
          <w:rFonts w:ascii="Times New Roman" w:hAnsi="Times New Roman" w:cs="Times New Roman"/>
          <w:color w:val="FF0000"/>
          <w:sz w:val="20"/>
          <w:szCs w:val="20"/>
          <w:lang w:val="en-GB"/>
        </w:rPr>
        <w:fldChar w:fldCharType="separate"/>
      </w:r>
      <w:r w:rsidR="007F5DA0" w:rsidRPr="00B80201">
        <w:rPr>
          <w:rFonts w:ascii="Times New Roman" w:hAnsi="Times New Roman" w:cs="Times New Roman"/>
          <w:noProof/>
          <w:color w:val="FF0000"/>
          <w:sz w:val="20"/>
          <w:szCs w:val="20"/>
          <w:lang w:val="en-GB"/>
        </w:rPr>
        <w:t>Heinemann et al., (2025)</w:t>
      </w:r>
      <w:r w:rsidR="007F5DA0" w:rsidRPr="00B80201">
        <w:rPr>
          <w:rFonts w:ascii="Times New Roman" w:hAnsi="Times New Roman" w:cs="Times New Roman"/>
          <w:color w:val="FF0000"/>
          <w:sz w:val="20"/>
          <w:szCs w:val="20"/>
          <w:lang w:val="en-GB"/>
        </w:rPr>
        <w:fldChar w:fldCharType="end"/>
      </w:r>
      <w:r w:rsidRPr="00B80201">
        <w:rPr>
          <w:rFonts w:ascii="Times New Roman" w:hAnsi="Times New Roman" w:cs="Times New Roman"/>
          <w:color w:val="FF0000"/>
          <w:sz w:val="20"/>
          <w:szCs w:val="20"/>
          <w:lang w:val="en-GB"/>
        </w:rPr>
        <w:t>, using soil core sampling one week after harvest, reported values ranging from 86 to 267 g m⁻² — comparable to those obtained i</w:t>
      </w:r>
      <w:r w:rsidR="002A0F15" w:rsidRPr="00B80201">
        <w:rPr>
          <w:rFonts w:ascii="Times New Roman" w:hAnsi="Times New Roman" w:cs="Times New Roman"/>
          <w:color w:val="FF0000"/>
          <w:sz w:val="20"/>
          <w:szCs w:val="20"/>
          <w:lang w:val="en-GB"/>
        </w:rPr>
        <w:t>n our study for the same period.</w:t>
      </w:r>
      <w:r w:rsidR="002A0F15" w:rsidRPr="00B80201">
        <w:rPr>
          <w:color w:val="FF0000"/>
          <w:sz w:val="20"/>
          <w:szCs w:val="20"/>
          <w:lang w:val="en-GB"/>
        </w:rPr>
        <w:t xml:space="preserve"> It is important to acknowledge that, despite efforts to minimize it, </w:t>
      </w:r>
      <w:proofErr w:type="spellStart"/>
      <w:r w:rsidR="002A0F15" w:rsidRPr="00B80201">
        <w:rPr>
          <w:color w:val="FF0000"/>
          <w:sz w:val="20"/>
          <w:szCs w:val="20"/>
          <w:lang w:val="en-GB"/>
        </w:rPr>
        <w:t>minirhizotron</w:t>
      </w:r>
      <w:proofErr w:type="spellEnd"/>
      <w:r w:rsidR="002A0F15" w:rsidRPr="00B80201">
        <w:rPr>
          <w:color w:val="FF0000"/>
          <w:sz w:val="20"/>
          <w:szCs w:val="20"/>
          <w:lang w:val="en-GB"/>
        </w:rPr>
        <w:t>-based measurements inherently carry a degree of error that may lead to the underestimation of root biomass. To improve measurement accuracy, we excluded the top 20 cm of soil, where non-root materials such as crop residues and straw can interfere with image analysis. While this approach reduced potential noise in the data, it also resulted in the exclusion of shallow roots, thereby contributing to a likely underestimation of total root biomass</w:t>
      </w:r>
      <w:r w:rsidRPr="00B80201">
        <w:rPr>
          <w:rFonts w:ascii="Times New Roman" w:hAnsi="Times New Roman" w:cs="Times New Roman"/>
          <w:color w:val="FF0000"/>
          <w:sz w:val="20"/>
          <w:szCs w:val="20"/>
          <w:lang w:val="en-GB"/>
        </w:rPr>
        <w:t xml:space="preserve">. </w:t>
      </w:r>
      <w:r w:rsidR="006816E0" w:rsidRPr="00B80201">
        <w:rPr>
          <w:rFonts w:ascii="Times New Roman" w:hAnsi="Times New Roman" w:cs="Times New Roman"/>
          <w:color w:val="FF0000"/>
          <w:sz w:val="20"/>
          <w:szCs w:val="20"/>
          <w:lang w:val="en-GB"/>
        </w:rPr>
        <w:fldChar w:fldCharType="begin" w:fldLock="1"/>
      </w:r>
      <w:r w:rsidR="005B1D7B" w:rsidRPr="00B80201">
        <w:rPr>
          <w:rFonts w:ascii="Times New Roman" w:hAnsi="Times New Roman" w:cs="Times New Roman"/>
          <w:color w:val="FF0000"/>
          <w:sz w:val="20"/>
          <w:szCs w:val="20"/>
          <w:lang w:val="en-GB"/>
        </w:rPr>
        <w:instrText>ADDIN CSL_CITATION {"citationItems":[{"id":"ITEM-1","itemData":{"DOI":"10.1016/j.agee.2018.07.010","ISSN":"01678809","abstract":"Below ground carbon (BGC) inputs to soil, i.e. root biomass and rhizodeposition carbon (C), are among the most important variables driving soil C dynamics in agroecosystems. Hence, increasing BGC inputs to deep soil is a proposed strategy to sequester C in the long term. As BGC inputs are inherently difficult to measure in the field, they are usually estimated from yield in order to supply soil C models with input data. While fertilization intensity considerably affects above ground biomass, its influence on BGC inputs is largely unclear, especially with respect to the subsoil. Therefore, we determined net root biomass and rhizodeposition C of field-grown maize and wheat at harvest in different farming systems (bio-organic, conventional) and fertilization treatments (zero, manure, mineral) along an intensity gradient in two Swiss long-term field trials. Plants in microplots were repeatedly pulse-labelled with 13C-CO2 throughout the growing seasons and shoots, roots, and soil to 0.75 m depth were sampled at harvest. Despite a strong increase of above ground biomass with increasing fertilization intensity, BGC inputs were similar among treatments on both sites irrespective of soil depth. However, the proportions of rhizodeposition C of BGC inputs averaged 54 to 63% and were, therefore, much larger than the widely adopted 40% for field-grown cereals. They increased with soil depth and were highest under sole organic fertilization. The shift in whole-plant C allocation towards above ground biomass with increasing fertilization intensity entailed 10% higher C allocation below ground in organic than conventional farming for both maize and wheat. Our findings imply that yield-independent values provide closer estimates for BGC inputs to soil of cereals in different farming systems than yield-based functions. We further conclude that fertilization has only little potential to alter absolute amounts of BGC inputs to deep soil in order to sequester C in the long term.","author":[{"dropping-particle":"","family":"Hirte","given":"Juliane","non-dropping-particle":"","parse-names":false,"suffix":""},{"dropping-particle":"","family":"Leifeld","given":"Jens","non-dropping-particle":"","parse-names":false,"suffix":""},{"dropping-particle":"","family":"Abiven","given":"Samuel","non-dropping-particle":"","parse-names":false,"suffix":""},{"dropping-particle":"","family":"Oberholzer","given":"Hans Rudolf","non-dropping-particle":"","parse-names":false,"suffix":""},{"dropping-particle":"","family":"Mayer","given":"Jochen","non-dropping-particle":"","parse-names":false,"suffix":""}],"container-title":"Agriculture, Ecosystems and Environment","id":"ITEM-1","issue":"June","issued":{"date-parts":[["2018"]]},"page":"556-566","publisher":"Elsevier","title":"Below ground carbon inputs to soil via root biomass and rhizodeposition of field-grown maize and wheat at harvest are independent of net primary productivity","type":"article-journal","volume":"265"},"uris":["http://www.mendeley.com/documents/?uuid=4b664527-7be4-44dc-b4c3-610abeb05340"]}],"mendeley":{"formattedCitation":"(Hirte et al., 2018)","manualFormatting":"Hirte et al. (2018)","plainTextFormattedCitation":"(Hirte et al., 2018)","previouslyFormattedCitation":"(Hirte et al., 2018)"},"properties":{"noteIndex":0},"schema":"https://github.com/citation-style-language/schema/raw/master/csl-citation.json"}</w:instrText>
      </w:r>
      <w:r w:rsidR="006816E0" w:rsidRPr="00B80201">
        <w:rPr>
          <w:rFonts w:ascii="Times New Roman" w:hAnsi="Times New Roman" w:cs="Times New Roman"/>
          <w:color w:val="FF0000"/>
          <w:sz w:val="20"/>
          <w:szCs w:val="20"/>
          <w:lang w:val="en-GB"/>
        </w:rPr>
        <w:fldChar w:fldCharType="separate"/>
      </w:r>
      <w:r w:rsidR="006816E0" w:rsidRPr="00B80201">
        <w:rPr>
          <w:rFonts w:ascii="Times New Roman" w:hAnsi="Times New Roman" w:cs="Times New Roman"/>
          <w:noProof/>
          <w:color w:val="FF0000"/>
          <w:sz w:val="20"/>
          <w:szCs w:val="20"/>
          <w:lang w:val="en-GB"/>
        </w:rPr>
        <w:t>Hirte et al. (2018)</w:t>
      </w:r>
      <w:r w:rsidR="006816E0" w:rsidRPr="00B80201">
        <w:rPr>
          <w:rFonts w:ascii="Times New Roman" w:hAnsi="Times New Roman" w:cs="Times New Roman"/>
          <w:color w:val="FF0000"/>
          <w:sz w:val="20"/>
          <w:szCs w:val="20"/>
          <w:lang w:val="en-GB"/>
        </w:rPr>
        <w:fldChar w:fldCharType="end"/>
      </w:r>
      <w:r w:rsidRPr="00B80201">
        <w:rPr>
          <w:rFonts w:ascii="Times New Roman" w:hAnsi="Times New Roman" w:cs="Times New Roman"/>
          <w:color w:val="FF0000"/>
          <w:sz w:val="20"/>
          <w:szCs w:val="20"/>
          <w:lang w:val="en-GB"/>
        </w:rPr>
        <w:t>, also using soil cores, reported values between 87 and 274 g m⁻² for the BBCH 37 to 69 stage range, whereas our values for the same period ranged from 48 to 491 g m⁻². Another important aspect is the sampling depth: while the comparative studies reached a maximum of 1 meter, our data reveal substantial root biomass between 1.0 and 1.6 meters deep (Figure 3).</w:t>
      </w:r>
      <w:r w:rsidRPr="00B80201">
        <w:rPr>
          <w:color w:val="FF0000"/>
        </w:rPr>
        <w:t xml:space="preserve"> </w:t>
      </w:r>
      <w:r w:rsidRPr="00B80201">
        <w:rPr>
          <w:rFonts w:ascii="Times New Roman" w:hAnsi="Times New Roman" w:cs="Times New Roman"/>
          <w:color w:val="FF0000"/>
          <w:sz w:val="20"/>
          <w:szCs w:val="20"/>
          <w:lang w:val="en-GB"/>
        </w:rPr>
        <w:t xml:space="preserve">In a study conducted in the same experimental area, </w:t>
      </w:r>
      <w:proofErr w:type="spellStart"/>
      <w:r w:rsidRPr="00B80201">
        <w:rPr>
          <w:rFonts w:ascii="Times New Roman" w:hAnsi="Times New Roman" w:cs="Times New Roman"/>
          <w:color w:val="FF0000"/>
          <w:sz w:val="20"/>
          <w:szCs w:val="20"/>
          <w:lang w:val="en-GB"/>
        </w:rPr>
        <w:t>Herbrich</w:t>
      </w:r>
      <w:proofErr w:type="spellEnd"/>
      <w:r w:rsidRPr="00B80201">
        <w:rPr>
          <w:rFonts w:ascii="Times New Roman" w:hAnsi="Times New Roman" w:cs="Times New Roman"/>
          <w:color w:val="FF0000"/>
          <w:sz w:val="20"/>
          <w:szCs w:val="20"/>
          <w:lang w:val="en-GB"/>
        </w:rPr>
        <w:t xml:space="preserve"> et al. (2018), using the same sampling method, reported root biomass values at BBCH 71 of 76 ± 9 g m⁻² in the most eroded soil and 246 ± 18 g m⁻² in the depositional soil. These values align well with our findings at BBCH 69, which ranged from 99 ± 12 g m⁻² in eroded soils to 215 ± 26 g m⁻² in depositional areas.</w:t>
      </w:r>
    </w:p>
    <w:p w14:paraId="11D04A1F" w14:textId="0DDF3C5D" w:rsidR="00D044BB" w:rsidRPr="00DF0492" w:rsidRDefault="00FD72EA" w:rsidP="00DF0492">
      <w:pPr>
        <w:pStyle w:val="StandardWeb"/>
        <w:spacing w:beforeAutospacing="0" w:afterAutospacing="0" w:line="360" w:lineRule="auto"/>
        <w:ind w:firstLine="708"/>
        <w:jc w:val="both"/>
        <w:rPr>
          <w:sz w:val="20"/>
          <w:szCs w:val="20"/>
          <w:lang w:val="en-GB"/>
        </w:rPr>
      </w:pPr>
      <w:r w:rsidRPr="00DF0492">
        <w:rPr>
          <w:sz w:val="20"/>
          <w:szCs w:val="20"/>
          <w:lang w:val="en-GB"/>
        </w:rPr>
        <w:t>Shoot biomass was similar across the wheat cultivars and was only significantly reduced in the most eroded soil (</w:t>
      </w:r>
      <w:r w:rsidR="00465BF6">
        <w:rPr>
          <w:sz w:val="20"/>
          <w:szCs w:val="20"/>
          <w:lang w:val="en-GB"/>
        </w:rPr>
        <w:t>Figure S</w:t>
      </w:r>
      <w:r w:rsidR="00053873">
        <w:rPr>
          <w:sz w:val="20"/>
          <w:szCs w:val="20"/>
          <w:lang w:val="en-GB"/>
        </w:rPr>
        <w:t>5</w:t>
      </w:r>
      <w:r w:rsidRPr="00DF0492">
        <w:rPr>
          <w:sz w:val="20"/>
          <w:szCs w:val="20"/>
          <w:lang w:val="en-GB"/>
        </w:rPr>
        <w:t xml:space="preserve">). </w:t>
      </w:r>
      <w:r w:rsidRPr="00DF0492">
        <w:rPr>
          <w:bCs/>
          <w:sz w:val="20"/>
          <w:szCs w:val="20"/>
          <w:lang w:val="en-GB"/>
        </w:rPr>
        <w:t>This finding is consistent with previous studies,</w:t>
      </w:r>
      <w:r w:rsidRPr="00DF0492">
        <w:rPr>
          <w:sz w:val="20"/>
          <w:szCs w:val="20"/>
          <w:lang w:val="en-GB"/>
        </w:rPr>
        <w:t xml:space="preserve"> where tillage erosion plays a key role in driving spatial variability in biomass production, especially in relatively dry arable hummocky landscapes</w:t>
      </w:r>
      <w:r w:rsidR="00C12C2C">
        <w:rPr>
          <w:sz w:val="20"/>
          <w:szCs w:val="20"/>
          <w:lang w:val="en-GB"/>
        </w:rPr>
        <w:t xml:space="preserve"> </w:t>
      </w:r>
      <w:r w:rsidR="00FC52AA" w:rsidRPr="00DF0492">
        <w:rPr>
          <w:sz w:val="20"/>
          <w:szCs w:val="20"/>
          <w:lang w:val="en-GB"/>
        </w:rPr>
        <w:fldChar w:fldCharType="begin" w:fldLock="1"/>
      </w:r>
      <w:r w:rsidR="00DF5C8B" w:rsidRPr="00DF0492">
        <w:rPr>
          <w:sz w:val="20"/>
          <w:szCs w:val="20"/>
          <w:lang w:val="en-GB"/>
        </w:rPr>
        <w:instrText>ADDIN CSL_CITATION {"citationItems":[{"id":"ITEM-1","itemData":{"DOI":"10.1002/ldr.3968","ISSN":"1099145X","abstract":"Tillage erosion causes substantial soil redistribution that can exceed water erosion especially in hummocky landscapes under highly mechanized large field agriculture. Consequently, truncated soil profiles can be found on hill shoulders and top slopes, whereas colluvial material is accumulated at footslopes, in depressions, and along downslope field borders. We tested the hypothesis that soil erosion substantially affects in-field patterns of the enhanced vegetation index (EVI) of different crop types on landscape scale. The interrelation between the EVI (RAPIDEYE satellite data; 5 m spatial resolution) as a proxy for crop biomass and modeled total soil erosion (tillage and water erosion modeled using SPEROS-C) was analyzed for the Quillow catchment (size: 196 km2) in Northeast Germany in a wet versus normal year for four crop types (winter wheat, maize, winter rapeseed, winter barley). Our findings clearly indicate that eroded areas had the lowest EVI values, while the highest EVI values were found in depositional areas. The differences in the EVI between erosional and depositional sites are more pronounced in the analyzed normal year. The net effect of total erosion on the EVI compared to areas without pronounced erosion or deposition ranged from −10.2% for maize in the normal year to +3.7% for winter barley in the wet year. Tillage erosion has been identified as an important driver of soil degradation affecting in-field crop biomass patterns in a hummocky ground moraine landscape. While soil erosion estimates are to be made, more attention should be given toward tillage erosion.","author":[{"dropping-particle":"","family":"Öttl","given":"Lena Katharina","non-dropping-particle":"","parse-names":false,"suffix":""},{"dropping-particle":"","family":"Wilken","given":"Florian","non-dropping-particle":"","parse-names":false,"suffix":""},{"dropping-particle":"","family":"Auerswald","given":"Karl","non-dropping-particle":"","parse-names":false,"suffix":""},{"dropping-particle":"","family":"Sommer","given":"Michael","non-dropping-particle":"","parse-names":false,"suffix":""},{"dropping-particle":"","family":"Wehrhan","given":"Marc","non-dropping-particle":"","parse-names":false,"suffix":""},{"dropping-particle":"","family":"Fiener","given":"Peter","non-dropping-particle":"","parse-names":false,"suffix":""}],"container-title":"Land Degradation and Development","id":"ITEM-1","issue":"10","issued":{"date-parts":[["2021"]]},"page":"3077-3091","title":"Tillage erosion as an important driver of in-field biomass patterns in an intensively used hummocky landscape","type":"article-journal","volume":"32"},"uris":["http://www.mendeley.com/documents/?uuid=57e124d9-e594-4064-803d-95bff20c472b"]}],"mendeley":{"formattedCitation":"(Öttl et al., 2021)","plainTextFormattedCitation":"(Öttl et al., 2021)","previouslyFormattedCitation":"(Öttl et al., 2021)"},"properties":{"noteIndex":0},"schema":"https://github.com/citation-style-language/schema/raw/master/csl-citation.json"}</w:instrText>
      </w:r>
      <w:r w:rsidR="00FC52AA" w:rsidRPr="00DF0492">
        <w:rPr>
          <w:sz w:val="20"/>
          <w:szCs w:val="20"/>
          <w:lang w:val="en-GB"/>
        </w:rPr>
        <w:fldChar w:fldCharType="separate"/>
      </w:r>
      <w:r w:rsidR="00DF5C8B" w:rsidRPr="00DF0492">
        <w:rPr>
          <w:noProof/>
          <w:sz w:val="20"/>
          <w:szCs w:val="20"/>
          <w:lang w:val="en-GB"/>
        </w:rPr>
        <w:t>(Öttl et al., 2021)</w:t>
      </w:r>
      <w:r w:rsidR="00FC52AA" w:rsidRPr="00DF0492">
        <w:rPr>
          <w:sz w:val="20"/>
          <w:szCs w:val="20"/>
          <w:lang w:val="en-GB"/>
        </w:rPr>
        <w:fldChar w:fldCharType="end"/>
      </w:r>
      <w:r w:rsidRPr="00DF0492">
        <w:rPr>
          <w:sz w:val="20"/>
          <w:szCs w:val="20"/>
          <w:lang w:val="en-GB"/>
        </w:rPr>
        <w:t>. This is evident from the lowest Leaf Area Index values (used as a proxy for above-ground biomass), which are often found on hilltops, where tillage erosion is most severe</w:t>
      </w:r>
      <w:r w:rsidR="00C12C2C">
        <w:rPr>
          <w:sz w:val="20"/>
          <w:szCs w:val="20"/>
          <w:lang w:val="en-GB"/>
        </w:rPr>
        <w:t xml:space="preserve"> </w:t>
      </w:r>
      <w:r w:rsidR="00295567" w:rsidRPr="00B80201">
        <w:rPr>
          <w:color w:val="FF0000"/>
          <w:sz w:val="20"/>
          <w:szCs w:val="20"/>
          <w:lang w:val="en-GB"/>
        </w:rPr>
        <w:fldChar w:fldCharType="begin" w:fldLock="1"/>
      </w:r>
      <w:r w:rsidR="00DF5C8B" w:rsidRPr="00B80201">
        <w:rPr>
          <w:color w:val="FF0000"/>
          <w:sz w:val="20"/>
          <w:szCs w:val="20"/>
          <w:lang w:val="en-GB"/>
        </w:rPr>
        <w:instrText>ADDIN CSL_CITATION {"citationItems":[{"id":"ITEM-1","itemData":{"DOI":"10.1016/S0167-1987(00)00175-6","ISSN":"01671987","abstract":"Tillage operations transport large amounts of soil from convex slopes and deposit on concavities in hilly cultivated areas. Field experiment was conducted to assess tillage induced soil displacement and its effects on soil properties and wheat (Triticum aestivum L.) biomass production. The study was done on 3.5 ha fertilized and wheat seeded hillslope (14-21% slope) located 100 km north of Athens, Greece. Numbered aluminum cylinders (700), each 10 mm diameter by 10 mm height, were buried in soil as soil movement tracers (SMTs) to estimate soil displacement as a function of moldboard plowing with two depths in up-slope and down-slope directions. Furthermore, clay, organic matter, rock fragment content, phosphorus and 137Cs were determined on 81 soil bulk cores to estimate soil redistribution rates along the study hillslope. Soil depth and soil water storage were measured in 81 soil sites and related to the wheat biomass production. The mean SMT displacement distance due to 25-cm plow depth on 21% slope was 42 cm for down-slope tillage and 16 cm for up-slope tillage. Comparable values were 31 cm for down-slope and 14 cm for up-slope tillage on 14% slope gradient. The SMT distance for both tillage directions on 21% slope was about 60% less for 18-cm plow depth compared with 25-cm plow depth. Shallow soil (depth &lt;25 cm) was observed on convex slope with greater percentages of sand, rock fragments, organic matter and lower percentages of clay and available water. In contrast, deeper soil (depth &gt;70 cm) was found on lower concavities where displaced soil was deposited. The spatial pattern or 137Cs inventories suggests that tillage erosion is a major erosion process in the study area. The maximum leaf area index of wheat was 2.8 for convex slope and 3.6 for concave slope. Wheat biomass, ranging from 0.2 to 1.2 kg m-2, increased logarithmically with increased soil depth. Moldboard plowing displaced large amounts of soil from convex slope which changed soil properties to less favorable for wheat production. Application of the obtained empirical functions showed that under the existing climatic conditions and management practices, the unprofitably productive area will increase from 4.1 to 6.8% in a period of 7 years. © 2001 Elsevier Science B.V.","author":[{"dropping-particle":"","family":"Kosmas","given":"C.","non-dropping-particle":"","parse-names":false,"suffix":""},{"dropping-particle":"","family":"Gerontidis","given":"St","non-dropping-particle":"","parse-names":false,"suffix":""},{"dropping-particle":"","family":"Marathianou","given":"M.","non-dropping-particle":"","parse-names":false,"suffix":""},{"dropping-particle":"","family":"Detsis","given":"B.","non-dropping-particle":"","parse-names":false,"suffix":""},{"dropping-particle":"","family":"Zafiriou","given":"Th","non-dropping-particle":"","parse-names":false,"suffix":""},{"dropping-particle":"","family":"Nan Muysen","given":"W.","non-dropping-particle":"","parse-names":false,"suffix":""},{"dropping-particle":"","family":"Govers","given":"G.","non-dropping-particle":"","parse-names":false,"suffix":""},{"dropping-particle":"","family":"Quine","given":"T.","non-dropping-particle":"","parse-names":false,"suffix":""},{"dropping-particle":"","family":"Vanoost","given":"K.","non-dropping-particle":"","parse-names":false,"suffix":""}],"container-title":"Soil and Tillage Research","id":"ITEM-1","issue":"1-2","issued":{"date-parts":[["2001"]]},"page":"31-44","title":"The effects of tillage displaced soil on soil properties and wheat biomass","type":"article-journal","volume":"58"},"uris":["http://www.mendeley.com/documents/?uuid=bfc1a4ad-3b5b-4b54-a1a4-bc6c911af1da"]}],"mendeley":{"formattedCitation":"(Kosmas et al., 2001)","plainTextFormattedCitation":"(Kosmas et al., 2001)","previouslyFormattedCitation":"(Kosmas et al., 2001)"},"properties":{"noteIndex":0},"schema":"https://github.com/citation-style-language/schema/raw/master/csl-citation.json"}</w:instrText>
      </w:r>
      <w:r w:rsidR="00295567" w:rsidRPr="00B80201">
        <w:rPr>
          <w:color w:val="FF0000"/>
          <w:sz w:val="20"/>
          <w:szCs w:val="20"/>
          <w:lang w:val="en-GB"/>
        </w:rPr>
        <w:fldChar w:fldCharType="separate"/>
      </w:r>
      <w:r w:rsidR="00DF5C8B" w:rsidRPr="00B80201">
        <w:rPr>
          <w:noProof/>
          <w:color w:val="FF0000"/>
          <w:sz w:val="20"/>
          <w:szCs w:val="20"/>
          <w:lang w:val="en-GB"/>
        </w:rPr>
        <w:t>(Kosmas et al., 2001)</w:t>
      </w:r>
      <w:r w:rsidR="00295567" w:rsidRPr="00B80201">
        <w:rPr>
          <w:color w:val="FF0000"/>
          <w:sz w:val="20"/>
          <w:szCs w:val="20"/>
          <w:lang w:val="en-GB"/>
        </w:rPr>
        <w:fldChar w:fldCharType="end"/>
      </w:r>
      <w:r w:rsidRPr="00B80201">
        <w:rPr>
          <w:color w:val="FF0000"/>
          <w:sz w:val="20"/>
          <w:szCs w:val="20"/>
          <w:lang w:val="en-GB"/>
        </w:rPr>
        <w:t>.</w:t>
      </w:r>
      <w:r w:rsidR="004B6E26" w:rsidRPr="00B80201">
        <w:rPr>
          <w:color w:val="FF0000"/>
          <w:sz w:val="20"/>
          <w:szCs w:val="20"/>
          <w:lang w:val="en-GB"/>
        </w:rPr>
        <w:t xml:space="preserve"> Although the study by Kosmas (2001) was conducted in a different area, the absolute values of wheat biomass observed ranging from 100 to 1000 g m⁻² are </w:t>
      </w:r>
      <w:r w:rsidR="00BC4BA8" w:rsidRPr="00B80201">
        <w:rPr>
          <w:color w:val="FF0000"/>
          <w:sz w:val="20"/>
          <w:szCs w:val="20"/>
          <w:lang w:val="en-GB"/>
        </w:rPr>
        <w:t>slightly lower than</w:t>
      </w:r>
      <w:r w:rsidR="004B6E26" w:rsidRPr="00B80201">
        <w:rPr>
          <w:color w:val="FF0000"/>
          <w:sz w:val="20"/>
          <w:szCs w:val="20"/>
          <w:lang w:val="en-GB"/>
        </w:rPr>
        <w:t xml:space="preserve"> our results (Fig</w:t>
      </w:r>
      <w:r w:rsidR="00BC4BA8" w:rsidRPr="00B80201">
        <w:rPr>
          <w:color w:val="FF0000"/>
          <w:sz w:val="20"/>
          <w:szCs w:val="20"/>
          <w:lang w:val="en-GB"/>
        </w:rPr>
        <w:t>ure</w:t>
      </w:r>
      <w:r w:rsidR="004B6E26" w:rsidRPr="00B80201">
        <w:rPr>
          <w:color w:val="FF0000"/>
          <w:sz w:val="20"/>
          <w:szCs w:val="20"/>
          <w:lang w:val="en-GB"/>
        </w:rPr>
        <w:t xml:space="preserve"> S</w:t>
      </w:r>
      <w:r w:rsidR="00BC4BA8" w:rsidRPr="00B80201">
        <w:rPr>
          <w:color w:val="FF0000"/>
          <w:sz w:val="20"/>
          <w:szCs w:val="20"/>
          <w:lang w:val="en-GB"/>
        </w:rPr>
        <w:t>5</w:t>
      </w:r>
      <w:r w:rsidR="004B6E26" w:rsidRPr="00B80201">
        <w:rPr>
          <w:color w:val="FF0000"/>
          <w:sz w:val="20"/>
          <w:szCs w:val="20"/>
          <w:lang w:val="en-GB"/>
        </w:rPr>
        <w:t>), ranging from the most eroded soil to the soil formed by surface deposition, respectively</w:t>
      </w:r>
      <w:r w:rsidR="004B6E26" w:rsidRPr="004B6E26">
        <w:rPr>
          <w:sz w:val="20"/>
          <w:szCs w:val="20"/>
          <w:lang w:val="en-GB"/>
        </w:rPr>
        <w:t>.</w:t>
      </w:r>
      <w:r w:rsidRPr="00DF0492">
        <w:rPr>
          <w:sz w:val="20"/>
          <w:szCs w:val="20"/>
          <w:lang w:val="en-GB"/>
        </w:rPr>
        <w:t xml:space="preserve"> The general pattern of lower biomass on eroded hilltops compared to depositional areas is observed across various common crops in </w:t>
      </w:r>
      <w:proofErr w:type="spellStart"/>
      <w:r w:rsidRPr="00DF0492">
        <w:rPr>
          <w:sz w:val="20"/>
          <w:szCs w:val="20"/>
          <w:lang w:val="en-GB"/>
        </w:rPr>
        <w:t>Quillow</w:t>
      </w:r>
      <w:proofErr w:type="spellEnd"/>
      <w:r w:rsidRPr="00DF0492">
        <w:rPr>
          <w:sz w:val="20"/>
          <w:szCs w:val="20"/>
          <w:lang w:val="en-GB"/>
        </w:rPr>
        <w:t xml:space="preserve"> catchment</w:t>
      </w:r>
      <w:r w:rsidR="00C12C2C">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{"citationItems":[{"id":"ITEM-1","itemData":{"DOI":"10.1002/ldr.3968","ISSN":"1099145X","abstract":"Tillage erosion causes substantial soil redistribution that can exceed water erosion especially in hummocky landscapes under highly mechanized large field agriculture. Consequently, truncated soil profiles can be found on hill shoulders and top slopes, whereas colluvial material is accumulated at footslopes, in depressions, and along downslope field borders. We tested the hypothesis that soil erosion substantially affects in-field patterns of the enhanced vegetation index (EVI) of different crop types on landscape scale. The interrelation between the EVI (RAPIDEYE satellite data; 5 m spatial resolution) as a proxy for crop biomass and modeled total soil erosion (tillage and water erosion modeled using SPEROS-C) was analyzed for the Quillow catchment (size: 196 km2) in Northeast Germany in a wet versus normal year for four crop types (winter wheat, maize, winter rapeseed, winter barley). Our findings clearly indicate that eroded areas had the lowest EVI values, while the highest EVI values were found in depositional areas. The differences in the EVI between erosional and depositional sites are more pronounced in the analyzed normal year. The net effect of total erosion on the EVI compared to areas without pronounced erosion or deposition ranged from −10.2% for maize in the normal year to +3.7% for winter barley in the wet year. Tillage erosion has been identified as an important driver of soil degradation affecting in-field crop biomass patterns in a hummocky ground moraine landscape. While soil erosion estimates are to be made, more attention should be given toward tillage erosion.","author":[{"dropping-particle":"","family":"Öttl","given":"Lena Katharina","non-dropping-particle":"","parse-names":false,"suffix":""},{"dropping-particle":"","family":"Wilken","given":"Florian","non-dropping-particle":"","parse-names":false,"suffix":""},{"dropping-particle":"","family":"Auerswald","given":"Karl","non-dropping-particle":"","parse-names":false,"suffix":""},{"dropping-particle":"","family":"Sommer","given":"Michael","non-dropping-particle":"","parse-names":false,"suffix":""},{"dropping-particle":"","family":"Wehrhan","given":"Marc","non-dropping-particle":"","parse-names":false,"suffix":""},{"dropping-particle":"","family":"Fiener","given":"Peter","non-dropping-particle":"","parse-names":false,"suffix":""}],"container-title":"Land Degradation and Development","id":"ITEM-1","issue":"10","issued":{"date-parts":[["2021"]]},"page":"3077-3091","title":"Tillage erosion as an important driver of in-field biomass patterns in an intensively used hummocky landscape","type":"article-journal","volume":"32"},"uris":["http://www.mendeley.com/documents/?uuid=57e124d9-e594-4064-803d-95bff20c472b"]}],"mendeley":{"formattedCitation":"(Öttl et al., 2021)","plainTextFormattedCitation":"(Öttl et al., 2021)","previouslyFormattedCitation":"(Öttl et al., 2021)"},"properties":{"noteIndex":0},"schema":"https://github.com/citation-style-language/schema/raw/master/csl-citation.json"}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(Öttl et al., 2021)</w:t>
      </w:r>
      <w:r w:rsidRPr="00DF0492">
        <w:rPr>
          <w:sz w:val="20"/>
          <w:szCs w:val="20"/>
          <w:lang w:val="en-GB"/>
        </w:rPr>
        <w:fldChar w:fldCharType="end"/>
      </w:r>
      <w:r w:rsidRPr="00DF0492">
        <w:rPr>
          <w:sz w:val="20"/>
          <w:szCs w:val="20"/>
          <w:lang w:val="en-GB"/>
        </w:rPr>
        <w:t>. When splitting shoot biomass into grain and straw, the spatial variability is even greater than in total shoot biomass, due to the varying responses of each wheat cultivar to erosion-related soil properties (</w:t>
      </w:r>
      <w:proofErr w:type="spellStart"/>
      <w:r w:rsidRPr="00DF0492">
        <w:rPr>
          <w:sz w:val="20"/>
          <w:szCs w:val="20"/>
          <w:lang w:val="en-GB"/>
        </w:rPr>
        <w:t>c.f</w:t>
      </w:r>
      <w:proofErr w:type="spellEnd"/>
      <w:r w:rsidR="00350EB2" w:rsidRPr="00DF0492">
        <w:rPr>
          <w:sz w:val="20"/>
          <w:szCs w:val="20"/>
          <w:lang w:val="en-GB"/>
        </w:rPr>
        <w:t xml:space="preserve"> </w:t>
      </w:r>
      <w:r w:rsidR="00465BF6">
        <w:rPr>
          <w:sz w:val="20"/>
          <w:szCs w:val="20"/>
          <w:lang w:val="en-GB"/>
        </w:rPr>
        <w:t>Fig</w:t>
      </w:r>
      <w:r w:rsidR="00BC4BA8">
        <w:rPr>
          <w:sz w:val="20"/>
          <w:szCs w:val="20"/>
          <w:lang w:val="en-GB"/>
        </w:rPr>
        <w:t>. 4</w:t>
      </w:r>
      <w:r w:rsidRPr="00DF0492">
        <w:rPr>
          <w:sz w:val="20"/>
          <w:szCs w:val="20"/>
          <w:lang w:val="en-GB"/>
        </w:rPr>
        <w:t xml:space="preserve">). Wheat cultivars show different strategies of biomass allocation and resilience to soil erosion. For instance, the two </w:t>
      </w:r>
      <w:r w:rsidR="00DC4124">
        <w:rPr>
          <w:sz w:val="20"/>
          <w:szCs w:val="20"/>
          <w:lang w:val="en-GB"/>
        </w:rPr>
        <w:t>younger</w:t>
      </w:r>
      <w:r w:rsidRPr="00DF0492">
        <w:rPr>
          <w:sz w:val="20"/>
          <w:szCs w:val="20"/>
          <w:lang w:val="en-GB"/>
        </w:rPr>
        <w:t xml:space="preserve"> cultivars maintain a consistent harvest index (HI) as both grain and straw biomass increase proportionally with decreasing erosion (</w:t>
      </w:r>
      <w:r w:rsidR="00350EB2" w:rsidRPr="00DF0492">
        <w:rPr>
          <w:sz w:val="20"/>
          <w:szCs w:val="20"/>
          <w:lang w:val="en-GB"/>
        </w:rPr>
        <w:t>Fig</w:t>
      </w:r>
      <w:r w:rsidR="00BC4BA8">
        <w:rPr>
          <w:sz w:val="20"/>
          <w:szCs w:val="20"/>
          <w:lang w:val="en-GB"/>
        </w:rPr>
        <w:t>ure</w:t>
      </w:r>
      <w:r w:rsidR="00350EB2" w:rsidRPr="00DF0492">
        <w:rPr>
          <w:sz w:val="20"/>
          <w:szCs w:val="20"/>
          <w:lang w:val="en-GB"/>
        </w:rPr>
        <w:t xml:space="preserve"> </w:t>
      </w:r>
      <w:r w:rsidR="00BC4BA8">
        <w:rPr>
          <w:sz w:val="20"/>
          <w:szCs w:val="20"/>
          <w:lang w:val="en-GB"/>
        </w:rPr>
        <w:t>S6</w:t>
      </w:r>
      <w:r w:rsidRPr="00DF0492">
        <w:rPr>
          <w:sz w:val="20"/>
          <w:szCs w:val="20"/>
          <w:lang w:val="en-GB"/>
        </w:rPr>
        <w:t>). In contrast, the oldest cultivar produces more straw than grain as erosion lessens</w:t>
      </w:r>
      <w:r w:rsidR="005E362F" w:rsidRPr="00DF0492">
        <w:rPr>
          <w:sz w:val="20"/>
          <w:szCs w:val="20"/>
          <w:lang w:val="en-GB"/>
        </w:rPr>
        <w:t xml:space="preserve"> (</w:t>
      </w:r>
      <w:r w:rsidR="00465BF6">
        <w:rPr>
          <w:sz w:val="20"/>
          <w:szCs w:val="20"/>
          <w:lang w:val="en-GB"/>
        </w:rPr>
        <w:t>Fig</w:t>
      </w:r>
      <w:r w:rsidR="00BC4BA8">
        <w:rPr>
          <w:sz w:val="20"/>
          <w:szCs w:val="20"/>
          <w:lang w:val="en-GB"/>
        </w:rPr>
        <w:t>.</w:t>
      </w:r>
      <w:r w:rsidR="00465BF6">
        <w:rPr>
          <w:sz w:val="20"/>
          <w:szCs w:val="20"/>
          <w:lang w:val="en-GB"/>
        </w:rPr>
        <w:t xml:space="preserve"> </w:t>
      </w:r>
      <w:r w:rsidR="00BC4BA8">
        <w:rPr>
          <w:sz w:val="20"/>
          <w:szCs w:val="20"/>
          <w:lang w:val="en-GB"/>
        </w:rPr>
        <w:t>4</w:t>
      </w:r>
      <w:r w:rsidR="005E362F" w:rsidRPr="00DF0492">
        <w:rPr>
          <w:sz w:val="20"/>
          <w:szCs w:val="20"/>
          <w:lang w:val="en-GB"/>
        </w:rPr>
        <w:t>)</w:t>
      </w:r>
      <w:r w:rsidR="00BC4BA8">
        <w:rPr>
          <w:sz w:val="20"/>
          <w:szCs w:val="20"/>
          <w:lang w:val="en-GB"/>
        </w:rPr>
        <w:t>, leading to a lower harvest.</w:t>
      </w:r>
    </w:p>
    <w:p w14:paraId="4EFE90BE" w14:textId="756B5616" w:rsidR="00541F40" w:rsidRDefault="00FD72EA" w:rsidP="001C0610">
      <w:pPr>
        <w:pStyle w:val="StandardWeb"/>
        <w:spacing w:beforeAutospacing="0" w:afterAutospacing="0" w:line="360" w:lineRule="auto"/>
        <w:ind w:firstLine="708"/>
        <w:jc w:val="both"/>
        <w:rPr>
          <w:sz w:val="20"/>
          <w:szCs w:val="20"/>
          <w:lang w:val="en-GB"/>
        </w:rPr>
      </w:pPr>
      <w:r w:rsidRPr="00DF0492">
        <w:rPr>
          <w:sz w:val="20"/>
          <w:szCs w:val="20"/>
          <w:lang w:val="en-GB"/>
        </w:rPr>
        <w:t>The trend in wheat cultivar development in Germany shows an increase in grain production, primarily driven by a higher number of grains per spike</w:t>
      </w:r>
      <w:r w:rsidR="00C12C2C">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{"citationItems":[{"id":"ITEM-1","itemData":{"DOI":"10.1007/s00122-018-3133-3","ISBN":"0123456789","ISSN":"00405752","PMID":"29959471","abstract":"Key message: Phenotypic and genetic analysis of six spike and kernel characteristics in wheat revealed geographic patterns as well as long-term trends arising from breeding progress, particularly in regard to spikelet fertility, i.e. the number of kernels per spikelet, a grain yield component that appears to underlie the increase in the number of kernels per spike. Abstract: Wheat is a staple crop of global relevance that faces continuous demands for improved grain yield. In this study, we evaluated a panel of 407 winter wheat cultivars for six characteristics of spike and kernel development. All traits showed a large genotypic variation and had high heritabilities. We observed geographic patterns for some traits in addition to long-term trends showing a continuous increase in the number of kernels per spike. This breeding progress is likely due to the increase in spikelet fertility, i.e. the number of kernels per spikelet. While the number of kernels per spike and spikelet fertility were significantly positively correlated, both traits showed a significant negative correlation with thousand-kernel weight. Genome-wide association mapping identified only small- and moderate-effect QTL and an effect of the phenology loci Rht-D1 and Ppd-D1 on some of the traits. The allele frequencies of some QTL matched the observed geographic patterns. The quantitative inheritance of all traits with contributions of additional small-effect QTL was substantiated by genomic prediction. Taken together, our results suggest that some of the examined traits were already the basis of grain yield progress in wheat in the past decades. A more targeted exploitation of the available variation, potentially coupled with genomic approaches, may assist wheat breeding in continuing to increase yield levels globally.","author":[{"dropping-particle":"","family":"Würschum","given":"Tobias","non-dropping-particle":"","parse-names":false,"suffix":""},{"dropping-particle":"","family":"Leiser","given":"Willmar L.","non-dropping-particle":"","parse-names":false,"suffix":""},{"dropping-particle":"","family":"Langer","given":"Simon M.","non-dropping-particle":"","parse-names":false,"suffix":""},{"dropping-particle":"","family":"Tucker","given":"Matthew R.","non-dropping-particle":"","parse-names":false,"suffix":""},{"dropping-particle":"","family":"Longin","given":"C. Friedrich H.","non-dropping-particle":"","parse-names":false,"suffix":""}],"container-title":"Theoretical and Applied Genetics","id":"ITEM-1","issue":"10","issued":{"date-parts":[["2018"]]},"page":"2071-2084","publisher":"Springer Berlin Heidelberg","title":"Phenotypic and genetic analysis of spike and kernel characteristics in wheat reveals long-term genetic trends of grain yield components","type":"article-journal","volume":"131"},"uris":["http://www.mendeley.com/documents/?uuid=ffdef1fa-44d1-45db-958e-fc1fe4d77ad3"]}],"mendeley":{"formattedCitation":"(Würschum et al., 2018)","plainTextFormattedCitation":"(Würschum et al., 2018)","previouslyFormattedCitation":"(Würschum et al., 2018)"},"properties":{"noteIndex":0},"schema":"https://github.com/citation-style-language/schema/raw/master/csl-citation.json"}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(Würschum et al., 2018)</w:t>
      </w:r>
      <w:r w:rsidRPr="00DF0492">
        <w:rPr>
          <w:sz w:val="20"/>
          <w:szCs w:val="20"/>
          <w:lang w:val="en-GB"/>
        </w:rPr>
        <w:fldChar w:fldCharType="end"/>
      </w:r>
      <w:r w:rsidRPr="00DF0492">
        <w:rPr>
          <w:sz w:val="20"/>
          <w:szCs w:val="20"/>
          <w:lang w:val="en-GB"/>
        </w:rPr>
        <w:t>. However, this does not follow the historical cultivar development approach of boosting productivity by increasing total crop biomass</w:t>
      </w:r>
      <w:r w:rsidR="00C12C2C">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{"citationItems":[{"id":"ITEM-1","itemData":{"DOI":"10.3389/fpls.2019.01771","ISSN":"1664462X","abstract":"Optimizing the interplay between sinks and sources is of crucial importance for breeding progress in winter wheat. However, the physiological limitations of yield from source (e.g. green canopy duration, GCD) and sink (e.g. grain number) are still unclear. Furthermore, there is little information on how the source traits have been modified during the breeding history of winter wheat. This study analyzed the breeding progress of sink and source components and their relationships to yield components. Field trials were conducted over three years with 220 cultivars representing the German breeding history of the past five decades. In addition, genetic associations of QTL for the traits were assessed with genome-wide association studies. Breeding progress mainly resulted from an increase in grain numbers per spike, a sink component, whose variations were largely explained by the photosynthetic activity around anthesis, a source component. Surprisingly, despite significant breeding progress in GCD and other source components, they showed no direct influence on thousand grain weights, indicating that grain filling was not limited by the source strength. Our results suggest that, 1) the potential longevity of the green canopy is predetermined at the time point that the number of grains is fixed; 2) a co-evolution of source and sink strength during the breeding history contribute to the yield formation of the modern cultivars. For future breeding we suggest to choose parental lines with high grain numbers per spike on the sink side, and high photosynthetic activity around anthesis and canopy duration on the source side, and to place emphasis on these traits throughout selection.","author":[{"dropping-particle":"","family":"Lichthardt","given":"Carolin","non-dropping-particle":"","parse-names":false,"suffix":""},{"dropping-particle":"","family":"Chen","given":"Tsu Wei","non-dropping-particle":"","parse-names":false,"suffix":""},{"dropping-particle":"","family":"Stahl","given":"Andreas","non-dropping-particle":"","parse-names":false,"suffix":""},{"dropping-particle":"","family":"Stützel","given":"Hartmut","non-dropping-particle":"","parse-names":false,"suffix":""}],"container-title":"Frontiers in Plant Science","id":"ITEM-1","issue":"February","issued":{"date-parts":[["2020"]]},"page":"1-15","title":"Co-Evolution of Sink and Source in the Recent Breeding History of Winter Wheat in Germany","type":"article-journal","volume":"10"},"uris":["http://www.mendeley.com/documents/?uuid=dab6b011-62aa-4dd6-8f77-0c1849eb3669"]}],"mendeley":{"formattedCitation":"(Lichthardt et al., 2020)","plainTextFormattedCitation":"(Lichthardt et al., 2020)","previouslyFormattedCitation":"(Lichthardt et al., 2020)"},"properties":{"noteIndex":0},"schema":"https://github.com/citation-style-language/schema/raw/master/csl-citation.json"}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(Lichthardt et al., 2020)</w:t>
      </w:r>
      <w:r w:rsidRPr="00DF0492">
        <w:rPr>
          <w:sz w:val="20"/>
          <w:szCs w:val="20"/>
          <w:lang w:val="en-GB"/>
        </w:rPr>
        <w:fldChar w:fldCharType="end"/>
      </w:r>
      <w:r w:rsidRPr="00DF0492">
        <w:rPr>
          <w:sz w:val="20"/>
          <w:szCs w:val="20"/>
          <w:lang w:val="en-GB"/>
        </w:rPr>
        <w:t>. Instead, our results show that shoot biomass remains constant across different wheat cultivars, within same soil type (</w:t>
      </w:r>
      <w:r w:rsidR="00465BF6">
        <w:rPr>
          <w:sz w:val="20"/>
          <w:szCs w:val="20"/>
          <w:lang w:val="en-GB"/>
        </w:rPr>
        <w:t>Figure S</w:t>
      </w:r>
      <w:r w:rsidR="00F51CE7">
        <w:rPr>
          <w:sz w:val="20"/>
          <w:szCs w:val="20"/>
          <w:lang w:val="en-GB"/>
        </w:rPr>
        <w:t>5</w:t>
      </w:r>
      <w:r w:rsidRPr="00DF0492">
        <w:rPr>
          <w:sz w:val="20"/>
          <w:szCs w:val="20"/>
          <w:lang w:val="en-GB"/>
        </w:rPr>
        <w:t>). This is notable because recent cultivar development efforts have not focused on increasing plant height or promoting rapid early leaf-area growth to optimize canopy architecture and photosynthetic efficiency</w:t>
      </w:r>
      <w:r w:rsidR="00C12C2C">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{"citationItems":[{"id":"ITEM-1","itemData":{"DOI":"10.1093/jxb/erq304","ISSN":"00220957","PMID":"21030385","abstract":"Past increases in yield potential of wheat have largely resulted from improvements in harvest index rather than increased biomass. Further large increases in harvest index are unlikely, but an opportunity exists for increasing productive biomass and harvestable grain. Photosynthetic capacity and efficiency are bottlenecks to raising productivity and there is strong evidence that increasing photosynthesis will increase crop yields provided that other constraints do not become limiting. Even small increases in the rate of net photosynthesis can translate into large increases in biomass and hence yield, since carbon assimilation is integrated over the entire growing season and crop canopy. This review discusses the strategies to increase photosynthesis that are being proposed by the wheat yield consortium in order to increase wheat yields. These include: selection for photosynthetic capacity and efficiency, increasing ear photosynthesis, optimizing canopy photosynthesis, introducing chloroplast CO2 pumps, increasing RuBP regeneration, improving the thermal stability of Rubisco activase, and replacing wheat Rubisco with that from other species with different kinetic properties. © 2010 The Author(s).","author":[{"dropping-particle":"","family":"Parry","given":"Martin A.J.","non-dropping-particle":"","parse-names":false,"suffix":""},{"dropping-particle":"","family":"Reynolds","given":"Matthew","non-dropping-particle":"","parse-names":false,"suffix":""},{"dropping-particle":"","family":"Salvucci","given":"Michael E.","non-dropping-particle":"","parse-names":false,"suffix":""},{"dropping-particle":"","family":"Raines","given":"Christine","non-dropping-particle":"","parse-names":false,"suffix":""},{"dropping-particle":"","family":"Andralojc","given":"P. John","non-dropping-particle":"","parse-names":false,"suffix":""},{"dropping-particle":"","family":"Zhu","given":"Xin Guang","non-dropping-particle":"","parse-names":false,"suffix":""},{"dropping-particle":"","family":"Price","given":"G. Dean","non-dropping-particle":"","parse-names":false,"suffix":""},{"dropping-particle":"","family":"Condon","given":"Anthony G.","non-dropping-particle":"","parse-names":false,"suffix":""},{"dropping-particle":"","family":"Furbank","given":"Robert T.","non-dropping-particle":"","parse-names":false,"suffix":""}],"container-title":"Journal of Experimental Botany","id":"ITEM-1","issue":"2","issued":{"date-parts":[["2011"]]},"page":"453-467","title":"Raising yield potential of wheat. II. Increasing photosynthetic capacity and efficiency","type":"article-journal","volume":"62"},"uris":["http://www.mendeley.com/documents/?uuid=c66c17ea-4fb7-4bb8-b239-888d756b7002"]}],"mendeley":{"formattedCitation":"(Parry et al., 2011)","plainTextFormattedCitation":"(Parry et al., 2011)","previouslyFormattedCitation":"(Parry et al., 2011)"},"properties":{"noteIndex":0},"schema":"https://github.com/citation-style-language/schema/raw/master/csl-citation.json"}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(Parry et al., 2011)</w:t>
      </w:r>
      <w:r w:rsidRPr="00DF0492">
        <w:rPr>
          <w:sz w:val="20"/>
          <w:szCs w:val="20"/>
          <w:lang w:val="en-GB"/>
        </w:rPr>
        <w:fldChar w:fldCharType="end"/>
      </w:r>
      <w:r w:rsidRPr="00DF0492">
        <w:rPr>
          <w:sz w:val="20"/>
          <w:szCs w:val="20"/>
          <w:lang w:val="en-GB"/>
        </w:rPr>
        <w:t>. While the idea that future yield gains could be achieved by increasing shoot biomass without altering the harvest index (HI) has been pro</w:t>
      </w:r>
      <w:r w:rsidRPr="00DF0492">
        <w:rPr>
          <w:sz w:val="20"/>
          <w:szCs w:val="20"/>
          <w:lang w:val="en-GB"/>
        </w:rPr>
        <w:lastRenderedPageBreak/>
        <w:t>posed</w:t>
      </w:r>
      <w:r w:rsidR="00C12C2C">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{"citationItems":[{"id":"ITEM-1","itemData":{"DOI":"10.1007/s10681-014-1268-0","ISSN":"15735060","abstract":"Increasing biomass accumulation is becoming a major objective of most bread wheat (Triticum aestivum L.) breeding programs worldwide. This study addresses the changes caused by breeding in the pattern of wheat growth and its relationship with the presence of Rht dwarfing alleles. A historical series of 16 varieties representative of the most widely grown during the twentieth century in Spain, including landraces (grown before 1940’s), initial (1947–1955) and modern (1972–2001) cultivars, was characterized for Rht8c, Rht-B1b and Rht-D1b dwarfing alleles. Changes in biomass accumulation and partitioning, leaf area index (LAI) and leaf area duration (LAD) were studied in four field experiments conducted in NE Spain. Biomass and LAI at the beginning of jointing were reduced by ca. 20 and 40 % in varieties carrying one or two dwarfing alleles, respectively. The rates of biomass accumulation from the beginning of jointing to anthesis were similar for wheats from the three historical periods (ca. 1.70 g m−2 GDD−1), and amongst varieties carrying a different number of dwarfing alleles. Almost 80 % of absolute yield gains during the last century were due to increases in the spikes weight per unit area from milk-grain to maturity. Initial varieties maintained and modern varieties increased above-ground biomass from milk-grain stage to maturity. The contribution of photosynthesis during this last phase was enhanced in modern varieties due to increases in LAI at milk-grain stage (0.83 % y−1) and of LAD from it to maturity (0.79 % y−1). Changes on the pattern of biomass accumulation and partitioning caused by the introduction of improved varieties were related to the number of dwarfing alleles present. The contribution of photosynthesis to grain filling was increased in modern varieties due to improved LAI values at milk-grain stage and, subsequently, a longer LAD.","author":[{"dropping-particle":"","family":"Sanchez-Garcia","given":"Miguel","non-dropping-particle":"","parse-names":false,"suffix":""},{"dropping-particle":"","family":"Álvaro","given":"Fanny","non-dropping-particle":"","parse-names":false,"suffix":""},{"dropping-particle":"","family":"Peremarti","given":"Ariadna","non-dropping-particle":"","parse-names":false,"suffix":""},{"dropping-particle":"","family":"Trevaskis","given":"Ben","non-dropping-particle":"","parse-names":false,"suffix":""},{"dropping-particle":"","family":"Martín-Sánchez","given":"Juan A.","non-dropping-particle":"","parse-names":false,"suffix":""},{"dropping-particle":"","family":"Royo","given":"Conxita","non-dropping-particle":"","parse-names":false,"suffix":""}],"container-title":"Euphytica","id":"ITEM-1","issue":"2","issued":{"date-parts":[["2015"]]},"page":"321-336","title":"Breeding effects on dry matter accumulation and partitioning in Spanish bread wheat during the 20th century","type":"article-journal","volume":"203"},"uris":["http://www.mendeley.com/documents/?uuid=ff6532c6-e87b-4adb-8a75-75a67c7ba1ea"]}],"mendeley":{"formattedCitation":"(Sanchez-Garcia et al., 2015)","plainTextFormattedCitation":"(Sanchez-Garcia et al., 2015)","previouslyFormattedCitation":"(Sanchez-Garcia et al., 2015)"},"properties":{"noteIndex":0},"schema":"https://github.com/citation-style-language/schema/raw/master/csl-citation.json"}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(Sanchez-Garcia et al., 2015)</w:t>
      </w:r>
      <w:r w:rsidRPr="00DF0492">
        <w:rPr>
          <w:sz w:val="20"/>
          <w:szCs w:val="20"/>
          <w:lang w:val="en-GB"/>
        </w:rPr>
        <w:fldChar w:fldCharType="end"/>
      </w:r>
      <w:r w:rsidRPr="00DF0492">
        <w:rPr>
          <w:sz w:val="20"/>
          <w:szCs w:val="20"/>
          <w:lang w:val="en-GB"/>
        </w:rPr>
        <w:t>, our findings suggest a different strategy. Recent cultivar developments have prioritized reducing straw biomass (</w:t>
      </w:r>
      <w:r w:rsidR="00465BF6">
        <w:rPr>
          <w:sz w:val="20"/>
          <w:szCs w:val="20"/>
          <w:lang w:val="en-GB"/>
        </w:rPr>
        <w:t>Figure S5</w:t>
      </w:r>
      <w:r w:rsidRPr="00DF0492">
        <w:rPr>
          <w:sz w:val="20"/>
          <w:szCs w:val="20"/>
          <w:lang w:val="en-GB"/>
        </w:rPr>
        <w:t>), indicating that other mechanisms, such as enhanced photosynthetic capacity and efficiency, may be driving yield improvements</w:t>
      </w:r>
      <w:r w:rsidR="00C12C2C">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{"citationItems":[{"id":"ITEM-1","itemData":{"DOI":"10.1093/jxb/erq304","ISSN":"00220957","PMID":"21030385","abstract":"Past increases in yield potential of wheat have largely resulted from improvements in harvest index rather than increased biomass. Further large increases in harvest index are unlikely, but an opportunity exists for increasing productive biomass and harvestable grain. Photosynthetic capacity and efficiency are bottlenecks to raising productivity and there is strong evidence that increasing photosynthesis will increase crop yields provided that other constraints do not become limiting. Even small increases in the rate of net photosynthesis can translate into large increases in biomass and hence yield, since carbon assimilation is integrated over the entire growing season and crop canopy. This review discusses the strategies to increase photosynthesis that are being proposed by the wheat yield consortium in order to increase wheat yields. These include: selection for photosynthetic capacity and efficiency, increasing ear photosynthesis, optimizing canopy photosynthesis, introducing chloroplast CO2 pumps, increasing RuBP regeneration, improving the thermal stability of Rubisco activase, and replacing wheat Rubisco with that from other species with different kinetic properties. © 2010 The Author(s).","author":[{"dropping-particle":"","family":"Parry","given":"Martin A.J.","non-dropping-particle":"","parse-names":false,"suffix":""},{"dropping-particle":"","family":"Reynolds","given":"Matthew","non-dropping-particle":"","parse-names":false,"suffix":""},{"dropping-particle":"","family":"Salvucci","given":"Michael E.","non-dropping-particle":"","parse-names":false,"suffix":""},{"dropping-particle":"","family":"Raines","given":"Christine","non-dropping-particle":"","parse-names":false,"suffix":""},{"dropping-particle":"","family":"Andralojc","given":"P. John","non-dropping-particle":"","parse-names":false,"suffix":""},{"dropping-particle":"","family":"Zhu","given":"Xin Guang","non-dropping-particle":"","parse-names":false,"suffix":""},{"dropping-particle":"","family":"Price","given":"G. Dean","non-dropping-particle":"","parse-names":false,"suffix":""},{"dropping-particle":"","family":"Condon","given":"Anthony G.","non-dropping-particle":"","parse-names":false,"suffix":""},{"dropping-particle":"","family":"Furbank","given":"Robert T.","non-dropping-particle":"","parse-names":false,"suffix":""}],"container-title":"Journal of Experimental Botany","id":"ITEM-1","issue":"2","issued":{"date-parts":[["2011"]]},"page":"453-467","title":"Raising yield potential of wheat. II. Increasing photosynthetic capacity and efficiency","type":"article-journal","volume":"62"},"uris":["http://www.mendeley.com/documents/?uuid=c66c17ea-4fb7-4bb8-b239-888d756b7002"]}],"mendeley":{"formattedCitation":"(Parry et al., 2011)","plainTextFormattedCitation":"(Parry et al., 2011)","previouslyFormattedCitation":"(Parry et al., 2011)"},"properties":{"noteIndex":0},"schema":"https://github.com/citation-style-language/schema/raw/master/csl-citation.json"}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(Parry et al., 2011)</w:t>
      </w:r>
      <w:r w:rsidRPr="00DF0492">
        <w:rPr>
          <w:sz w:val="20"/>
          <w:szCs w:val="20"/>
          <w:lang w:val="en-GB"/>
        </w:rPr>
        <w:fldChar w:fldCharType="end"/>
      </w:r>
      <w:r w:rsidRPr="00DF0492">
        <w:rPr>
          <w:sz w:val="20"/>
          <w:szCs w:val="20"/>
          <w:lang w:val="en-GB"/>
        </w:rPr>
        <w:t>. Consequently, the relationship between IPAR and biomass production or grain yield is not universally fixed, but rather it is specific for each cultivar</w:t>
      </w:r>
      <w:r w:rsidRPr="00427916">
        <w:rPr>
          <w:sz w:val="20"/>
          <w:szCs w:val="20"/>
          <w:lang w:val="en-GB"/>
        </w:rPr>
        <w:t xml:space="preserve">. </w:t>
      </w:r>
      <w:r w:rsidR="001C0610" w:rsidRPr="00956871">
        <w:rPr>
          <w:color w:val="FF0000"/>
          <w:sz w:val="20"/>
          <w:szCs w:val="20"/>
          <w:lang w:val="en-GB"/>
        </w:rPr>
        <w:t xml:space="preserve">Thanks to the dynamic capability of </w:t>
      </w:r>
      <w:proofErr w:type="spellStart"/>
      <w:r w:rsidR="001C0610" w:rsidRPr="00956871">
        <w:rPr>
          <w:color w:val="FF0000"/>
          <w:sz w:val="20"/>
          <w:szCs w:val="20"/>
          <w:lang w:val="en-GB"/>
        </w:rPr>
        <w:t>minirhizotrons</w:t>
      </w:r>
      <w:proofErr w:type="spellEnd"/>
      <w:r w:rsidR="001C0610" w:rsidRPr="00956871">
        <w:rPr>
          <w:color w:val="FF0000"/>
          <w:sz w:val="20"/>
          <w:szCs w:val="20"/>
          <w:lang w:val="en-GB"/>
        </w:rPr>
        <w:t xml:space="preserve"> to monitor root system development over time, we were able to establish a direct correlation between IPAR and root biomass.</w:t>
      </w:r>
      <w:r w:rsidR="001C0610" w:rsidRPr="001C0610">
        <w:rPr>
          <w:sz w:val="20"/>
          <w:szCs w:val="20"/>
          <w:lang w:val="en-GB"/>
        </w:rPr>
        <w:t xml:space="preserve"> Based on these data, our trained machine learning algorithm suggests a logarithmic relationship; however, this correlation</w:t>
      </w:r>
      <w:r w:rsidR="001C0610">
        <w:rPr>
          <w:sz w:val="20"/>
          <w:szCs w:val="20"/>
          <w:lang w:val="en-GB"/>
        </w:rPr>
        <w:t xml:space="preserve"> also</w:t>
      </w:r>
      <w:r w:rsidR="001C0610" w:rsidRPr="001C0610">
        <w:rPr>
          <w:sz w:val="20"/>
          <w:szCs w:val="20"/>
          <w:lang w:val="en-GB"/>
        </w:rPr>
        <w:t xml:space="preserve"> cannot be generalized across all wheat cultivars and soil erosion conditions.</w:t>
      </w:r>
      <w:r w:rsidR="001C0610">
        <w:rPr>
          <w:sz w:val="20"/>
          <w:szCs w:val="20"/>
          <w:lang w:val="en-GB"/>
        </w:rPr>
        <w:t xml:space="preserve"> </w:t>
      </w:r>
      <w:r w:rsidRPr="00427916">
        <w:rPr>
          <w:sz w:val="20"/>
          <w:szCs w:val="20"/>
          <w:lang w:val="en-GB"/>
        </w:rPr>
        <w:t xml:space="preserve">Each cultivar has distinct parameters that are further influenced by erosion and water content, making the interaction between IPAR, biomass production, and </w:t>
      </w:r>
      <w:r w:rsidR="004F0E20" w:rsidRPr="00427916">
        <w:rPr>
          <w:sz w:val="20"/>
          <w:szCs w:val="20"/>
          <w:lang w:val="en-GB"/>
        </w:rPr>
        <w:t xml:space="preserve">grain </w:t>
      </w:r>
      <w:r w:rsidRPr="00427916">
        <w:rPr>
          <w:sz w:val="20"/>
          <w:szCs w:val="20"/>
          <w:lang w:val="en-GB"/>
        </w:rPr>
        <w:t xml:space="preserve">yield highly context-specific (c.f. Fig. </w:t>
      </w:r>
      <w:r w:rsidR="005761D8" w:rsidRPr="00427916">
        <w:rPr>
          <w:sz w:val="20"/>
          <w:szCs w:val="20"/>
          <w:lang w:val="en-GB"/>
        </w:rPr>
        <w:t>6</w:t>
      </w:r>
      <w:r w:rsidRPr="00427916">
        <w:rPr>
          <w:sz w:val="20"/>
          <w:szCs w:val="20"/>
          <w:lang w:val="en-GB"/>
        </w:rPr>
        <w:t>).</w:t>
      </w:r>
    </w:p>
    <w:p w14:paraId="0B32DE0E" w14:textId="6187D647" w:rsidR="003B4450" w:rsidRPr="000776C6" w:rsidRDefault="00E40FE3" w:rsidP="00541F40">
      <w:pPr>
        <w:pStyle w:val="StandardWeb"/>
        <w:spacing w:beforeAutospacing="0" w:afterAutospacing="0" w:line="360" w:lineRule="auto"/>
        <w:ind w:firstLine="708"/>
        <w:jc w:val="both"/>
        <w:rPr>
          <w:sz w:val="20"/>
          <w:szCs w:val="20"/>
          <w:lang w:val="en-GB"/>
        </w:rPr>
      </w:pPr>
      <w:r w:rsidRPr="00DF0492">
        <w:rPr>
          <w:sz w:val="20"/>
          <w:szCs w:val="20"/>
          <w:lang w:val="en-GB"/>
        </w:rPr>
        <w:t xml:space="preserve">In deposition soil, </w:t>
      </w:r>
      <w:r w:rsidR="00FD72EA" w:rsidRPr="00DF0492">
        <w:rPr>
          <w:sz w:val="20"/>
          <w:szCs w:val="20"/>
          <w:lang w:val="en-GB"/>
        </w:rPr>
        <w:t>recent</w:t>
      </w:r>
      <w:r w:rsidRPr="00DF0492">
        <w:rPr>
          <w:sz w:val="20"/>
          <w:szCs w:val="20"/>
          <w:lang w:val="en-GB"/>
        </w:rPr>
        <w:t>ly developed</w:t>
      </w:r>
      <w:r w:rsidR="00FD72EA" w:rsidRPr="00DF0492">
        <w:rPr>
          <w:sz w:val="20"/>
          <w:szCs w:val="20"/>
          <w:lang w:val="en-GB"/>
        </w:rPr>
        <w:t xml:space="preserve"> wheat cultivars </w:t>
      </w:r>
      <w:r w:rsidR="004F0E20" w:rsidRPr="00DF0492">
        <w:rPr>
          <w:sz w:val="20"/>
          <w:szCs w:val="20"/>
          <w:lang w:val="en-GB"/>
        </w:rPr>
        <w:t>produce</w:t>
      </w:r>
      <w:r w:rsidR="00FD72EA" w:rsidRPr="00DF0492">
        <w:rPr>
          <w:sz w:val="20"/>
          <w:szCs w:val="20"/>
          <w:lang w:val="en-GB"/>
        </w:rPr>
        <w:t xml:space="preserve"> nearly </w:t>
      </w:r>
      <w:r w:rsidR="00AA02A8" w:rsidRPr="00DF0492">
        <w:rPr>
          <w:sz w:val="20"/>
          <w:szCs w:val="20"/>
          <w:lang w:val="en-GB"/>
        </w:rPr>
        <w:t>7</w:t>
      </w:r>
      <w:r w:rsidR="00FD72EA" w:rsidRPr="00DF0492">
        <w:rPr>
          <w:sz w:val="20"/>
          <w:szCs w:val="20"/>
          <w:lang w:val="en-GB"/>
        </w:rPr>
        <w:t>0% more grain compared to earlier developed cultivars</w:t>
      </w:r>
      <w:r w:rsidR="005E1944" w:rsidRPr="00DF0492">
        <w:rPr>
          <w:sz w:val="20"/>
          <w:szCs w:val="20"/>
          <w:lang w:val="en-GB"/>
        </w:rPr>
        <w:t xml:space="preserve"> in deposition soil</w:t>
      </w:r>
      <w:r w:rsidR="00FD72EA" w:rsidRPr="00DF0492">
        <w:rPr>
          <w:sz w:val="20"/>
          <w:szCs w:val="20"/>
          <w:lang w:val="en-GB"/>
        </w:rPr>
        <w:t>.</w:t>
      </w:r>
      <w:r w:rsidR="005E1944" w:rsidRPr="00DF0492">
        <w:rPr>
          <w:sz w:val="20"/>
          <w:szCs w:val="20"/>
          <w:lang w:val="en-GB"/>
        </w:rPr>
        <w:t xml:space="preserve"> In highly eroded soils,</w:t>
      </w:r>
      <w:r w:rsidR="00FD72EA" w:rsidRPr="00DF0492">
        <w:rPr>
          <w:sz w:val="20"/>
          <w:szCs w:val="20"/>
          <w:lang w:val="en-GB"/>
        </w:rPr>
        <w:t xml:space="preserve"> </w:t>
      </w:r>
      <w:r w:rsidR="005E1944" w:rsidRPr="00DF0492">
        <w:rPr>
          <w:sz w:val="20"/>
          <w:szCs w:val="20"/>
          <w:lang w:val="en-GB"/>
        </w:rPr>
        <w:t>recently developed wheat cultivars produce nearly 30% more grain yield compared to earlier developed cultivars</w:t>
      </w:r>
      <w:r w:rsidR="00FD72EA" w:rsidRPr="00DF0492">
        <w:rPr>
          <w:sz w:val="20"/>
          <w:szCs w:val="20"/>
          <w:lang w:val="en-GB"/>
        </w:rPr>
        <w:t xml:space="preserve"> (</w:t>
      </w:r>
      <w:r w:rsidR="00465BF6">
        <w:rPr>
          <w:sz w:val="20"/>
          <w:szCs w:val="20"/>
          <w:lang w:val="en-GB"/>
        </w:rPr>
        <w:t>Fig</w:t>
      </w:r>
      <w:r w:rsidR="005761D8">
        <w:rPr>
          <w:sz w:val="20"/>
          <w:szCs w:val="20"/>
          <w:lang w:val="en-GB"/>
        </w:rPr>
        <w:t xml:space="preserve">. </w:t>
      </w:r>
      <w:r w:rsidR="00465BF6">
        <w:rPr>
          <w:sz w:val="20"/>
          <w:szCs w:val="20"/>
          <w:lang w:val="en-GB"/>
        </w:rPr>
        <w:t>4</w:t>
      </w:r>
      <w:r w:rsidR="00FD72EA" w:rsidRPr="00DF0492">
        <w:rPr>
          <w:sz w:val="20"/>
          <w:szCs w:val="20"/>
          <w:lang w:val="en-GB"/>
        </w:rPr>
        <w:t>).</w:t>
      </w:r>
      <w:r w:rsidR="00541F40">
        <w:rPr>
          <w:sz w:val="20"/>
          <w:szCs w:val="20"/>
          <w:lang w:val="en-GB"/>
        </w:rPr>
        <w:t xml:space="preserve"> </w:t>
      </w:r>
      <w:r w:rsidR="00FD72EA" w:rsidRPr="00DF0492">
        <w:rPr>
          <w:sz w:val="20"/>
          <w:szCs w:val="20"/>
          <w:lang w:val="en-GB"/>
        </w:rPr>
        <w:t>However, the increase in grain yield comes with a trade-off: there is 32% less C input</w:t>
      </w:r>
      <w:r w:rsidR="00A37950">
        <w:rPr>
          <w:sz w:val="20"/>
          <w:szCs w:val="20"/>
          <w:lang w:val="en-GB"/>
        </w:rPr>
        <w:t xml:space="preserve"> (from straw and root)</w:t>
      </w:r>
      <w:r w:rsidR="00FD72EA" w:rsidRPr="00DF0492">
        <w:rPr>
          <w:sz w:val="20"/>
          <w:szCs w:val="20"/>
          <w:lang w:val="en-GB"/>
        </w:rPr>
        <w:t xml:space="preserve"> into highly eroded soils and 43% less </w:t>
      </w:r>
      <w:r w:rsidR="00947142" w:rsidRPr="00DF0492">
        <w:rPr>
          <w:sz w:val="20"/>
          <w:szCs w:val="20"/>
          <w:lang w:val="en-GB"/>
        </w:rPr>
        <w:t xml:space="preserve">C input </w:t>
      </w:r>
      <w:r w:rsidR="00FD72EA" w:rsidRPr="00DF0492">
        <w:rPr>
          <w:sz w:val="20"/>
          <w:szCs w:val="20"/>
          <w:lang w:val="en-GB"/>
        </w:rPr>
        <w:t xml:space="preserve">into depositional soils (Fig. </w:t>
      </w:r>
      <w:r w:rsidR="005761D8">
        <w:rPr>
          <w:sz w:val="20"/>
          <w:szCs w:val="20"/>
          <w:lang w:val="en-GB"/>
        </w:rPr>
        <w:t>4</w:t>
      </w:r>
      <w:r w:rsidR="00352AF5">
        <w:rPr>
          <w:sz w:val="20"/>
          <w:szCs w:val="20"/>
          <w:lang w:val="en-GB"/>
        </w:rPr>
        <w:t xml:space="preserve">). </w:t>
      </w:r>
      <w:r w:rsidR="00FA2148" w:rsidRPr="00472631">
        <w:rPr>
          <w:sz w:val="20"/>
          <w:szCs w:val="20"/>
          <w:lang w:val="en-GB"/>
        </w:rPr>
        <w:t>In agricultural soils, crop roots represent a major source of soil organic carbon (SOC)</w:t>
      </w:r>
      <w:r w:rsidR="005B1D7B" w:rsidRPr="00472631">
        <w:rPr>
          <w:sz w:val="20"/>
          <w:szCs w:val="20"/>
          <w:lang w:val="en-GB"/>
        </w:rPr>
        <w:t xml:space="preserve"> </w:t>
      </w:r>
      <w:r w:rsidR="005B1D7B" w:rsidRPr="00472631">
        <w:rPr>
          <w:sz w:val="20"/>
          <w:szCs w:val="20"/>
          <w:lang w:val="en-GB"/>
        </w:rPr>
        <w:fldChar w:fldCharType="begin" w:fldLock="1"/>
      </w:r>
      <w:r w:rsidR="005B1D7B" w:rsidRPr="00472631">
        <w:rPr>
          <w:sz w:val="20"/>
          <w:szCs w:val="20"/>
          <w:lang w:val="en-GB"/>
        </w:rPr>
        <w:instrText>ADDIN CSL_CITATION {"citationItems":[{"id":"ITEM-1","itemData":{"DOI":"10.1111/gcb.15787","ISSN":"13652486","PMID":"34228862","abstract":"The ratio of soil organic carbon stock (SOC) to annual carbon input gives an estimate of the mean residence time of organic carbon that enters the soil (MRTOC). It indicates how efficiently biomass can be transformed into SOC, which is of particular relevance for mitigating climate change by means of SOC storage. There have been few comprehensive studies of MRTOC and their drivers, and these have mainly been restricted to the global scale, on which climatic drivers dominate. This study used the unique combination of regional-scale cropland and grassland topsoil (0–30 cm) SOC stock data and average site-specific OC input data derived from the German Agricultural Soil Inventory to elucidate the main drivers of MRTOC. Explanatory variables related to OC input composition and other soil-forming factors were used to explain the variability in MRTOC by means of a machine-learning approach. On average, OC entering German agricultural topsoils had an MRT of 21.5 ± 11.6 years, with grasslands (29.0 ± 11.2 years, n = 465) having significantly higher MRTOC than croplands (19.4 ± 10.7, n = 1635). This was explained by the higher proportion of root-derived OC inputs in grassland soils, which was the most important variable for explaining MRTOC variability at a regional scale. Soil properties such as clay content, soil group, C:N ratio and groundwater level were also important, indicating that MRTOC is driven by a combination of site properties and OC input composition. However, the great importance of root-derived OC inputs indicated that MRTOC can be actively managed, with maximization of root biomass input to the soil being a straightforward means to extend the time that assimilated C remains in the soil and consequently also increase SOC stocks.","author":[{"dropping-particle":"","family":"Poeplau","given":"Christopher","non-dropping-particle":"","parse-names":false,"suffix":""},{"dropping-particle":"","family":"Don","given":"Axel","non-dropping-particle":"","parse-names":false,"suffix":""},{"dropping-particle":"","family":"Schneider","given":"Florian","non-dropping-particle":"","parse-names":false,"suffix":""}],"container-title":"Global Change Biology","id":"ITEM-1","issue":"19","issued":{"date-parts":[["2021"]]},"page":"4921-4934","title":"Roots are key to increasing the mean residence time of organic carbon entering temperate agricultural soils","type":"article-journal","volume":"27"},"uris":["http://www.mendeley.com/documents/?uuid=5e7231ae-29e1-4908-82e1-2bfb289e8a59"]}],"mendeley":{"formattedCitation":"(Poeplau et al., 2021)","plainTextFormattedCitation":"(Poeplau et al., 2021)","previouslyFormattedCitation":"(Poeplau et al., 2021)"},"properties":{"noteIndex":0},"schema":"https://github.com/citation-style-language/schema/raw/master/csl-citation.json"}</w:instrText>
      </w:r>
      <w:r w:rsidR="005B1D7B" w:rsidRPr="00472631">
        <w:rPr>
          <w:sz w:val="20"/>
          <w:szCs w:val="20"/>
          <w:lang w:val="en-GB"/>
        </w:rPr>
        <w:fldChar w:fldCharType="separate"/>
      </w:r>
      <w:r w:rsidR="005B1D7B" w:rsidRPr="00472631">
        <w:rPr>
          <w:noProof/>
          <w:sz w:val="20"/>
          <w:szCs w:val="20"/>
          <w:lang w:val="en-GB"/>
        </w:rPr>
        <w:t>(Poeplau et al., 2021)</w:t>
      </w:r>
      <w:r w:rsidR="005B1D7B" w:rsidRPr="00472631">
        <w:rPr>
          <w:sz w:val="20"/>
          <w:szCs w:val="20"/>
          <w:lang w:val="en-GB"/>
        </w:rPr>
        <w:fldChar w:fldCharType="end"/>
      </w:r>
      <w:r w:rsidR="00FA2148" w:rsidRPr="00472631">
        <w:rPr>
          <w:sz w:val="20"/>
          <w:szCs w:val="20"/>
          <w:lang w:val="en-GB"/>
        </w:rPr>
        <w:t xml:space="preserve">. </w:t>
      </w:r>
      <w:r w:rsidR="00FA2148" w:rsidRPr="00B80201">
        <w:rPr>
          <w:color w:val="FF0000"/>
          <w:sz w:val="20"/>
          <w:szCs w:val="20"/>
          <w:lang w:val="en-GB"/>
        </w:rPr>
        <w:t>Root-derived carbon is particularly important because it persists in the soil two to three times longer than carbon from aboveground residues or manure</w:t>
      </w:r>
      <w:r w:rsidR="005B1D7B" w:rsidRPr="00B80201">
        <w:rPr>
          <w:color w:val="FF0000"/>
          <w:sz w:val="20"/>
          <w:szCs w:val="20"/>
          <w:lang w:val="en-GB"/>
        </w:rPr>
        <w:t xml:space="preserve"> </w:t>
      </w:r>
      <w:r w:rsidR="005B1D7B" w:rsidRPr="00B80201">
        <w:rPr>
          <w:color w:val="FF0000"/>
          <w:sz w:val="20"/>
          <w:szCs w:val="20"/>
          <w:lang w:val="en-GB"/>
        </w:rPr>
        <w:fldChar w:fldCharType="begin" w:fldLock="1"/>
      </w:r>
      <w:r w:rsidR="00CE5DCA" w:rsidRPr="00B80201">
        <w:rPr>
          <w:color w:val="FF0000"/>
          <w:sz w:val="20"/>
          <w:szCs w:val="20"/>
          <w:lang w:val="en-GB"/>
        </w:rPr>
        <w:instrText>ADDIN CSL_CITATION {"citationItems":[{"id":"ITEM-1","itemData":{"DOI":"10.1016/j.agee.2011.02.029","ISSN":"01678809","abstract":"We revisited the well documented and ongoing long-term 'Ultuna continuous soil organic matter field experiment' which started in 1956 at the Swedish University of Agricultural Sciences. The objective of the experiment is to quantify effects of six organic amendments and mineral N fertilizers on the crop and soil. We used the 'equivalent soil mass' concept for estimating changes in the topsoil carbon stocks in all 15 treatments. C inputs from amendments were measured and those from crops were calculated using allometric functions and crop yields. Clustering C inputs into seven categories by quality allowed us to calculate a 'humification' coefficient for each category. Here, these coefficients were simply based on the fraction of total C input that still remains in the topsoil after about 50. years. As indicated by previous studies, this coefficient was highest for peat, followed by sewage sludge, manure, sawdust and above-ground crop residues. The most interesting result from the current investigation is that the optimized coefficient for root-derived carbon was about 2.3 times higher than that for above-ground plant residues. The calculated results were found to be robust in a sensitivity analysis. Our findings strongly support the hypothesis that root-derived carbon contributes more to relatively stable soil C pools than the same amount of above-crop residue-derived C. © 2011 Elsevier B.V.","author":[{"dropping-particle":"","family":"Kätterer","given":"Thomas","non-dropping-particle":"","parse-names":false,"suffix":""},{"dropping-particle":"","family":"Bolinder","given":"Martin Anders","non-dropping-particle":"","parse-names":false,"suffix":""},{"dropping-particle":"","family":"Andrén","given":"Olof","non-dropping-particle":"","parse-names":false,"suffix":""},{"dropping-particle":"","family":"Kirchmann","given":"Holger","non-dropping-particle":"","parse-names":false,"suffix":""},{"dropping-particle":"","family":"Menichetti","given":"Lorenzo","non-dropping-particle":"","parse-names":false,"suffix":""}],"container-title":"Agriculture, Ecosystems and Environment","id":"ITEM-1","issue":"1-2","issued":{"date-parts":[["2011"]]},"page":"184-192","title":"Roots contribute more to refractory soil organic matter than above-ground crop residues, as revealed by a long-term field experiment","type":"article-journal","volume":"141"},"uris":["http://www.mendeley.com/documents/?uuid=8c88d92c-8d4d-42b9-8843-e6f8a02edb0c"]}],"mendeley":{"formattedCitation":"(Kätterer et al., 2011)","plainTextFormattedCitation":"(Kätterer et al., 2011)","previouslyFormattedCitation":"(Kätterer et al., 2011)"},"properties":{"noteIndex":0},"schema":"https://github.com/citation-style-language/schema/raw/master/csl-citation.json"}</w:instrText>
      </w:r>
      <w:r w:rsidR="005B1D7B" w:rsidRPr="00B80201">
        <w:rPr>
          <w:color w:val="FF0000"/>
          <w:sz w:val="20"/>
          <w:szCs w:val="20"/>
          <w:lang w:val="en-GB"/>
        </w:rPr>
        <w:fldChar w:fldCharType="separate"/>
      </w:r>
      <w:r w:rsidR="005B1D7B" w:rsidRPr="00B80201">
        <w:rPr>
          <w:noProof/>
          <w:color w:val="FF0000"/>
          <w:sz w:val="20"/>
          <w:szCs w:val="20"/>
          <w:lang w:val="en-GB"/>
        </w:rPr>
        <w:t>(Kätterer et al., 2011)</w:t>
      </w:r>
      <w:r w:rsidR="005B1D7B" w:rsidRPr="00B80201">
        <w:rPr>
          <w:color w:val="FF0000"/>
          <w:sz w:val="20"/>
          <w:szCs w:val="20"/>
          <w:lang w:val="en-GB"/>
        </w:rPr>
        <w:fldChar w:fldCharType="end"/>
      </w:r>
      <w:r w:rsidR="00FA2148" w:rsidRPr="00B80201">
        <w:rPr>
          <w:color w:val="FF0000"/>
          <w:sz w:val="20"/>
          <w:szCs w:val="20"/>
          <w:lang w:val="en-GB"/>
        </w:rPr>
        <w:t xml:space="preserve">, making it a crucial contributor to SOC maintenance and accumulation. In our study, root carbon inputs ranged from 27 to 134 g C m⁻² in </w:t>
      </w:r>
      <w:proofErr w:type="spellStart"/>
      <w:r w:rsidR="00FA2148" w:rsidRPr="00B80201">
        <w:rPr>
          <w:color w:val="FF0000"/>
          <w:sz w:val="20"/>
          <w:szCs w:val="20"/>
          <w:lang w:val="en-GB"/>
        </w:rPr>
        <w:t>Luvisols</w:t>
      </w:r>
      <w:proofErr w:type="spellEnd"/>
      <w:r w:rsidR="00FA2148" w:rsidRPr="00B80201">
        <w:rPr>
          <w:color w:val="FF0000"/>
          <w:sz w:val="20"/>
          <w:szCs w:val="20"/>
          <w:lang w:val="en-GB"/>
        </w:rPr>
        <w:t xml:space="preserve"> and from 6.3 to 51 g C m⁻² in </w:t>
      </w:r>
      <w:proofErr w:type="spellStart"/>
      <w:r w:rsidR="00FA2148" w:rsidRPr="00B80201">
        <w:rPr>
          <w:color w:val="FF0000"/>
          <w:sz w:val="20"/>
          <w:szCs w:val="20"/>
          <w:lang w:val="en-GB"/>
        </w:rPr>
        <w:t>Regosols</w:t>
      </w:r>
      <w:proofErr w:type="spellEnd"/>
      <w:r w:rsidR="00FA2148" w:rsidRPr="00B80201">
        <w:rPr>
          <w:color w:val="FF0000"/>
          <w:sz w:val="20"/>
          <w:szCs w:val="20"/>
          <w:lang w:val="en-GB"/>
        </w:rPr>
        <w:t xml:space="preserve"> (Figure S2, after harvest). These values slightly </w:t>
      </w:r>
      <w:r w:rsidR="00575644" w:rsidRPr="00B80201">
        <w:rPr>
          <w:color w:val="FF0000"/>
          <w:sz w:val="20"/>
          <w:szCs w:val="20"/>
          <w:lang w:val="en-GB"/>
        </w:rPr>
        <w:t>deviate</w:t>
      </w:r>
      <w:r w:rsidR="00FA2148" w:rsidRPr="00B80201">
        <w:rPr>
          <w:color w:val="FF0000"/>
          <w:sz w:val="20"/>
          <w:szCs w:val="20"/>
          <w:lang w:val="en-GB"/>
        </w:rPr>
        <w:t xml:space="preserve"> </w:t>
      </w:r>
      <w:r w:rsidR="00575644" w:rsidRPr="00B80201">
        <w:rPr>
          <w:color w:val="FF0000"/>
          <w:sz w:val="20"/>
          <w:szCs w:val="20"/>
          <w:lang w:val="en-GB"/>
        </w:rPr>
        <w:t>from</w:t>
      </w:r>
      <w:r w:rsidR="00FA2148" w:rsidRPr="00B80201">
        <w:rPr>
          <w:color w:val="FF0000"/>
          <w:sz w:val="20"/>
          <w:szCs w:val="20"/>
          <w:lang w:val="en-GB"/>
        </w:rPr>
        <w:t xml:space="preserve"> the</w:t>
      </w:r>
      <w:r w:rsidR="00575644" w:rsidRPr="00B80201">
        <w:rPr>
          <w:color w:val="FF0000"/>
          <w:sz w:val="20"/>
          <w:szCs w:val="20"/>
          <w:lang w:val="en-GB"/>
        </w:rPr>
        <w:t xml:space="preserve"> values</w:t>
      </w:r>
      <w:r w:rsidR="00FA2148" w:rsidRPr="00B80201">
        <w:rPr>
          <w:color w:val="FF0000"/>
          <w:sz w:val="20"/>
          <w:szCs w:val="20"/>
          <w:lang w:val="en-GB"/>
        </w:rPr>
        <w:t xml:space="preserve"> 47–63 g C m⁻² reported by</w:t>
      </w:r>
      <w:r w:rsidR="00C4270C" w:rsidRPr="00B80201">
        <w:rPr>
          <w:color w:val="FF0000"/>
          <w:sz w:val="20"/>
          <w:szCs w:val="20"/>
          <w:lang w:val="en-GB"/>
        </w:rPr>
        <w:t xml:space="preserve"> </w:t>
      </w:r>
      <w:r w:rsidR="00C4270C" w:rsidRPr="00B80201">
        <w:rPr>
          <w:color w:val="FF0000"/>
          <w:sz w:val="20"/>
          <w:szCs w:val="20"/>
          <w:lang w:val="en-GB"/>
        </w:rPr>
        <w:fldChar w:fldCharType="begin" w:fldLock="1"/>
      </w:r>
      <w:r w:rsidR="00B10A2A" w:rsidRPr="00B80201">
        <w:rPr>
          <w:color w:val="FF0000"/>
          <w:sz w:val="20"/>
          <w:szCs w:val="20"/>
          <w:lang w:val="en-GB"/>
        </w:rPr>
        <w:instrText>ADDIN CSL_CITATION {"citationItems":[{"id":"ITEM-1","itemData":{"DOI":"10.1016/j.agee.2018.07.010","ISSN":"01678809","abstract":"Below ground carbon (BGC) inputs to soil, i.e. root biomass and rhizodeposition carbon (C), are among the most important variables driving soil C dynamics in agroecosystems. Hence, increasing BGC inputs to deep soil is a proposed strategy to sequester C in the long term. As BGC inputs are inherently difficult to measure in the field, they are usually estimated from yield in order to supply soil C models with input data. While fertilization intensity considerably affects above ground biomass, its influence on BGC inputs is largely unclear, especially with respect to the subsoil. Therefore, we determined net root biomass and rhizodeposition C of field-grown maize and wheat at harvest in different farming systems (bio-organic, conventional) and fertilization treatments (zero, manure, mineral) along an intensity gradient in two Swiss long-term field trials. Plants in microplots were repeatedly pulse-labelled with 13C-CO2 throughout the growing seasons and shoots, roots, and soil to 0.75 m depth were sampled at harvest. Despite a strong increase of above ground biomass with increasing fertilization intensity, BGC inputs were similar among treatments on both sites irrespective of soil depth. However, the proportions of rhizodeposition C of BGC inputs averaged 54 to 63% and were, therefore, much larger than the widely adopted 40% for field-grown cereals. They increased with soil depth and were highest under sole organic fertilization. The shift in whole-plant C allocation towards above ground biomass with increasing fertilization intensity entailed 10% higher C allocation below ground in organic than conventional farming for both maize and wheat. Our findings imply that yield-independent values provide closer estimates for BGC inputs to soil of cereals in different farming systems than yield-based functions. We further conclude that fertilization has only little potential to alter absolute amounts of BGC inputs to deep soil in order to sequester C in the long term.","author":[{"dropping-particle":"","family":"Hirte","given":"Juliane","non-dropping-particle":"","parse-names":false,"suffix":""},{"dropping-particle":"","family":"Leifeld","given":"Jens","non-dropping-particle":"","parse-names":false,"suffix":""},{"dropping-particle":"","family":"Abiven","given":"Samuel","non-dropping-particle":"","parse-names":false,"suffix":""},{"dropping-particle":"","family":"Oberholzer","given":"Hans Rudolf","non-dropping-particle":"","parse-names":false,"suffix":""},{"dropping-particle":"","family":"Mayer","given":"Jochen","non-dropping-particle":"","parse-names":false,"suffix":""}],"container-title":"Agriculture, Ecosystems and Environment","id":"ITEM-1","issue":"June","issued":{"date-parts":[["2018"]]},"page":"556-566","publisher":"Elsevier","title":"Below ground carbon inputs to soil via root biomass and rhizodeposition of field-grown maize and wheat at harvest are independent of net primary productivity","type":"article-journal","volume":"265"},"uris":["http://www.mendeley.com/documents/?uuid=4b664527-7be4-44dc-b4c3-610abeb05340"]}],"mendeley":{"formattedCitation":"(Hirte et al., 2018)","manualFormatting":"Hirte et al. (2018)","plainTextFormattedCitation":"(Hirte et al., 2018)","previouslyFormattedCitation":"(Hirte et al., 2018)"},"properties":{"noteIndex":0},"schema":"https://github.com/citation-style-language/schema/raw/master/csl-citation.json"}</w:instrText>
      </w:r>
      <w:r w:rsidR="00C4270C" w:rsidRPr="00B80201">
        <w:rPr>
          <w:color w:val="FF0000"/>
          <w:sz w:val="20"/>
          <w:szCs w:val="20"/>
          <w:lang w:val="en-GB"/>
        </w:rPr>
        <w:fldChar w:fldCharType="separate"/>
      </w:r>
      <w:r w:rsidR="00C4270C" w:rsidRPr="00B80201">
        <w:rPr>
          <w:noProof/>
          <w:color w:val="FF0000"/>
          <w:sz w:val="20"/>
          <w:szCs w:val="20"/>
          <w:lang w:val="en-GB"/>
        </w:rPr>
        <w:t>Hirte et al. (2018)</w:t>
      </w:r>
      <w:r w:rsidR="00C4270C" w:rsidRPr="00B80201">
        <w:rPr>
          <w:color w:val="FF0000"/>
          <w:sz w:val="20"/>
          <w:szCs w:val="20"/>
          <w:lang w:val="en-GB"/>
        </w:rPr>
        <w:fldChar w:fldCharType="end"/>
      </w:r>
      <w:r w:rsidR="00FA2148" w:rsidRPr="00B80201">
        <w:rPr>
          <w:color w:val="FF0000"/>
          <w:sz w:val="20"/>
          <w:szCs w:val="20"/>
          <w:lang w:val="en-GB"/>
        </w:rPr>
        <w:t>, who sampled to a depth of 75 cm. As already discussed, our measurements extended beyond 1 m, where a substantial portion of root biomass was detected (Fig. 3), likely accounting for the higher values observed</w:t>
      </w:r>
      <w:r w:rsidR="00FA2148" w:rsidRPr="00472631">
        <w:rPr>
          <w:sz w:val="20"/>
          <w:szCs w:val="20"/>
          <w:lang w:val="en-GB"/>
        </w:rPr>
        <w:t>.</w:t>
      </w:r>
      <w:r w:rsidR="004232D7" w:rsidRPr="00DF0492">
        <w:rPr>
          <w:sz w:val="20"/>
          <w:szCs w:val="20"/>
          <w:lang w:val="en-GB"/>
        </w:rPr>
        <w:t xml:space="preserve"> </w:t>
      </w:r>
      <w:r w:rsidR="00806CB6" w:rsidRPr="00DF0492">
        <w:rPr>
          <w:sz w:val="20"/>
          <w:szCs w:val="20"/>
          <w:lang w:val="en-GB"/>
        </w:rPr>
        <w:t>However, simulations across erosion</w:t>
      </w:r>
      <w:r w:rsidR="001E0385">
        <w:rPr>
          <w:sz w:val="20"/>
          <w:szCs w:val="20"/>
          <w:lang w:val="en-GB"/>
        </w:rPr>
        <w:t>-deposition</w:t>
      </w:r>
      <w:r w:rsidR="00806CB6" w:rsidRPr="00DF0492">
        <w:rPr>
          <w:sz w:val="20"/>
          <w:szCs w:val="20"/>
          <w:lang w:val="en-GB"/>
        </w:rPr>
        <w:t xml:space="preserve"> gradient</w:t>
      </w:r>
      <w:r w:rsidR="004232D7" w:rsidRPr="00DF0492">
        <w:rPr>
          <w:sz w:val="20"/>
          <w:szCs w:val="20"/>
          <w:lang w:val="en-GB"/>
        </w:rPr>
        <w:t xml:space="preserve"> (Table </w:t>
      </w:r>
      <w:r w:rsidR="00465BF6">
        <w:rPr>
          <w:sz w:val="20"/>
          <w:szCs w:val="20"/>
          <w:lang w:val="en-GB"/>
        </w:rPr>
        <w:t>S</w:t>
      </w:r>
      <w:r w:rsidR="004232D7" w:rsidRPr="00DF0492">
        <w:rPr>
          <w:sz w:val="20"/>
          <w:szCs w:val="20"/>
          <w:lang w:val="en-GB"/>
        </w:rPr>
        <w:t>2)</w:t>
      </w:r>
      <w:r w:rsidR="00806CB6" w:rsidRPr="00DF0492">
        <w:rPr>
          <w:sz w:val="20"/>
          <w:szCs w:val="20"/>
          <w:lang w:val="en-GB"/>
        </w:rPr>
        <w:t xml:space="preserve"> highlight a concerning trend: root biomass of recently developed wheat cultivars exhibit greater sensitivity to declining soil water levels compared to earlier cultivars. This suggests that advances in cultivar development have not significantly improved climate resilience, particularly for root biomass production. </w:t>
      </w:r>
      <w:r w:rsidR="004232D7" w:rsidRPr="00DF0492">
        <w:rPr>
          <w:sz w:val="20"/>
          <w:szCs w:val="20"/>
          <w:lang w:val="en-GB"/>
        </w:rPr>
        <w:t>With soil water levels decreasing globally</w:t>
      </w:r>
      <w:r w:rsidR="00D05235">
        <w:rPr>
          <w:sz w:val="20"/>
          <w:szCs w:val="20"/>
          <w:lang w:val="en-GB"/>
        </w:rPr>
        <w:t xml:space="preserve"> </w:t>
      </w:r>
      <w:r w:rsidR="004232D7" w:rsidRPr="00DF0492">
        <w:rPr>
          <w:sz w:val="20"/>
          <w:szCs w:val="20"/>
          <w:lang w:val="en-GB"/>
        </w:rPr>
        <w:fldChar w:fldCharType="begin" w:fldLock="1"/>
      </w:r>
      <w:r w:rsidR="00DF5C8B" w:rsidRPr="00DF0492">
        <w:rPr>
          <w:sz w:val="20"/>
          <w:szCs w:val="20"/>
          <w:lang w:val="en-GB"/>
        </w:rPr>
        <w:instrText>ADDIN CSL_CITATION {"citationItems":[{"id":"ITEM-1","itemData":{"DOI":"10.1016/j.scitotenv.2022.160982","ISSN":"18791026","PMID":"36565868","abstract":"Soil is an important component connecting atmosphere and vegetation, and is an important ‘regulator’ of slope hydrological process. Global warming accelerates the global water cycle, and Soil Moisture Content (SMC) will change, but this change is not yet clear. Here, we study the global trend of SMC at different depths over the past 70 years and the next 70 years, based on the GLDAS-NOAH025 dataset and precipitation and temperature data from 15 CMIP6 models. We found that compared with the long-term average of 70 years, the global 0-200 cm SMC is decreasing at a rate of 1.284 kg/m2 per year from 2000 to 2020, and the area showing a significant decreasing trend accounts for 31.67 % of the global. Over the past decade, 0-200 cm SMC reduction rate (2.251 kg/m2) doubled. Global warming and precipitation reduction are the main reasons for the attenuation of SMC at different depths in the global from 2000 to 2020. Under the SSP126, SSP245, SSP370 and SSP585 scenarios, the global 0-200 cm SMC will continue to decay in the future, and the area showing a significant reduction trend accounts for 22.73–49.71 % of the global, but the stratified soil and regional differences are obvious. The attenuation of SMC will further aggravate the global water cycle and enhance the variability of extreme meteorological disasters. We will face more severe soil drought problems.","author":[{"dropping-particle":"","family":"Qin","given":"Tianling","non-dropping-particle":"","parse-names":false,"suffix":""},{"dropping-particle":"","family":"Feng","given":"Jianming","non-dropping-particle":"","parse-names":false,"suffix":""},{"dropping-particle":"","family":"Zhang","given":"Xin","non-dropping-particle":"","parse-names":false,"suffix":""},{"dropping-particle":"","family":"Li","given":"Chenhao","non-dropping-particle":"","parse-names":false,"suffix":""},{"dropping-particle":"","family":"Fan","given":"Jingjing","non-dropping-particle":"","parse-names":false,"suffix":""},{"dropping-particle":"","family":"Zhang","given":"Cheng","non-dropping-particle":"","parse-names":false,"suffix":""},{"dropping-particle":"","family":"Dong","given":"Biqiong","non-dropping-particle":"","parse-names":false,"suffix":""},{"dropping-particle":"","family":"Wang","given":"Hao","non-dropping-particle":"","parse-names":false,"suffix":""},{"dropping-particle":"","family":"Yan","given":"Denghua","non-dropping-particle":"","parse-names":false,"suffix":""}],"container-title":"Science of the Total Environment","id":"ITEM-1","issue":"1","issued":{"date-parts":[["2023"]]},"page":"160982","publisher":"The Authors","title":"Continued decline of global soil moisture content, with obvious soil stratification and regional difference","type":"article-journal","volume":"864"},"uris":["http://www.mendeley.com/documents/?uuid=ee5eff28-5423-44f2-bf69-309508cc7eed"]}],"mendeley":{"formattedCitation":"(Qin et al., 2023)","plainTextFormattedCitation":"(Qin et al., 2023)","previouslyFormattedCitation":"(Qin et al., 2023)"},"properties":{"noteIndex":0},"schema":"https://github.com/citation-style-language/schema/raw/master/csl-citation.json"}</w:instrText>
      </w:r>
      <w:r w:rsidR="004232D7" w:rsidRPr="00DF0492">
        <w:rPr>
          <w:sz w:val="20"/>
          <w:szCs w:val="20"/>
          <w:lang w:val="en-GB"/>
        </w:rPr>
        <w:fldChar w:fldCharType="separate"/>
      </w:r>
      <w:r w:rsidR="00DF5C8B" w:rsidRPr="00DF0492">
        <w:rPr>
          <w:noProof/>
          <w:sz w:val="20"/>
          <w:szCs w:val="20"/>
          <w:lang w:val="en-GB"/>
        </w:rPr>
        <w:t>(Qin et al., 2023)</w:t>
      </w:r>
      <w:r w:rsidR="004232D7" w:rsidRPr="00DF0492">
        <w:rPr>
          <w:sz w:val="20"/>
          <w:szCs w:val="20"/>
          <w:lang w:val="en-GB"/>
        </w:rPr>
        <w:fldChar w:fldCharType="end"/>
      </w:r>
      <w:r w:rsidR="00806CB6" w:rsidRPr="00DF0492">
        <w:rPr>
          <w:sz w:val="20"/>
          <w:szCs w:val="20"/>
          <w:lang w:val="en-GB"/>
        </w:rPr>
        <w:t xml:space="preserve">, the capacity of modern </w:t>
      </w:r>
      <w:r w:rsidR="004232D7" w:rsidRPr="00DF0492">
        <w:rPr>
          <w:sz w:val="20"/>
          <w:szCs w:val="20"/>
          <w:lang w:val="en-GB"/>
        </w:rPr>
        <w:t xml:space="preserve">wheat </w:t>
      </w:r>
      <w:r w:rsidR="00806CB6" w:rsidRPr="00DF0492">
        <w:rPr>
          <w:sz w:val="20"/>
          <w:szCs w:val="20"/>
          <w:lang w:val="en-GB"/>
        </w:rPr>
        <w:t xml:space="preserve">cultivars to sustain </w:t>
      </w:r>
      <w:r w:rsidR="004232D7" w:rsidRPr="00DF0492">
        <w:rPr>
          <w:sz w:val="20"/>
          <w:szCs w:val="20"/>
          <w:lang w:val="en-GB"/>
        </w:rPr>
        <w:t xml:space="preserve">root </w:t>
      </w:r>
      <w:r w:rsidR="00806CB6" w:rsidRPr="00DF0492">
        <w:rPr>
          <w:sz w:val="20"/>
          <w:szCs w:val="20"/>
          <w:lang w:val="en-GB"/>
        </w:rPr>
        <w:t>carbon inputs in eroded soils appears limited</w:t>
      </w:r>
      <w:r w:rsidR="004232D7" w:rsidRPr="00DF0492">
        <w:rPr>
          <w:sz w:val="20"/>
          <w:szCs w:val="20"/>
          <w:lang w:val="en-GB"/>
        </w:rPr>
        <w:t>.</w:t>
      </w:r>
      <w:r w:rsidR="002F2BB4" w:rsidRPr="00DF0492">
        <w:rPr>
          <w:sz w:val="20"/>
          <w:szCs w:val="20"/>
          <w:lang w:val="en-GB"/>
        </w:rPr>
        <w:t xml:space="preserve"> Moreover, t</w:t>
      </w:r>
      <w:r w:rsidR="00FD72EA" w:rsidRPr="00DF0492">
        <w:rPr>
          <w:sz w:val="20"/>
          <w:szCs w:val="20"/>
          <w:lang w:val="en-GB"/>
        </w:rPr>
        <w:t>he presence of dense glacial till near surface typically acts as a limiting factor for root development</w:t>
      </w:r>
      <w:r w:rsidR="00D05235">
        <w:rPr>
          <w:sz w:val="20"/>
          <w:szCs w:val="20"/>
          <w:lang w:val="en-GB"/>
        </w:rPr>
        <w:t xml:space="preserve"> </w:t>
      </w:r>
      <w:r w:rsidR="00FD72EA" w:rsidRPr="00DF0492">
        <w:rPr>
          <w:sz w:val="20"/>
          <w:szCs w:val="20"/>
        </w:rPr>
        <w:fldChar w:fldCharType="begin" w:fldLock="1"/>
      </w:r>
      <w:r w:rsidR="00DF5C8B" w:rsidRPr="00DF0492">
        <w:rPr>
          <w:sz w:val="20"/>
          <w:szCs w:val="20"/>
          <w:lang w:val="en-GB"/>
        </w:rPr>
        <w:instrText>ADDIN CSL_CITATION {"citationItems":[{"id":"ITEM-1","itemData":{"DOI":"10.1002/jpln.200625009","ISSN":"15222624","abstract":"It is well accepted that the penetration resistance of soils is, among others factors, highly sensitive to the moisture status of the soil. This study tested the hypothesis of whether the dewatering of a soil by crops of varying dewatering capacities significantly affects the soil's penetration resistance and whether this contributes to an exceedance of the commonly accepted root-growth threshold already in the range of plant-available water. During a 22-month period between March 2002 and December 2003, the soil water content of a former lignite strip mine in E Germany was studied. The soil had been restored with Saalian glacial till. Plots contained two different crops, a 3 y-old stand of lucerne (Medicago sativa L.) and a 7 y-old stand of wild rye (Secale multicaule L.). Soil water contents under the two crops were converted on the basis of the water-retention characteristics into water tensions, allowing an investigation of the changes in the measured water content in the wider context of the water availability to the crops. During both growing seasons, the water tension under lucerne exceeded the permanent-wilting point (104.2 hPa) for up to 20 weeks between 0 and 90 cm, which is equal to a predicted penetration resistance of &gt;15 MPa. Water tensions under the wild rye rose only up to a maximum of 103 hPa for the same period, so that the predicted penetration-resistance values remained constantly &lt;5 MPa. Our findings demonstrate that the dewatering by plants during the growing seasons affects the actual strength of the soil, which can lead to the exceeding of the commonly accepted root-growth threshold. © 2007 Wiley-VCH Verlag GmbH &amp; Co. KGaA.","author":[{"dropping-particle":"","family":"Stock","given":"Oliver","non-dropping-particle":"","parse-names":false,"suffix":""},{"dropping-particle":"","family":"Bens","given":"Oliver","non-dropping-particle":"","parse-names":false,"suffix":""},{"dropping-particle":"","family":"Hüttl","given":"Reinhard F.","non-dropping-particle":"","parse-names":false,"suffix":""}],"container-title":"Journal of Plant Nutrition and Soil Science","id":"ITEM-1","issue":"6","issued":{"date-parts":[["2007"]]},"page":"713-720","title":"The interrelationship between the cultivation of crops and soil-strength dynamics","type":"article-journal","volume":"170"},"uris":["http://www.mendeley.com/documents/?uuid=f6aa4cc1-e23b-4a01-8ef5-02f15fc31950"]}],"mendeley":{"formattedCitation":"(Stock et al., 2007)","plainTextFormattedCitation":"(Stock et al., 2007)","previouslyFormattedCitation":"(Stock et al., 2007)"},"properties":{"noteIndex":0},"schema":"https://github.com/citation-style-language/schema/raw/master/csl-citation.json"}</w:instrText>
      </w:r>
      <w:r w:rsidR="00FD72EA" w:rsidRPr="00DF0492">
        <w:rPr>
          <w:sz w:val="20"/>
          <w:szCs w:val="20"/>
          <w:lang w:val="en-GB"/>
        </w:rPr>
        <w:fldChar w:fldCharType="separate"/>
      </w:r>
      <w:r w:rsidR="00DF5C8B" w:rsidRPr="00DF0492">
        <w:rPr>
          <w:noProof/>
          <w:sz w:val="20"/>
          <w:szCs w:val="20"/>
          <w:lang w:val="en-GB"/>
        </w:rPr>
        <w:t>(Stock et al., 2007)</w:t>
      </w:r>
      <w:r w:rsidR="00FD72EA" w:rsidRPr="00DF0492">
        <w:rPr>
          <w:sz w:val="20"/>
          <w:szCs w:val="20"/>
          <w:lang w:val="en-GB"/>
        </w:rPr>
        <w:fldChar w:fldCharType="end"/>
      </w:r>
      <w:r w:rsidR="00FD72EA" w:rsidRPr="00DF0492">
        <w:rPr>
          <w:sz w:val="20"/>
          <w:szCs w:val="20"/>
          <w:lang w:val="en-GB"/>
        </w:rPr>
        <w:t xml:space="preserve">, leading to reduced root </w:t>
      </w:r>
      <w:r w:rsidR="001E0385">
        <w:rPr>
          <w:sz w:val="20"/>
          <w:szCs w:val="20"/>
          <w:lang w:val="en-GB"/>
        </w:rPr>
        <w:t>subsoil penetration</w:t>
      </w:r>
      <w:r w:rsidR="00FD72EA" w:rsidRPr="00DF0492">
        <w:rPr>
          <w:sz w:val="20"/>
          <w:szCs w:val="20"/>
          <w:lang w:val="en-GB"/>
        </w:rPr>
        <w:t xml:space="preserve"> in the highly eroded soil</w:t>
      </w:r>
      <w:r w:rsidR="002F2BB4" w:rsidRPr="00DF0492">
        <w:rPr>
          <w:sz w:val="20"/>
          <w:szCs w:val="20"/>
          <w:lang w:val="en-GB"/>
        </w:rPr>
        <w:t xml:space="preserve"> (Fig. </w:t>
      </w:r>
      <w:r w:rsidR="001E0385">
        <w:rPr>
          <w:sz w:val="20"/>
          <w:szCs w:val="20"/>
          <w:lang w:val="en-GB"/>
        </w:rPr>
        <w:t>3</w:t>
      </w:r>
      <w:r w:rsidR="002F2BB4" w:rsidRPr="00DF0492">
        <w:rPr>
          <w:sz w:val="20"/>
          <w:szCs w:val="20"/>
          <w:lang w:val="en-GB"/>
        </w:rPr>
        <w:t xml:space="preserve">, </w:t>
      </w:r>
      <w:proofErr w:type="spellStart"/>
      <w:r w:rsidR="002F2BB4" w:rsidRPr="00DF0492">
        <w:rPr>
          <w:sz w:val="20"/>
          <w:szCs w:val="20"/>
          <w:lang w:val="en-GB"/>
        </w:rPr>
        <w:t>Rg</w:t>
      </w:r>
      <w:proofErr w:type="spellEnd"/>
      <w:r w:rsidR="002F2BB4" w:rsidRPr="00DF0492">
        <w:rPr>
          <w:sz w:val="20"/>
          <w:szCs w:val="20"/>
          <w:lang w:val="en-GB"/>
        </w:rPr>
        <w:t>-ca)</w:t>
      </w:r>
      <w:r w:rsidR="00FD72EA" w:rsidRPr="00DF0492">
        <w:rPr>
          <w:sz w:val="20"/>
          <w:szCs w:val="20"/>
          <w:lang w:val="en-GB"/>
        </w:rPr>
        <w:t xml:space="preserve">. </w:t>
      </w:r>
      <w:r w:rsidR="00FD72EA" w:rsidRPr="00956871">
        <w:rPr>
          <w:color w:val="FF0000"/>
          <w:sz w:val="20"/>
          <w:szCs w:val="20"/>
          <w:lang w:val="en-GB"/>
        </w:rPr>
        <w:t xml:space="preserve">This soil displays a shallow C horizon with high soil density (Table </w:t>
      </w:r>
      <w:r w:rsidR="00465BF6" w:rsidRPr="00956871">
        <w:rPr>
          <w:color w:val="FF0000"/>
          <w:sz w:val="20"/>
          <w:szCs w:val="20"/>
          <w:lang w:val="en-GB"/>
        </w:rPr>
        <w:t>S</w:t>
      </w:r>
      <w:r w:rsidR="00FD72EA" w:rsidRPr="00956871">
        <w:rPr>
          <w:color w:val="FF0000"/>
          <w:sz w:val="20"/>
          <w:szCs w:val="20"/>
          <w:lang w:val="en-GB"/>
        </w:rPr>
        <w:t>1)</w:t>
      </w:r>
      <w:r w:rsidR="00B10A2A" w:rsidRPr="00956871">
        <w:rPr>
          <w:color w:val="FF0000"/>
          <w:sz w:val="20"/>
          <w:szCs w:val="20"/>
          <w:lang w:val="en-GB"/>
        </w:rPr>
        <w:t xml:space="preserve"> that restricts root penetration and increase root diameter (Fig. 5a)</w:t>
      </w:r>
      <w:r w:rsidR="000776C6" w:rsidRPr="00956871">
        <w:rPr>
          <w:color w:val="FF0000"/>
          <w:sz w:val="20"/>
          <w:szCs w:val="20"/>
          <w:lang w:val="en-GB"/>
        </w:rPr>
        <w:t xml:space="preserve"> in </w:t>
      </w:r>
      <w:proofErr w:type="spellStart"/>
      <w:r w:rsidR="000776C6" w:rsidRPr="00956871">
        <w:rPr>
          <w:color w:val="FF0000"/>
          <w:sz w:val="20"/>
          <w:szCs w:val="20"/>
          <w:lang w:val="en-GB"/>
        </w:rPr>
        <w:t>Rg</w:t>
      </w:r>
      <w:proofErr w:type="spellEnd"/>
      <w:r w:rsidR="000776C6" w:rsidRPr="00956871">
        <w:rPr>
          <w:color w:val="FF0000"/>
          <w:sz w:val="20"/>
          <w:szCs w:val="20"/>
          <w:lang w:val="en-GB"/>
        </w:rPr>
        <w:t>-ca</w:t>
      </w:r>
      <w:r w:rsidR="00B10A2A" w:rsidRPr="00956871">
        <w:rPr>
          <w:color w:val="FF0000"/>
          <w:sz w:val="20"/>
          <w:szCs w:val="20"/>
          <w:lang w:val="en-GB"/>
        </w:rPr>
        <w:t>, in agreement with previous observations</w:t>
      </w:r>
      <w:r w:rsidR="00FD72EA" w:rsidRPr="00956871">
        <w:rPr>
          <w:color w:val="FF0000"/>
          <w:sz w:val="20"/>
          <w:szCs w:val="20"/>
          <w:lang w:val="en-GB"/>
        </w:rPr>
        <w:t xml:space="preserve"> </w:t>
      </w:r>
      <w:r w:rsidR="00B10A2A" w:rsidRPr="00956871">
        <w:rPr>
          <w:color w:val="FF0000"/>
          <w:sz w:val="20"/>
          <w:szCs w:val="20"/>
          <w:lang w:val="en-GB"/>
        </w:rPr>
        <w:fldChar w:fldCharType="begin" w:fldLock="1"/>
      </w:r>
      <w:r w:rsidR="007E5503" w:rsidRPr="00956871">
        <w:rPr>
          <w:color w:val="FF0000"/>
          <w:sz w:val="20"/>
          <w:szCs w:val="20"/>
          <w:lang w:val="en-GB"/>
        </w:rPr>
        <w:instrText>ADDIN CSL_CITATION {"citationItems":[{"id":"ITEM-1","itemData":{"DOI":"10.1093/aob/mcw057","ISSN":"10958290","abstract":"Background and Aims Root soil penetration and path optimization are fundamental for root development in soil. We describe the influence of soil strength on root elongation rate and diameter, response to gravity, and root-structure tortuosity, estimated by average curvature of primary maize roots. Methods Soils with different densities (15, 16, 17 g cm3), particle sizes (sandy loam; coarse sand mixed with sandy loam) and layering (monolayer, bilayer) were used. In total, five treatments were performed: Mix_low with mixed sand low density (three pots, 12 plants), Mix_medium - mixed sand medium density (three pots, 12 plants), Mix_high - mixed sand high density (three pots, ten plants), Loam_low sandy loam soil low density (four pots, 16 plants), and Bilayer with top layer of sandy loam and bottom layer mixed sand both of low density (four pots, 16 plants). We used non-invasive three-dimensional magnetic resonance imaging to quantify effects of these treatments. Key Results Roots grew more slowly [root growth rate (mm h-1); decreased 50 %] with increased diameters [root diameter (mm); increased 15 %] in denser soils (17 vs. 15 g cm-3). Root response to gravity decreased 23 % with increased soil compaction, and tortuosity increased 10 % in mixed sand. Response to gravity increased 39 % and tortuosity decreased 3 % in sandy loam. After crossing a bilayered-soil interface, roots grew more slowly, similar to roots grown in soil with a bulk density of 164 g cm-3, whereas the actual experimental density was 1486002 g cm-3. Elongation rate and tortuosity were higher in Mix_low than in Loam_low. Conclusions The present study increases our existing knowledge of the influence of physical soil properties on root growth and presents new assays for studying root growth dynamics in non-transparent media. We found that root tortuosity is indicative of root path selection, because it could result from both mechanical deflection and active root growth in response to touch stimulation and mechanical impedance.","author":[{"dropping-particle":"","family":"Popova","given":"Liyana","non-dropping-particle":"","parse-names":false,"suffix":""},{"dropping-particle":"","family":"Dusschoten","given":"Dagmar","non-dropping-particle":"Van","parse-names":false,"suffix":""},{"dropping-particle":"","family":"Nagel","given":"Kerstin A.","non-dropping-particle":"","parse-names":false,"suffix":""},{"dropping-particle":"","family":"Fiorani","given":"Fabio","non-dropping-particle":"","parse-names":false,"suffix":""},{"dropping-particle":"","family":"Mazzolai","given":"Barbara","non-dropping-particle":"","parse-names":false,"suffix":""}],"container-title":"Annals of Botany","id":"ITEM-1","issue":"4","issued":{"date-parts":[["2016"]]},"page":"685-698","title":"Plant root tortuosity: An indicator of root path formation in soil with different composition and density","type":"article-journal","volume":"118"},"uris":["http://www.mendeley.com/documents/?uuid=f1a2efc1-1025-459b-bd3f-fe8f12405591"]}],"mendeley":{"formattedCitation":"(Popova et al., 2016)","plainTextFormattedCitation":"(Popova et al., 2016)","previouslyFormattedCitation":"(Popova et al., 2016)"},"properties":{"noteIndex":0},"schema":"https://github.com/citation-style-language/schema/raw/master/csl-citation.json"}</w:instrText>
      </w:r>
      <w:r w:rsidR="00B10A2A" w:rsidRPr="00956871">
        <w:rPr>
          <w:color w:val="FF0000"/>
          <w:sz w:val="20"/>
          <w:szCs w:val="20"/>
          <w:lang w:val="en-GB"/>
        </w:rPr>
        <w:fldChar w:fldCharType="separate"/>
      </w:r>
      <w:r w:rsidR="00B10A2A" w:rsidRPr="00956871">
        <w:rPr>
          <w:noProof/>
          <w:color w:val="FF0000"/>
          <w:sz w:val="20"/>
          <w:szCs w:val="20"/>
          <w:lang w:val="en-GB"/>
        </w:rPr>
        <w:t>(Popova et al., 2016)</w:t>
      </w:r>
      <w:r w:rsidR="00B10A2A" w:rsidRPr="00956871">
        <w:rPr>
          <w:color w:val="FF0000"/>
          <w:sz w:val="20"/>
          <w:szCs w:val="20"/>
          <w:lang w:val="en-GB"/>
        </w:rPr>
        <w:fldChar w:fldCharType="end"/>
      </w:r>
      <w:r w:rsidR="00B10A2A" w:rsidRPr="00956871">
        <w:rPr>
          <w:color w:val="FF0000"/>
          <w:sz w:val="20"/>
          <w:szCs w:val="20"/>
          <w:lang w:val="en-GB"/>
        </w:rPr>
        <w:t>.</w:t>
      </w:r>
      <w:r w:rsidR="000776C6" w:rsidRPr="00956871">
        <w:rPr>
          <w:color w:val="FF0000"/>
          <w:sz w:val="20"/>
          <w:szCs w:val="20"/>
          <w:lang w:val="en-GB"/>
        </w:rPr>
        <w:t xml:space="preserve"> Root depth is also reduced in Rg-co.gl; however, this is likely due </w:t>
      </w:r>
      <w:r w:rsidR="006A42CC" w:rsidRPr="00956871">
        <w:rPr>
          <w:color w:val="FF0000"/>
          <w:sz w:val="20"/>
          <w:szCs w:val="20"/>
          <w:lang w:val="en-GB"/>
        </w:rPr>
        <w:t xml:space="preserve">to </w:t>
      </w:r>
      <w:r w:rsidR="00302113" w:rsidRPr="00956871">
        <w:rPr>
          <w:color w:val="FF0000"/>
          <w:sz w:val="20"/>
          <w:szCs w:val="20"/>
          <w:lang w:val="en-GB"/>
        </w:rPr>
        <w:t>standing groundwater</w:t>
      </w:r>
      <w:r w:rsidR="006A42CC" w:rsidRPr="00956871">
        <w:rPr>
          <w:color w:val="FF0000"/>
          <w:sz w:val="20"/>
          <w:szCs w:val="20"/>
          <w:lang w:val="en-GB"/>
        </w:rPr>
        <w:t xml:space="preserve"> below 1m, hence O</w:t>
      </w:r>
      <w:r w:rsidR="006A42CC" w:rsidRPr="00956871">
        <w:rPr>
          <w:color w:val="FF0000"/>
          <w:sz w:val="20"/>
          <w:szCs w:val="20"/>
          <w:vertAlign w:val="subscript"/>
          <w:lang w:val="en-GB"/>
        </w:rPr>
        <w:t>2</w:t>
      </w:r>
      <w:r w:rsidR="006A42CC" w:rsidRPr="00956871">
        <w:rPr>
          <w:color w:val="FF0000"/>
          <w:sz w:val="20"/>
          <w:szCs w:val="20"/>
          <w:lang w:val="en-GB"/>
        </w:rPr>
        <w:t xml:space="preserve"> deficiency for crop roots</w:t>
      </w:r>
      <w:r w:rsidR="000776C6" w:rsidRPr="00956871">
        <w:rPr>
          <w:color w:val="FF0000"/>
          <w:sz w:val="20"/>
          <w:szCs w:val="20"/>
          <w:lang w:val="en-GB"/>
        </w:rPr>
        <w:t>.</w:t>
      </w:r>
      <w:r w:rsidR="003B4450" w:rsidRPr="00956871">
        <w:rPr>
          <w:color w:val="FF0000"/>
          <w:sz w:val="20"/>
          <w:szCs w:val="20"/>
          <w:lang w:val="en-GB"/>
        </w:rPr>
        <w:t xml:space="preserve"> Although N is recognized as a critical factor in improving global wheat yields under climate change </w:t>
      </w:r>
      <w:r w:rsidR="003B4450" w:rsidRPr="00956871">
        <w:rPr>
          <w:color w:val="FF0000"/>
          <w:sz w:val="20"/>
          <w:szCs w:val="20"/>
        </w:rPr>
        <w:fldChar w:fldCharType="begin" w:fldLock="1"/>
      </w:r>
      <w:r w:rsidR="003B4450" w:rsidRPr="00956871">
        <w:rPr>
          <w:color w:val="FF0000"/>
          <w:sz w:val="20"/>
          <w:szCs w:val="20"/>
          <w:lang w:val="en-GB"/>
        </w:rPr>
        <w:instrText>ADDIN CSL_CITATION {"citationItems":[{"id":"ITEM-1","itemData":{"DOI":"10.1038/s41477-024-01739-3","ISSN":"20550278","abstract":"Increasing global food demand will require more food production1 without further exceeding the planetary boundaries2 while simultaneously adapting to climate change3. We used an ensemble of wheat simulation models with improved sink and source traits from the highest-yielding wheat genotypes4 to quantify potential yield gains and associated nitrogen requirements. This was explored for current and climate change scenarios across representative sites of major world wheat producing regions. The improved sink and source traits increased yield by 16% with current nitrogen fertilizer applications under both current climate and mid-century climate change scenarios. To achieve the full yield potential—a 52% increase in global average yield under a mid-century high warming climate scenario (RCP8.5), fertilizer use would need to increase fourfold over current use, which would unavoidably lead to higher environmental impacts from wheat production. Our results show the need to improve soil nitrogen availability and nitrogen use efficiency, along with yield potential.","author":[{"dropping-particle":"","family":"Martre","given":"Pierre","non-dropping-particle":"","parse-names":false,"suffix":""},{"dropping-particle":"","family":"Dueri","given":"Sibylle","non-dropping-particle":"","parse-names":false,"suffix":""},{"dropping-particle":"","family":"Guarin","given":"Jose Rafael","non-dropping-particle":"","parse-names":false,"suffix":""},{"dropping-particle":"","family":"Ewert","given":"Frank","non-dropping-particle":"","parse-names":false,"suffix":""},{"dropping-particle":"","family":"Webber","given":"Heidi","non-dropping-particle":"","parse-names":false,"suffix":""},{"dropping-particle":"","family":"Calderini","given":"Daniel","non-dropping-particle":"","parse-names":false,"suffix":""},{"dropping-particle":"","family":"Molero","given":"Gemma","non-dropping-particle":"","parse-names":false,"suffix":""},{"dropping-particle":"","family":"Reynolds","given":"Matthew","non-dropping-particle":"","parse-names":false,"suffix":""},{"dropping-particle":"","family":"Miralles","given":"Daniel","non-dropping-particle":"","parse-names":false,"suffix":""},{"dropping-particle":"","family":"Garcia","given":"Guillermo","non-dropping-particle":"","parse-names":false,"suffix":""},{"dropping-particle":"","family":"Brown","given":"Hamish","non-dropping-particle":"","parse-names":false,"suffix":""},{"dropping-particle":"","family":"George","given":"Mike","non-dropping-particle":"","parse-names":false,"suffix":""},{"dropping-particle":"","family":"Craigie","given":"Rob","non-dropping-particle":"","parse-names":false,"suffix":""},{"dropping-particle":"","family":"Cohan","given":"Jean Pierre","non-dropping-particle":"","parse-names":false,"suffix":""},{"dropping-particle":"","family":"Deswarte","given":"Jean Charles","non-dropping-particle":"","parse-names":false,"suffix":""},{"dropping-particle":"","family":"Slafer","given":"Gustavo","non-dropping-particle":"","parse-names":false,"suffix":""},{"dropping-particle":"","family":"Giunta","given":"Francesco","non-dropping-particle":"","parse-names":false,"suffix":""},{"dropping-particle":"","family":"Cammarano","given":"Davide","non-dropping-particle":"","parse-names":false,"suffix":""},{"dropping-particle":"","family":"Ferrise","given":"Roberto","non-dropping-particle":"","parse-names":false,"suffix":""},{"dropping-particle":"","family":"Gaiser","given":"Thomas","non-dropping-particle":"","parse-names":false,"suffix":""},{"dropping-particle":"","family":"Gao","given":"Yujing","non-dropping-particle":"","parse-names":false,"suffix":""},{"dropping-particle":"","family":"Hochman","given":"Zvi","non-dropping-particle":"","parse-names":false,"suffix":""},{"dropping-particle":"","family":"Hoogenboom","given":"Gerrit","non-dropping-particle":"","parse-names":false,"suffix":""},{"dropping-particle":"","family":"Hunt","given":"Leslie A.","non-dropping-particle":"","parse-names":false,"suffix":""},{"dropping-particle":"","family":"Kersebaum","given":"Kurt C.","non-dropping-particle":"","parse-names":false,"suffix":""},{"dropping-particle":"","family":"Nendel","given":"Claas","non-dropping-particle":"","parse-names":false,"suffix":""},{"dropping-particle":"","family":"Padovan","given":"Gloria","non-dropping-particle":"","parse-names":false,"suffix":""},{"dropping-particle":"","family":"Ruane","given":"Alex C.","non-dropping-particle":"","parse-names":false,"suffix":""},{"dropping-particle":"","family":"Srivastava","given":"Amit Kumar","non-dropping-particle":"","parse-names":false,"suffix":""},{"dropping-particle":"","family":"Stella","given":"Tommaso","non-dropping-particle":"","parse-names":false,"suffix":""},{"dropping-particle":"","family":"Supit","given":"Iwan","non-dropping-particle":"","parse-names":false,"suffix":""},{"dropping-particle":"","family":"Thorburn","given":"Peter","non-dropping-particle":"","parse-names":false,"suffix":""},{"dropping-particle":"","family":"Wang","given":"Enli","non-dropping-particle":"","parse-names":false,"suffix":""},{"dropping-particle":"","family":"Wolf","given":"Joost","non-dropping-particle":"","parse-names":false,"suffix":""},{"dropping-particle":"","family":"Zhao","given":"Chuang","non-dropping-particle":"","parse-names":false,"suffix":""},{"dropping-particle":"","family":"Zhao","given":"Zhigan","non-dropping-particle":"","parse-names":false,"suffix":""},{"dropping-particle":"","family":"Asseng","given":"Senthold","non-dropping-particle":"","parse-names":false,"suffix":""}],"container-title":"Nature Plants","id":"ITEM-1","issue":"7","issued":{"date-parts":[["2024"]]},"page":"1081-1090","publisher":"Springer US","title":"Global needs for nitrogen fertilizer to improve wheat yield under climate change","type":"article-journal","volume":"10"},"uris":["http://www.mendeley.com/documents/?uuid=b108b834-6271-4df2-97fc-3bbd65072115"]}],"mendeley":{"formattedCitation":"(Martre et al., 2024)","plainTextFormattedCitation":"(Martre et al., 2024)","previouslyFormattedCitation":"(Martre et al., 2024)"},"properties":{"noteIndex":0},"schema":"https://github.com/citation-style-language/schema/raw/master/csl-citation.json"}</w:instrText>
      </w:r>
      <w:r w:rsidR="003B4450" w:rsidRPr="00956871">
        <w:rPr>
          <w:color w:val="FF0000"/>
          <w:sz w:val="20"/>
          <w:szCs w:val="20"/>
          <w:lang w:val="en-GB"/>
        </w:rPr>
        <w:fldChar w:fldCharType="separate"/>
      </w:r>
      <w:r w:rsidR="003B4450" w:rsidRPr="00956871">
        <w:rPr>
          <w:noProof/>
          <w:color w:val="FF0000"/>
          <w:sz w:val="20"/>
          <w:szCs w:val="20"/>
          <w:lang w:val="en-GB"/>
        </w:rPr>
        <w:t>(Martre et al., 2024)</w:t>
      </w:r>
      <w:r w:rsidR="003B4450" w:rsidRPr="00956871">
        <w:rPr>
          <w:color w:val="FF0000"/>
          <w:sz w:val="20"/>
          <w:szCs w:val="20"/>
          <w:lang w:val="en-GB"/>
        </w:rPr>
        <w:fldChar w:fldCharType="end"/>
      </w:r>
      <w:r w:rsidR="003B4450" w:rsidRPr="00956871">
        <w:rPr>
          <w:color w:val="FF0000"/>
          <w:sz w:val="20"/>
          <w:szCs w:val="20"/>
          <w:lang w:val="en-GB"/>
        </w:rPr>
        <w:t>, our results did not reveal a clear relationship between root traits and N (Fig. 5a</w:t>
      </w:r>
      <w:r w:rsidR="003B4450" w:rsidRPr="00352AF5">
        <w:rPr>
          <w:sz w:val="20"/>
          <w:szCs w:val="20"/>
          <w:lang w:val="en-GB"/>
        </w:rPr>
        <w:t xml:space="preserve">). The relationship between roots and N remains a significant knowledge gap </w:t>
      </w:r>
      <w:r w:rsidR="003B4450" w:rsidRPr="00352AF5">
        <w:rPr>
          <w:sz w:val="20"/>
          <w:szCs w:val="20"/>
        </w:rPr>
        <w:fldChar w:fldCharType="begin" w:fldLock="1"/>
      </w:r>
      <w:r w:rsidR="003B4450" w:rsidRPr="00352AF5">
        <w:rPr>
          <w:sz w:val="20"/>
          <w:szCs w:val="20"/>
          <w:lang w:val="en-GB"/>
        </w:rPr>
        <w:instrText>ADDIN CSL_CITATION {"citationItems":[{"id":"ITEM-1","itemData":{"DOI":"10.1007/s11104-024-06839-9","ISBN":"1110402406","ISSN":"15735036","abstract":"Background and aims: While nitrogen (N) derived from soil organic matter significantly sustains agricultural plants, the complexities of organic N utilization pathways remain poorly understood. Knowledge gaps persist regarding diverse organic N pools, the microbial processes in N mineralization, and how plants shape the N-mineralizing microbial community through root exudation. Results: To address these gaps, we propose an integrated conceptual framework that explores the intricate interplay of soil, plant, and microbiome dynamics within the context of soil carbon (C) cycling. Emphasizing plant effects on gross depolymerization and deamination of organic N—a crucial yet often overlooked aspect—we aim to enhance our understanding of plant N utilization pathways. In this context, we suggest considering the linkages between root and hyphal exudation, followed by rhizosphere priming effects which in turn control N mobilization. Based on the relation between exudation and N turnover, we identify microbial necromass as a potentially important organic N source for plants. Furthermore, we propose applying root economic theory to gain insights into the diverse strategies employed by plants in accessing soil organic N. Stable isotope tracers and functional microbiome analytics provide tools to decipher the complex network of the pathways of organic N utilization. Conclusions: The envisioned holistic framework for organic N utilization pathways, intricately connects plants, soil, and microorganisms. This lays the groundwork for sustainable agricultural practices, potentially reducing N losses.","author":[{"dropping-particle":"","family":"Holz","given":"Maire","non-dropping-particle":"","parse-names":false,"suffix":""},{"dropping-particle":"","family":"Lewin","given":"Simon","non-dropping-particle":"","parse-names":false,"suffix":""},{"dropping-particle":"","family":"Kolb","given":"Steffen","non-dropping-particle":"","parse-names":false,"suffix":""},{"dropping-particle":"","family":"Becker","given":"Joscha N.","non-dropping-particle":"","parse-names":false,"suffix":""},{"dropping-particle":"","family":"Bergmann","given":"Joana","non-dropping-particle":"","parse-names":false,"suffix":""}],"container-title":"Plant and Soil","id":"ITEM-1","issue":"0123456789","issued":{"date-parts":[["2024"]]},"publisher":"Springer International Publishing","title":"How to get to the N – a call for interdisciplinary research on organic N utilization pathways by plants","type":"article-journal"},"uris":["http://www.mendeley.com/documents/?uuid=5f1d6887-58dc-4e7a-bb6f-06372ee8ff8f"]}],"mendeley":{"formattedCitation":"(Holz et al., 2024)","plainTextFormattedCitation":"(Holz et al., 2024)","previouslyFormattedCitation":"(Holz et al., 2024)"},"properties":{"noteIndex":0},"schema":"https://github.com/citation-style-language/schema/raw/master/csl-citation.json"}</w:instrText>
      </w:r>
      <w:r w:rsidR="003B4450" w:rsidRPr="00352AF5">
        <w:rPr>
          <w:sz w:val="20"/>
          <w:szCs w:val="20"/>
          <w:lang w:val="en-GB"/>
        </w:rPr>
        <w:fldChar w:fldCharType="separate"/>
      </w:r>
      <w:r w:rsidR="003B4450" w:rsidRPr="00352AF5">
        <w:rPr>
          <w:noProof/>
          <w:sz w:val="20"/>
          <w:szCs w:val="20"/>
          <w:lang w:val="en-GB"/>
        </w:rPr>
        <w:t>(Holz et al., 2024)</w:t>
      </w:r>
      <w:r w:rsidR="003B4450" w:rsidRPr="00352AF5">
        <w:rPr>
          <w:sz w:val="20"/>
          <w:szCs w:val="20"/>
          <w:lang w:val="en-GB"/>
        </w:rPr>
        <w:fldChar w:fldCharType="end"/>
      </w:r>
      <w:r w:rsidR="003B4450" w:rsidRPr="00352AF5">
        <w:rPr>
          <w:sz w:val="20"/>
          <w:szCs w:val="20"/>
          <w:lang w:val="en-GB"/>
        </w:rPr>
        <w:t>, requiring further experimental research to better understand the impact of N fertilization on root biomass production in different soil erosional status</w:t>
      </w:r>
      <w:r w:rsidR="003B6087" w:rsidRPr="00352AF5">
        <w:rPr>
          <w:sz w:val="20"/>
          <w:szCs w:val="20"/>
          <w:lang w:val="en-GB"/>
        </w:rPr>
        <w:t>.</w:t>
      </w:r>
    </w:p>
    <w:p w14:paraId="0BED315F" w14:textId="041CF59D" w:rsidR="00D044BB" w:rsidRPr="00DF0492" w:rsidRDefault="00FD72EA" w:rsidP="00DF0492">
      <w:pPr>
        <w:pStyle w:val="StandardWeb"/>
        <w:spacing w:beforeAutospacing="0" w:afterAutospacing="0" w:line="360" w:lineRule="auto"/>
        <w:ind w:firstLine="708"/>
        <w:jc w:val="both"/>
        <w:rPr>
          <w:sz w:val="20"/>
          <w:szCs w:val="20"/>
          <w:lang w:val="en-GB"/>
        </w:rPr>
      </w:pPr>
      <w:r w:rsidRPr="00DF0492">
        <w:rPr>
          <w:sz w:val="20"/>
          <w:szCs w:val="20"/>
          <w:lang w:val="en-GB"/>
        </w:rPr>
        <w:t>Higher soil densities slow root elongation rate</w:t>
      </w:r>
      <w:r w:rsidR="00A905C5" w:rsidRPr="00DF0492">
        <w:rPr>
          <w:sz w:val="20"/>
          <w:szCs w:val="20"/>
          <w:lang w:val="en-GB"/>
        </w:rPr>
        <w:t xml:space="preserve"> and consequently root biomass rate (Fig</w:t>
      </w:r>
      <w:r w:rsidR="00536F39">
        <w:rPr>
          <w:sz w:val="20"/>
          <w:szCs w:val="20"/>
          <w:lang w:val="en-GB"/>
        </w:rPr>
        <w:t>ure S3</w:t>
      </w:r>
      <w:r w:rsidR="00A905C5" w:rsidRPr="00DF0492">
        <w:rPr>
          <w:sz w:val="20"/>
          <w:szCs w:val="20"/>
          <w:lang w:val="en-GB"/>
        </w:rPr>
        <w:t>)</w:t>
      </w:r>
      <w:r w:rsidRPr="00DF0492">
        <w:rPr>
          <w:sz w:val="20"/>
          <w:szCs w:val="20"/>
          <w:lang w:val="en-GB"/>
        </w:rPr>
        <w:t>, requiring more time for roots to penetrate deeper layers</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{"citationItems":[{"id":"ITEM-1","itemData":{"DOI":"10.1016/j.still.2019.104293","ISSN":"01671987","abstract":"Soil compaction caused by vehicular traffic adversely affects key soil functions and ecosystem services that soils provide. Although compaction is a well-recognized problem, it remains challenging to quantify the economic and ecological costs of compaction. The mechanization in agriculture has resulted in a steady increase in weight of farm vehicles. It is reasonable to assume that this has exacerbated soil compaction, but there is little quantitative knowledge on the development of compaction levels in arable soils. To quantify these trends, we use historical records of harvester and tractor weights to simulate how the weight increase has changed soil stresses and bulk density of arable soil, and to predict impacts on the mechanical resistance for root growth and on soil hydraulic properties. Our simulations show a clear increase in soil stress levels with higher bulk density and mechanical penetration resistance, and a decrease in soil hydraulic conductivity in agreement with available data. We show that increased mechanical resistance has resulted in decreased root elongation rates and consequently prolonged the time required for roots to reach a certain soil depth. The historical changes of compaction levels and associated limitations on root elongation rates coincide with a stagnation in crop yields in the 1990s observed for cereals in many countries. Our calculations illustrate that the historical increase in compaction levels has drastically decreased saturated hydraulic conductivity and water storage capacity of subsoils. We speculate that this has contributed to the increase in the incidence and severity of flood events during recent decades in Europe. Finally, we take Sweden as an example and estimate annual compaction costs due to agricultural productivity loss and flooding damage of several hundred M€ yr−1 for Sweden. Considering the continuation of upwards trends in the average weight of farm machinery and the projected increase in extreme weather events, the costs of soil compaction are likely to escalate. The study highlights that we have likely exceeded the acceptable loads, and that future agricultural operations must consider the inherent mechanical limit of soil.","author":[{"dropping-particle":"","family":"Keller","given":"Thomas","non-dropping-particle":"","parse-names":false,"suffix":""},{"dropping-particle":"","family":"Sandin","given":"Maria","non-dropping-particle":"","parse-names":false,"suffix":""},{"dropping-particle":"","family":"Colombi","given":"Tino","non-dropping-particle":"","parse-names":false,"suffix":""},{"dropping-particle":"","family":"Horn","given":"Rainer","non-dropping-particle":"","parse-names":false,"suffix":""},{"dropping-particle":"","family":"Or","given":"Dani","non-dropping-particle":"","parse-names":false,"suffix":""}],"container-title":"Soil and Tillage Research","id":"ITEM-1","issue":"January","issued":{"date-parts":[["2019"]]},"page":"104293","publisher":"Elsevier","title":"Historical increase in agricultural machinery weights enhanced soil stress levels and adversely affected soil functioning","type":"article-journal","volume":"194"},"uris":["http://www.mendeley.com/documents/?uuid=8b3208af-3110-4f15-8608-ad2cf2be6a77"]}],"mendeley":{"formattedCitation":"(Keller et al., 2019)","plainTextFormattedCitation":"(Keller et al., 2019)","previouslyFormattedCitation":"(Keller et al., 2019)"},"properties":{"noteIndex":0},"schema":"https://github.com/citation-style-language/schema/raw/master/csl-citation.json"}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(Keller et al., 2019)</w:t>
      </w:r>
      <w:r w:rsidRPr="00DF0492">
        <w:rPr>
          <w:sz w:val="20"/>
          <w:szCs w:val="20"/>
          <w:lang w:val="en-GB"/>
        </w:rPr>
        <w:fldChar w:fldCharType="end"/>
      </w:r>
      <w:r w:rsidRPr="00DF0492">
        <w:rPr>
          <w:sz w:val="20"/>
          <w:szCs w:val="20"/>
          <w:lang w:val="en-GB"/>
        </w:rPr>
        <w:t xml:space="preserve">. In both </w:t>
      </w:r>
      <w:proofErr w:type="spellStart"/>
      <w:r w:rsidRPr="00DF0492">
        <w:rPr>
          <w:sz w:val="20"/>
          <w:szCs w:val="20"/>
          <w:lang w:val="en-GB"/>
        </w:rPr>
        <w:t>Luvisols</w:t>
      </w:r>
      <w:proofErr w:type="spellEnd"/>
      <w:r w:rsidRPr="00DF0492">
        <w:rPr>
          <w:sz w:val="20"/>
          <w:szCs w:val="20"/>
          <w:lang w:val="en-GB"/>
        </w:rPr>
        <w:t xml:space="preserve">, the root system reaches maximum depth around the BBCH 29 growth stage (Fig. </w:t>
      </w:r>
      <w:r w:rsidR="002A0F15">
        <w:rPr>
          <w:sz w:val="20"/>
          <w:szCs w:val="20"/>
          <w:lang w:val="en-GB"/>
        </w:rPr>
        <w:t>3</w:t>
      </w:r>
      <w:r w:rsidRPr="00DF0492">
        <w:rPr>
          <w:sz w:val="20"/>
          <w:szCs w:val="20"/>
          <w:lang w:val="en-GB"/>
        </w:rPr>
        <w:t xml:space="preserve">), whereas, in </w:t>
      </w:r>
      <w:proofErr w:type="spellStart"/>
      <w:r w:rsidRPr="00DF0492">
        <w:rPr>
          <w:sz w:val="20"/>
          <w:szCs w:val="20"/>
          <w:lang w:val="en-GB"/>
        </w:rPr>
        <w:t>Regosols</w:t>
      </w:r>
      <w:proofErr w:type="spellEnd"/>
      <w:r w:rsidRPr="00DF0492">
        <w:rPr>
          <w:sz w:val="20"/>
          <w:szCs w:val="20"/>
          <w:lang w:val="en-GB"/>
        </w:rPr>
        <w:t xml:space="preserve">, root penetration continues up to the BBCH 37 and 69 stages in the more eroded and depositional soils, respectively (Fig. </w:t>
      </w:r>
      <w:r w:rsidR="002A0F15">
        <w:rPr>
          <w:sz w:val="20"/>
          <w:szCs w:val="20"/>
          <w:lang w:val="en-GB"/>
        </w:rPr>
        <w:t>3</w:t>
      </w:r>
      <w:r w:rsidRPr="00DF0492">
        <w:rPr>
          <w:sz w:val="20"/>
          <w:szCs w:val="20"/>
          <w:lang w:val="en-GB"/>
        </w:rPr>
        <w:t xml:space="preserve">). This delayed root development in highly eroded soils contributes to reduced productivity, underscoring the challenges of managing such degraded </w:t>
      </w:r>
      <w:r w:rsidR="002A0F15">
        <w:rPr>
          <w:sz w:val="20"/>
          <w:szCs w:val="20"/>
          <w:lang w:val="en-GB"/>
        </w:rPr>
        <w:t>landscapes for agricultural use</w:t>
      </w:r>
      <w:r w:rsidRPr="00DF0492">
        <w:rPr>
          <w:sz w:val="20"/>
          <w:szCs w:val="20"/>
          <w:lang w:val="en-GB"/>
        </w:rPr>
        <w:t>.</w:t>
      </w:r>
      <w:r w:rsidR="00BF7875" w:rsidRPr="00DF0492">
        <w:rPr>
          <w:sz w:val="20"/>
          <w:szCs w:val="20"/>
          <w:lang w:val="en-GB"/>
        </w:rPr>
        <w:t xml:space="preserve"> </w:t>
      </w:r>
      <w:r w:rsidRPr="00DF0492">
        <w:rPr>
          <w:sz w:val="20"/>
          <w:szCs w:val="20"/>
          <w:lang w:val="en-GB"/>
        </w:rPr>
        <w:t xml:space="preserve">It has long been understood that the transfer of recently assimilated C from the shoot to the root-soil system varies with different stages of crop development (phenology). This was confirmed by the root biomass rate with the maximum C transfer from the shoot to the root system during the start of stem elongation (BBCH 37). The effect was </w:t>
      </w:r>
      <w:r w:rsidRPr="00DF0492">
        <w:rPr>
          <w:sz w:val="20"/>
          <w:szCs w:val="20"/>
          <w:lang w:val="en-GB"/>
        </w:rPr>
        <w:lastRenderedPageBreak/>
        <w:t>regardless of soil erosion status (Fig</w:t>
      </w:r>
      <w:r w:rsidR="002A0F15">
        <w:rPr>
          <w:sz w:val="20"/>
          <w:szCs w:val="20"/>
          <w:lang w:val="en-GB"/>
        </w:rPr>
        <w:t>ure</w:t>
      </w:r>
      <w:r w:rsidRPr="00DF0492">
        <w:rPr>
          <w:sz w:val="20"/>
          <w:szCs w:val="20"/>
          <w:lang w:val="en-GB"/>
        </w:rPr>
        <w:t xml:space="preserve"> </w:t>
      </w:r>
      <w:r w:rsidR="002A0F15">
        <w:rPr>
          <w:sz w:val="20"/>
          <w:szCs w:val="20"/>
          <w:lang w:val="en-GB"/>
        </w:rPr>
        <w:t>S3</w:t>
      </w:r>
      <w:r w:rsidRPr="00DF0492">
        <w:rPr>
          <w:sz w:val="20"/>
          <w:szCs w:val="20"/>
          <w:lang w:val="en-GB"/>
        </w:rPr>
        <w:t>) as also stated by</w:t>
      </w:r>
      <w:r w:rsidR="00892554" w:rsidRPr="00DF0492">
        <w:rPr>
          <w:sz w:val="20"/>
          <w:szCs w:val="20"/>
          <w:lang w:val="en-GB"/>
        </w:rPr>
        <w:t xml:space="preserve"> previous work</w:t>
      </w:r>
      <w:r w:rsidR="002A0F15">
        <w:rPr>
          <w:sz w:val="20"/>
          <w:szCs w:val="20"/>
          <w:lang w:val="en-GB"/>
        </w:rPr>
        <w:t xml:space="preserve"> </w:t>
      </w:r>
      <w:r w:rsidR="00892554" w:rsidRPr="00DF0492">
        <w:rPr>
          <w:sz w:val="20"/>
          <w:szCs w:val="20"/>
          <w:lang w:val="en-GB"/>
        </w:rPr>
        <w:fldChar w:fldCharType="begin" w:fldLock="1"/>
      </w:r>
      <w:r w:rsidR="00DF5C8B" w:rsidRPr="00DF0492">
        <w:rPr>
          <w:sz w:val="20"/>
          <w:szCs w:val="20"/>
          <w:lang w:val="en-GB"/>
        </w:rPr>
        <w:instrText>ADDIN CSL_CITATION {"citationItems":[{"id":"ITEM-1","itemData":{"DOI":"10.1016/j.still.2017.09.004","ISSN":"01671987","abstract":"Carbon (C) stored in soils represents the largest C pool of terrestrial ecosystems and consequently plays a crucial role in the global C cycle. So far, it is widely unclear to what extent different land uses and land use change influence soil C storage. The hummocky ground moraine landscape of northeastern Germany is characterized by distinct small-scale soil heterogeneity on the one hand, and intensive energy crop cultivation on the other. Both factors are assumed to significantly influence gaseous C exchange; as such, they likely drive soil organic carbon (SOC) stock dynamics in terrestrial agricultural ecosystems. To date, it is not clear to what extent N fertilization forms, which are associated with energy crop cultivation (e.g., application of biogas fermentation residues) and soil type relative to soil erosion state, influence soil C dynamics, nor is it clear whether one of these factors is more important than the other. To investigate the influence of soil erosion state and N fertilization form on soil C dynmaics, we present dynamic and seasonal net ecosystem carbon balances (NECB) as a proxy for changes in soil organic carbon stocks. Measurements were conducted for maize (Zea mays L.) at five sites in the “CarboZALF-D” experimental field during the 2011 growing season. Measurement sites represent different soil erosion states (non-eroded Albic Luvisols, extremely eroded Calcaric Regosols and depositional Endogleyic Colluvic Regosols) and N fertilization forms (100% mineral fertilizer, 50% mineral and 50% organic fertilizer, and 100% organic fertilizer). Fertilization treatments were established on the Albic Luvisol. Net ecosystem CO2 exchange (NEE) and ecosystem respiration (Reco) were measured every four weeks using a dynamic flow-through non-steady-state closed manual chamber system. Gap filling was performed based on empirical temperature and PAR dependency functions and was used to derive daily NEE values. In parallel, daily above-ground biomass production (NPPshoot) was estimated using a logistic growth equation, fitted on periodic biomass samples. Finally, C dynamics were calculated as the balance of daily NEE and NPPshoot based on the initial C input due to organic fertilization. Resulting NECB varied from pronounced soil C losses at the Endogleyic Colluvic Regosol (592 g C m−2) to soil C gains at the Calcaric Regosol (−124 g C m−2). Minor to modest C losses were observed for the Albic Luvisol. Compared to N fertilization forms, soil ero…","author":[{"dropping-particle":"","family":"Hoffmann","given":"M.","non-dropping-particle":"","parse-names":false,"suffix":""},{"dropping-particle":"","family":"Pohl","given":"M.","non-dropping-particle":"","parse-names":false,"suffix":""},{"dropping-particle":"","family":"Jurisch","given":"N.","non-dropping-particle":"","parse-names":false,"suffix":""},{"dropping-particle":"","family":"Prescher","given":"A. K.","non-dropping-particle":"","parse-names":false,"suffix":""},{"dropping-particle":"","family":"Mendez Campa","given":"E.","non-dropping-particle":"","parse-names":false,"suffix":""},{"dropping-particle":"","family":"Hagemann","given":"U.","non-dropping-particle":"","parse-names":false,"suffix":""},{"dropping-particle":"","family":"Remus","given":"R.","non-dropping-particle":"","parse-names":false,"suffix":""},{"dropping-particle":"","family":"Verch","given":"G.","non-dropping-particle":"","parse-names":false,"suffix":""},{"dropping-particle":"","family":"Sommer","given":"M.","non-dropping-particle":"","parse-names":false,"suffix":""},{"dropping-particle":"","family":"Augustin","given":"J.","non-dropping-particle":"","parse-names":false,"suffix":""}],"container-title":"Soil and Tillage Research","id":"ITEM-1","issue":"September 2017","issued":{"date-parts":[["2018"]]},"page":"255-266","title":"Maize carbon dynamics are driven by soil erosion state and plant phenology rather than nitrogen fertilization form","type":"article-journal","volume":"175"},"uris":["http://www.mendeley.com/documents/?uuid=3d7584e7-c4d7-4b82-ad41-02dfb971c7bc"]}],"mendeley":{"formattedCitation":"(Hoffmann et al., 2018)","plainTextFormattedCitation":"(Hoffmann et al., 2018)","previouslyFormattedCitation":"(Hoffmann et al., 2018)"},"properties":{"noteIndex":0},"schema":"https://github.com/citation-style-language/schema/raw/master/csl-citation.json"}</w:instrText>
      </w:r>
      <w:r w:rsidR="00892554" w:rsidRPr="00DF0492">
        <w:rPr>
          <w:sz w:val="20"/>
          <w:szCs w:val="20"/>
          <w:lang w:val="en-GB"/>
        </w:rPr>
        <w:fldChar w:fldCharType="separate"/>
      </w:r>
      <w:r w:rsidR="00DF5C8B" w:rsidRPr="00DF0492">
        <w:rPr>
          <w:noProof/>
          <w:sz w:val="20"/>
          <w:szCs w:val="20"/>
          <w:lang w:val="en-GB"/>
        </w:rPr>
        <w:t>(Hoffmann et al., 2018)</w:t>
      </w:r>
      <w:r w:rsidR="00892554" w:rsidRPr="00DF0492">
        <w:rPr>
          <w:sz w:val="20"/>
          <w:szCs w:val="20"/>
          <w:lang w:val="en-GB"/>
        </w:rPr>
        <w:fldChar w:fldCharType="end"/>
      </w:r>
      <w:r w:rsidRPr="00DF0492">
        <w:rPr>
          <w:sz w:val="20"/>
          <w:szCs w:val="20"/>
          <w:lang w:val="en-GB"/>
        </w:rPr>
        <w:t>. Stem elongation is the moment when the most root branches are formed (</w:t>
      </w:r>
      <w:r w:rsidR="00465BF6">
        <w:rPr>
          <w:sz w:val="20"/>
          <w:szCs w:val="20"/>
          <w:lang w:val="en-GB"/>
        </w:rPr>
        <w:t>Figure S</w:t>
      </w:r>
      <w:r w:rsidR="002A0F15">
        <w:rPr>
          <w:sz w:val="20"/>
          <w:szCs w:val="20"/>
          <w:lang w:val="en-GB"/>
        </w:rPr>
        <w:t>4</w:t>
      </w:r>
      <w:r w:rsidRPr="00DF0492">
        <w:rPr>
          <w:sz w:val="20"/>
          <w:szCs w:val="20"/>
          <w:lang w:val="en-GB"/>
        </w:rPr>
        <w:t>) increasing signif</w:t>
      </w:r>
      <w:r w:rsidR="00FB24DF" w:rsidRPr="00DF0492">
        <w:rPr>
          <w:sz w:val="20"/>
          <w:szCs w:val="20"/>
          <w:lang w:val="en-GB"/>
        </w:rPr>
        <w:t xml:space="preserve">icantly the root area (Fig. </w:t>
      </w:r>
      <w:r w:rsidR="002A0F15">
        <w:rPr>
          <w:sz w:val="20"/>
          <w:szCs w:val="20"/>
          <w:lang w:val="en-GB"/>
        </w:rPr>
        <w:t>3</w:t>
      </w:r>
      <w:r w:rsidR="00FB24DF" w:rsidRPr="00DF0492">
        <w:rPr>
          <w:sz w:val="20"/>
          <w:szCs w:val="20"/>
          <w:lang w:val="en-GB"/>
        </w:rPr>
        <w:t>).</w:t>
      </w:r>
    </w:p>
    <w:p w14:paraId="1C4DCEA8" w14:textId="65E7D07C" w:rsidR="00D044BB" w:rsidRDefault="00FD72EA" w:rsidP="00DF0492">
      <w:pPr>
        <w:pStyle w:val="StandardWeb"/>
        <w:spacing w:beforeAutospacing="0" w:afterAutospacing="0" w:line="360" w:lineRule="auto"/>
        <w:ind w:firstLine="708"/>
        <w:jc w:val="both"/>
        <w:rPr>
          <w:sz w:val="20"/>
          <w:szCs w:val="20"/>
          <w:lang w:val="en-GB"/>
        </w:rPr>
      </w:pPr>
      <w:r w:rsidRPr="00DF0492">
        <w:rPr>
          <w:sz w:val="20"/>
          <w:szCs w:val="20"/>
          <w:lang w:val="en-GB"/>
        </w:rPr>
        <w:t xml:space="preserve">Beyond the potential for gross C input, restoring soil structural health is critical for reviving its environmental functions. In heavily eroded </w:t>
      </w:r>
      <w:proofErr w:type="spellStart"/>
      <w:r w:rsidR="00912E68" w:rsidRPr="00DF0492">
        <w:rPr>
          <w:sz w:val="20"/>
          <w:szCs w:val="20"/>
          <w:lang w:val="en-GB"/>
        </w:rPr>
        <w:t>Rg</w:t>
      </w:r>
      <w:proofErr w:type="spellEnd"/>
      <w:r w:rsidR="00912E68" w:rsidRPr="00DF0492">
        <w:rPr>
          <w:sz w:val="20"/>
          <w:szCs w:val="20"/>
          <w:lang w:val="en-GB"/>
        </w:rPr>
        <w:t>-ca</w:t>
      </w:r>
      <w:r w:rsidRPr="00DF0492">
        <w:rPr>
          <w:sz w:val="20"/>
          <w:szCs w:val="20"/>
          <w:lang w:val="en-GB"/>
        </w:rPr>
        <w:t>, where the structure is degraded</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{"citationItems":[{"id":"ITEM-1","itemData":{"DOI":"10.1038/s41598-024-58916-9","ISBN":"0123456789","ISSN":"2045-2322","author":[{"dropping-particle":"","family":"Barbosa","given":"Luis Alfredo Pires","non-dropping-particle":"","parse-names":false,"suffix":""},{"dropping-particle":"","family":"Stein","given":"Mathias","non-dropping-particle":"","parse-names":false,"suffix":""},{"dropping-particle":"","family":"Gerke","given":"Horst H","non-dropping-particle":"","parse-names":false,"suffix":""},{"dropping-particle":"","family":"Schaller","given":"Jörg","non-dropping-particle":"","parse-names":false,"suffix":""}],"container-title":"Scientific Reports","id":"ITEM-1","issued":{"date-parts":[["2024"]]},"page":"1-11","publisher":"Nature Publishing Group UK","title":"Synergistic effects of organic carbon and silica in preserving structural stability of drying soils","type":"article-journal"},"uris":["http://www.mendeley.com/documents/?uuid=6ccefd78-d65e-4a29-a363-57df36243537"]}],"mendeley":{"formattedCitation":"(Barbosa et al., 2024)","plainTextFormattedCitation":"(Barbosa et al., 2024)","previouslyFormattedCitation":"(Barbosa et al., 2024)"},"properties":{"noteIndex":0},"schema":"https://github.com/citation-style-language/schema/raw/master/csl-citation.json"}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(Barbosa et al., 2024)</w:t>
      </w:r>
      <w:r w:rsidRPr="00DF0492">
        <w:rPr>
          <w:sz w:val="20"/>
          <w:szCs w:val="20"/>
          <w:lang w:val="en-GB"/>
        </w:rPr>
        <w:fldChar w:fldCharType="end"/>
      </w:r>
      <w:r w:rsidRPr="00DF0492">
        <w:rPr>
          <w:sz w:val="20"/>
          <w:szCs w:val="20"/>
          <w:lang w:val="en-GB"/>
        </w:rPr>
        <w:t>, root system architecture can enhance soil recovery by promoting hierarchical aggregation at both micro and macro levels</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{"citationItems":[{"id":"ITEM-1","itemData":{"DOI":"10.1016/j.soilbio.2018.02.016","ISSN":"00380717","abstract":"Plant roots contribute substantially to the formation of stable soil organic matter (SOM), and there is evidence that species differ in their contribution to SOM stabilization. However, it remains unclear what specific root traits contribute to the three SOM stabilization mechanisms: recalcitrance against decomposition, occlusion in soil aggregates and interaction with soil minerals and metals. This is likely because research is highly fragmented and hampered by disciplinary barriers. By reviewing both plant functional ecology and soil science literature, we identified 18 different traits: architectural, morphological, physiological, symbiotic and chemical root characteristics, influencing the three SOM stabilization mechanisms. We found that traits increasing root recalcitrance promote short term stabilization by slowing decomposition, but that traits reducing recalcitrance contribute to long term stabilization by reaction of microbial products with mineral surfaces. Root length density, mycorrhizal association and rhizodeposition contribute to microaggregation. These and other traits, such as hemicellulose, soluble compounds, and high root branching index, favor macroaggregation. For stabilization by minerals and metals, those root traits promoting higher microbial activity: root nitrogen, hemicellulose and soluble compound concentrations are fundamental, while polyphenols, and litter Al and Mn also contribute to complexification and stabilization. Root depth distribution is the most important trait to control root C storage and stabilization in the subsoil; once roots have reached deeper soil layers, other traits, such as rhizodeposition and root chemistry, influence interaction with minerals and metals. Both mycorrhizal presence and root suberin promote SOC stabilization by means of all three mechanisms, indicating that these are important targets for continued work. Surprisingly, morphological traits commonly measured, namely specific root length and root diameter, poorly relate to stabilization mechanisms. Alternative traits such as chemical composition of the different root orders, root apex characteristics, quantity and quality of rhizodeposits as well as mycorrhizal fungal traits, should be further investigated. For future research, this review highlights the need to evaluate root decomposition and root-C stabilization concomitantly over the long-term, considering simultaneously root litter quality, estimated by root traits, the microbial produ…","author":[{"dropping-particle":"","family":"Poirier","given":"Vincent","non-dropping-particle":"","parse-names":false,"suffix":""},{"dropping-particle":"","family":"Roumet","given":"Catherine","non-dropping-particle":"","parse-names":false,"suffix":""},{"dropping-particle":"","family":"Munson","given":"Alison D.","non-dropping-particle":"","parse-names":false,"suffix":""}],"container-title":"Soil Biology and Biochemistry","id":"ITEM-1","issue":"August 2017","issued":{"date-parts":[["2018"]]},"page":"246-259","publisher":"Elsevier","title":"The root of the matter: Linking root traits and soil organic matter stabilization processes","type":"article-journal","volume":"120"},"uris":["http://www.mendeley.com/documents/?uuid=171efa16-0de5-455f-936d-575c3e17dd89"]}],"mendeley":{"formattedCitation":"(Poirier et al., 2018)","plainTextFormattedCitation":"(Poirier et al., 2018)","previouslyFormattedCitation":"(Poirier et al., 2018)"},"properties":{"noteIndex":0},"schema":"https://github.com/citation-style-language/schema/raw/master/csl-citation.json"}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(Poirier et al., 2018)</w:t>
      </w:r>
      <w:r w:rsidRPr="00DF0492">
        <w:rPr>
          <w:sz w:val="20"/>
          <w:szCs w:val="20"/>
          <w:lang w:val="en-GB"/>
        </w:rPr>
        <w:fldChar w:fldCharType="end"/>
      </w:r>
      <w:r w:rsidRPr="00DF0492">
        <w:rPr>
          <w:sz w:val="20"/>
          <w:szCs w:val="20"/>
          <w:lang w:val="en-GB"/>
        </w:rPr>
        <w:t xml:space="preserve">.  Root-induced </w:t>
      </w:r>
      <w:proofErr w:type="spellStart"/>
      <w:r w:rsidRPr="00DF0492">
        <w:rPr>
          <w:sz w:val="20"/>
          <w:szCs w:val="20"/>
          <w:lang w:val="en-GB"/>
        </w:rPr>
        <w:t>biopores</w:t>
      </w:r>
      <w:proofErr w:type="spellEnd"/>
      <w:r w:rsidRPr="00DF0492">
        <w:rPr>
          <w:sz w:val="20"/>
          <w:szCs w:val="20"/>
          <w:lang w:val="en-GB"/>
        </w:rPr>
        <w:t xml:space="preserve"> enrich microbial biomass within the </w:t>
      </w:r>
      <w:proofErr w:type="spellStart"/>
      <w:r w:rsidRPr="00DF0492">
        <w:rPr>
          <w:sz w:val="20"/>
          <w:szCs w:val="20"/>
          <w:lang w:val="en-GB"/>
        </w:rPr>
        <w:t>dril</w:t>
      </w:r>
      <w:r w:rsidR="006A42CC">
        <w:rPr>
          <w:sz w:val="20"/>
          <w:szCs w:val="20"/>
          <w:lang w:val="en-GB"/>
        </w:rPr>
        <w:t>l</w:t>
      </w:r>
      <w:r w:rsidRPr="00DF0492">
        <w:rPr>
          <w:sz w:val="20"/>
          <w:szCs w:val="20"/>
          <w:lang w:val="en-GB"/>
        </w:rPr>
        <w:t>osphere</w:t>
      </w:r>
      <w:proofErr w:type="spellEnd"/>
      <w:r w:rsidRPr="00DF0492">
        <w:rPr>
          <w:sz w:val="20"/>
          <w:szCs w:val="20"/>
          <w:lang w:val="en-GB"/>
        </w:rPr>
        <w:t>, which serves as a biological "hot spot"</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{"citationItems":[{"id":"ITEM-1","itemData":{"DOI":"10.1016/S0038-0717(00)00218-2","ISSN":"00380717","abstract":"Preferential flow of water in soils is a common phenomenon. Our objective was to investigate whether preferential flow paths have higher microbial biomass and different microbial community structures than the rest of the soil. We stained the preferential flow paths in a forest soil with a food dye and sampled soil material from preferential flow paths and from the soil matrix at four depths down to 1 m. Distinct differences in physico-chemical properties between preferential flow paths and soil matrix existed and, thus, different environmental living conditions for microorganisms. The experimental addition of wood ash increased pH and base saturation in the preferential flow paths to a higher extent than in the soil matrix, highlighting the importance of preferential flow paths for solute input into the mineral soil. The organic C concentrations were approximately 10-70% higher in the preferential flow paths than in the matrix. The organic N concentrations were also enriched in the preferential flow paths, as well as the effective cation exchange capacity and the base saturation. Microbial biomass determined with the fumigation-extraction method was 9-92% higher in the preferential flow paths than in the soil matrix, probably due to the better nutrient and substrate supply. The DNA concentrations and direct cell counts showed a similar pattern, while domain-specific genetic fingerprints based on small subunit ribosomal RNA genes did not reflect the differences between preferential flow paths and soil matrix. Eukarya and Archaea only showed a depth-dependence and Bacteria showed no changes with flow region or with depths. However, Pseudomonas displayed different community structures between preferential flow paths and soil matrix. This indicated that possibly only few communities with a broad acceptance for substrates and aerobic as well as anaerobic growth specifically profit from the favourable conditions in the preferential flow paths. © 2001 Elsevier Science Ltd.","author":[{"dropping-particle":"","family":"Bundt","given":"M.","non-dropping-particle":"","parse-names":false,"suffix":""},{"dropping-particle":"","family":"Widmer","given":"F.","non-dropping-particle":"","parse-names":false,"suffix":""},{"dropping-particle":"","family":"Pesaro","given":"M.","non-dropping-particle":"","parse-names":false,"suffix":""},{"dropping-particle":"","family":"Zeyer","given":"J.","non-dropping-particle":"","parse-names":false,"suffix":""},{"dropping-particle":"","family":"Blaser","given":"P.","non-dropping-particle":"","parse-names":false,"suffix":""}],"container-title":"Soil Biology and Biochemistry","id":"ITEM-1","issue":"6","issued":{"date-parts":[["2001"]]},"page":"729-738","title":"Preferential flow paths: Biological 'hot spots' in soils","type":"article-journal","volume":"33"},"uris":["http://www.mendeley.com/documents/?uuid=70f7df4e-c635-474c-a4ee-54c671b5906b"]}],"mendeley":{"formattedCitation":"(Bundt et al., 2001)","plainTextFormattedCitation":"(Bundt et al., 2001)","previouslyFormattedCitation":"(Bundt et al., 2001)"},"properties":{"noteIndex":0},"schema":"https://github.com/citation-style-language/schema/raw/master/csl-citation.json"}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(Bundt et al., 2001)</w:t>
      </w:r>
      <w:r w:rsidRPr="00DF0492">
        <w:rPr>
          <w:sz w:val="20"/>
          <w:szCs w:val="20"/>
          <w:lang w:val="en-GB"/>
        </w:rPr>
        <w:fldChar w:fldCharType="end"/>
      </w:r>
      <w:r w:rsidRPr="00DF0492">
        <w:rPr>
          <w:sz w:val="20"/>
          <w:szCs w:val="20"/>
          <w:lang w:val="en-GB"/>
        </w:rPr>
        <w:t>. Elevated microbial activity</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{"citationItems":[{"id":"ITEM-1","itemData":{"DOI":"10.1016/j.soilbio.2021.108193","ISSN":"00380717","abstract":"Soil macropores serve as preferential pathways for water and solute transport as well as for root growth. They are often coated with organic material and known as “hotspots” of nutrient and C turnover. Differences in the SOM composition between macropores and soil matrix as well as between macropore types (biopores, cracks, pinhole fillings) imply potential differences in the microbial community composition and enzymatic activities. The objective of this work was to detect and assess the spatial distribution of enzyme activities related to C turnover, xylanase (XYL) and phenol oxidase (POX), and the composition of microbial communities in structural components of Luvisol Bt-horizons, developed from loess and glacial till. We applied conventional enzyme assays and phospholipid fatty acids (PLFA) analysis to study materials separated from different types of macropores and soil components as well as bulk soil samples. The spatial distribution of enzyme activities on surfaces of large soil core slices (20 cm in diameter) was quantified by soil zymography. Higher XYL activities were detected in separated burrow wall materials, clay-organic coatings, and pinhole fillings from both sites, as compared to the respective soil matrix or bulk soil samples. The XYL activities correlated with bacteria-specific PLFAs. POX activities were solely found increased for earthworm burrow walls from the loess-derived Bt-horizon, but not for burrows from till samples. Zymograms revealed particularly increased XYL activities at rooted earthworm burrows, emphasising evidence for hotspots of enzyme activity and C turnover. The zymography of POX was hampered by methodological restrictions.","author":[{"dropping-particle":"","family":"Leue","given":"Martin","non-dropping-particle":"","parse-names":false,"suffix":""},{"dropping-particle":"","family":"Holz","given":"Maire","non-dropping-particle":"","parse-names":false,"suffix":""},{"dropping-particle":"","family":"Gerke","given":"Horst H.","non-dropping-particle":"","parse-names":false,"suffix":""},{"dropping-particle":"","family":"Taube","given":"Robert","non-dropping-particle":"","parse-names":false,"suffix":""},{"dropping-particle":"","family":"Puppe","given":"Daniel","non-dropping-particle":"","parse-names":false,"suffix":""},{"dropping-particle":"","family":"Wirth","given":"Stephan","non-dropping-particle":"","parse-names":false,"suffix":""}],"container-title":"Soil Biology and Biochemistry","id":"ITEM-1","issue":"November 2020","issued":{"date-parts":[["2021"]]},"page":"108193","publisher":"Elsevier Ltd","title":"Spatially-distributed microbial enzyme activities at intact, coated macropore surfaces in Luvisol Bt-horizons","type":"article-journal","volume":"156"},"uris":["http://www.mendeley.com/documents/?uuid=04a3324d-e633-46b6-89e9-a019e0b64bc3"]}],"mendeley":{"formattedCitation":"(Leue et al., 2021)","plainTextFormattedCitation":"(Leue et al., 2021)","previouslyFormattedCitation":"(Leue et al., 2021)"},"properties":{"noteIndex":0},"schema":"https://github.com/citation-style-language/schema/raw/master/csl-citation.json"}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(Leue et al., 2021)</w:t>
      </w:r>
      <w:r w:rsidRPr="00DF0492">
        <w:rPr>
          <w:sz w:val="20"/>
          <w:szCs w:val="20"/>
          <w:lang w:val="en-GB"/>
        </w:rPr>
        <w:fldChar w:fldCharType="end"/>
      </w:r>
      <w:r w:rsidRPr="00DF0492">
        <w:rPr>
          <w:sz w:val="20"/>
          <w:szCs w:val="20"/>
          <w:lang w:val="en-GB"/>
        </w:rPr>
        <w:t xml:space="preserve"> and a higher proportion of OC in these areas promote the production of extracellular polymeric substances</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10.1371/journal.pone.0180374","ISSN":"1932-6203","author":[{"dropping-particle":"","family":"Carrel","given":"Maxence","non-dropping-particle":"","parse-names":false,"suffix":""},{"dropping-particle":"","family":"Beltran","given":"Mario A.","non-dropping-particle":"","parse-names":false,"suffix":""},{"dropping-particle":"","family":"Morales","given":"Verónica L.","non-dropping-particle":"","parse-names":false,"suffix":""},{"dropping-particle":"","family":"Derlon","given":"Nicolas","non-dropping-particle":"","parse-names":false,"suffix":""},{"dropping-particle":"","family":"Morgenroth","given":"Eberhard","non-dropping-particle":"","parse-names":false,"suffix":""},{"dropping-particle":"","family":"Kaufmann","given":"Rolf","non-dropping-particle":"","parse-names":false,"suffix":""},{"dropping-particle":"","family":"Holzner","given":"Markus","non-dropping-particle":"","parse-names":false,"suffix":""}],"container-title":"PLOS ONE","editor":[{"dropping-particle":"","family":"Byrne","given":"Meghan","non-dropping-particle":"","parse-names":false,"suffix":""}],"id":"ITEM-1","issue":"7","issued":{"date-parts":[["2017","7","21"]]},"page":"e0180374","title":"Biofilm imaging in porous media by laboratory X-Ray tomography: Combining a non-destructive contrast agent with propagation-based phase-contrast imaging tools","type":"article-journal","volume":"12"},"uris":["http://www.mendeley.com/documents/?uuid=5d5d5eea-fca3-4849-8aa8-a8a9d81bcbc1"]}],"mendeley":{"formattedCitation":"(Carrel et al., 2017)","plainTextFormattedCitation":"(Carrel et al., 2017)","previouslyFormattedCitation":"(Carrel et al., 2017)"},"properties":{"noteIndex":0},"schema":"https://github.com/citation-style-language/schema/raw/master/csl-citation.json"}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(Carrel et al., 2017)</w:t>
      </w:r>
      <w:r w:rsidRPr="00DF0492">
        <w:rPr>
          <w:sz w:val="20"/>
          <w:szCs w:val="20"/>
          <w:lang w:val="en-GB"/>
        </w:rPr>
        <w:fldChar w:fldCharType="end"/>
      </w:r>
      <w:r w:rsidRPr="00DF0492">
        <w:rPr>
          <w:sz w:val="20"/>
          <w:szCs w:val="20"/>
          <w:lang w:val="en-GB"/>
        </w:rPr>
        <w:t>, significantly affecting water and solute transport within the soil, playing a pivotal role in soil function. The historical development of cultivars with higher root branching and expanded root area throughout the soil profile has been particularly beneficial for optimizing soil water exploration</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author":[{"dropping-particle":"","family":"Aguirrezabal","given":"L.A.N.","non-dropping-particle":"","parse-names":false,"suffix":""},{"dropping-particle":"","family":"Pellerin","given":"S.","non-dropping-particle":"","parse-names":false,"suffix":""},{"dropping-particle":"","family":"Tardieu","given":"F.","non-dropping-particle":"","parse-names":false,"suffix":""}],"container-title":"Environmental and Experimental Botany","id":"ITEM-1","issue":"1","issued":{"date-parts":[["1993"]]},"page":"121-130","title":"Carbon nutrition, root branching and elongation: can the present state of knowledge allow a predictive approach at a whole-plant level?","type":"article-journal","volume":"33"},"uris":["http://www.mendeley.com/documents/?uuid=2d0fa1ea-6aca-4b55-a2d3-1987bf4b8449"]}],"mendeley":{"formattedCitation":"(Aguirrezabal et al., 1993)","plainTextFormattedCitation":"(Aguirrezabal et al., 1993)","previouslyFormattedCitation":"(Aguirrezabal et al., 1993)"},"properties":{"noteIndex":0},"schema":"https://github.com/citation-style-language/schema/raw/master/csl-citation.json"}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(Aguirrezabal et al., 1993)</w:t>
      </w:r>
      <w:r w:rsidRPr="00DF0492">
        <w:rPr>
          <w:sz w:val="20"/>
          <w:szCs w:val="20"/>
          <w:lang w:val="en-GB"/>
        </w:rPr>
        <w:fldChar w:fldCharType="end"/>
      </w:r>
      <w:r w:rsidRPr="00DF0492">
        <w:rPr>
          <w:sz w:val="20"/>
          <w:szCs w:val="20"/>
          <w:lang w:val="en-GB"/>
        </w:rPr>
        <w:t xml:space="preserve">. This root system robustness helps maintain biomass production even under conditions of soil hydric stress (Fig. </w:t>
      </w:r>
      <w:r w:rsidR="00DA4FEF">
        <w:rPr>
          <w:sz w:val="20"/>
          <w:szCs w:val="20"/>
          <w:lang w:val="en-GB"/>
        </w:rPr>
        <w:t>6</w:t>
      </w:r>
      <w:r w:rsidRPr="00DF0492">
        <w:rPr>
          <w:sz w:val="20"/>
          <w:szCs w:val="20"/>
          <w:lang w:val="en-GB"/>
        </w:rPr>
        <w:t>), highlighting the importance of varietal development to achieve higher grain yields based not only in photosynthetic capacity and efficiency but also on crop biomass</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{"citationItems":[{"id":"ITEM-1","itemData":{"DOI":"10.3389/fpls.2019.01771","ISSN":"1664462X","abstract":"Optimizing the interplay between sinks and sources is of crucial importance for breeding progress in winter wheat. However, the physiological limitations of yield from source (e.g. green canopy duration, GCD) and sink (e.g. grain number) are still unclear. Furthermore, there is little information on how the source traits have been modified during the breeding history of winter wheat. This study analyzed the breeding progress of sink and source components and their relationships to yield components. Field trials were conducted over three years with 220 cultivars representing the German breeding history of the past five decades. In addition, genetic associations of QTL for the traits were assessed with genome-wide association studies. Breeding progress mainly resulted from an increase in grain numbers per spike, a sink component, whose variations were largely explained by the photosynthetic activity around anthesis, a source component. Surprisingly, despite significant breeding progress in GCD and other source components, they showed no direct influence on thousand grain weights, indicating that grain filling was not limited by the source strength. Our results suggest that, 1) the potential longevity of the green canopy is predetermined at the time point that the number of grains is fixed; 2) a co-evolution of source and sink strength during the breeding history contribute to the yield formation of the modern cultivars. For future breeding we suggest to choose parental lines with high grain numbers per spike on the sink side, and high photosynthetic activity around anthesis and canopy duration on the source side, and to place emphasis on these traits throughout selection.","author":[{"dropping-particle":"","family":"Lichthardt","given":"Carolin","non-dropping-particle":"","parse-names":false,"suffix":""},{"dropping-particle":"","family":"Chen","given":"Tsu Wei","non-dropping-particle":"","parse-names":false,"suffix":""},{"dropping-particle":"","family":"Stahl","given":"Andreas","non-dropping-particle":"","parse-names":false,"suffix":""},{"dropping-particle":"","family":"Stützel","given":"Hartmut","non-dropping-particle":"","parse-names":false,"suffix":""}],"container-title":"Frontiers in Plant Science","id":"ITEM-1","issue":"February","issued":{"date-parts":[["2020"]]},"page":"1-15","title":"Co-Evolution of Sink and Source in the Recent Breeding History of Winter Wheat in Germany","type":"article-journal","volume":"10"},"uris":["http://www.mendeley.com/documents/?uuid=dab6b011-62aa-4dd6-8f77-0c1849eb3669"]}],"mendeley":{"formattedCitation":"(Lichthardt et al., 2020)","plainTextFormattedCitation":"(Lichthardt et al., 2020)","previouslyFormattedCitation":"(Lichthardt et al., 2020)"},"properties":{"noteIndex":0},"schema":"https://github.com/citation-style-language/schema/raw/master/csl-citation.json"}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(Lichthardt et al., 2020)</w:t>
      </w:r>
      <w:r w:rsidRPr="00DF0492">
        <w:rPr>
          <w:sz w:val="20"/>
          <w:szCs w:val="20"/>
          <w:lang w:val="en-GB"/>
        </w:rPr>
        <w:fldChar w:fldCharType="end"/>
      </w:r>
      <w:r w:rsidRPr="00DF0492">
        <w:rPr>
          <w:sz w:val="20"/>
          <w:szCs w:val="20"/>
          <w:lang w:val="en-GB"/>
        </w:rPr>
        <w:t>, preferably root biomass, to assist soil structural recovery and improve crop resilience and water use efficiency</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{"citationItems":[{"id":"ITEM-1","itemData":{"DOI":"10.1038/s41558-022-01376-8","ISBN":"4155802201","ISSN":"17586798","abstract":"Interactions between soil quality and climate change may influence the capacity of croplands to produce sufficient food. Here, we address this issue by using a new dataset of soil, climate and associated yield observations for 12,115 site-years representing 90% of total cereal production in China. Across crops and environmental conditions, we show that high-quality soils reduced the sensitivity of crop yield to climate variability leading to both higher mean crop yield (10.3 ± 6.7%) and higher yield stability (decreasing variability by 15.6 ± 14.4%). High-quality soils improve the outcome for yields under climate change by 1.7% (0.5–4.0%), compared to low-quality soils. Climate-driven yield change could result in reductions of national cereal production of 11.4 Mt annually under representative concentration pathway RCP 8.5 by 2080–2099. While this production reduction was exacerbated by 14% due to soil degradation, it can be reduced by 21% through soil improvement. This study emphasizes the vital role of soil quality in agriculture under climate change.","author":[{"dropping-particle":"","family":"Qiao","given":"Lei","non-dropping-particle":"","parse-names":false,"suffix":""},{"dropping-particle":"","family":"Wang","given":"Xuhui","non-dropping-particle":"","parse-names":false,"suffix":""},{"dropping-particle":"","family":"Smith","given":"Pete","non-dropping-particle":"","parse-names":false,"suffix":""},{"dropping-particle":"","family":"Fan","given":"Jinlong","non-dropping-particle":"","parse-names":false,"suffix":""},{"dropping-particle":"","family":"Lu","given":"Yuelai","non-dropping-particle":"","parse-names":false,"suffix":""},{"dropping-particle":"","family":"Emmett","given":"Bridget","non-dropping-particle":"","parse-names":false,"suffix":""},{"dropping-particle":"","family":"Li","given":"Rong","non-dropping-particle":"","parse-names":false,"suffix":""},{"dropping-particle":"","family":"Dorling","given":"Stephen","non-dropping-particle":"","parse-names":false,"suffix":""},{"dropping-particle":"","family":"Chen","given":"Haiqing","non-dropping-particle":"","parse-names":false,"suffix":""},{"dropping-particle":"","family":"Liu","given":"Shaogui","non-dropping-particle":"","parse-names":false,"suffix":""},{"dropping-particle":"","family":"Benton","given":"Tim G.","non-dropping-particle":"","parse-names":false,"suffix":""},{"dropping-particle":"","family":"Wang","given":"Yaojun","non-dropping-particle":"","parse-names":false,"suffix":""},{"dropping-particle":"","family":"Ma","given":"Yuqing","non-dropping-particle":"","parse-names":false,"suffix":""},{"dropping-particle":"","family":"Jiang","given":"Rongfeng","non-dropping-particle":"","parse-names":false,"suffix":""},{"dropping-particle":"","family":"Zhang","given":"Fusuo","non-dropping-particle":"","parse-names":false,"suffix":""},{"dropping-particle":"","family":"Piao","given":"Shilong","non-dropping-particle":"","parse-names":false,"suffix":""},{"dropping-particle":"","family":"Mϋller","given":"Christoph","non-dropping-particle":"","parse-names":false,"suffix":""},{"dropping-particle":"","family":"Yang","given":"Huaqing","non-dropping-particle":"","parse-names":false,"suffix":""},{"dropping-particle":"","family":"Hao","given":"Yanan","non-dropping-particle":"","parse-names":false,"suffix":""},{"dropping-particle":"","family":"Li","given":"Wangmei","non-dropping-particle":"","parse-names":false,"suffix":""},{"dropping-particle":"","family":"Fan","given":"Mingsheng","non-dropping-particle":"","parse-names":false,"suffix":""}],"container-title":"Nature Climate Change","id":"ITEM-1","issue":"6","issued":{"date-parts":[["2022"]]},"page":"574-580","title":"Soil quality both increases crop production and improves resilience to climate change","type":"article-journal","volume":"12"},"uris":["http://www.mendeley.com/documents/?uuid=1c863936-2692-462e-8c97-e67594fbb75b"]}],"mendeley":{"formattedCitation":"(Qiao et al., 2022)","plainTextFormattedCitation":"(Qiao et al., 2022)","previouslyFormattedCitation":"(Qiao et al., 2022)"},"properties":{"noteIndex":0},"schema":"https://github.com/citation-style-language/schema/raw/master/csl-citation.json"}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(Qiao et al., 2022)</w:t>
      </w:r>
      <w:r w:rsidRPr="00DF0492">
        <w:rPr>
          <w:sz w:val="20"/>
          <w:szCs w:val="20"/>
          <w:lang w:val="en-GB"/>
        </w:rPr>
        <w:fldChar w:fldCharType="end"/>
      </w:r>
      <w:r w:rsidRPr="00DF0492">
        <w:rPr>
          <w:sz w:val="20"/>
          <w:szCs w:val="20"/>
          <w:lang w:val="en-GB"/>
        </w:rPr>
        <w:t>.This falls within the context of sustainable agricultural practices</w:t>
      </w:r>
      <w:r w:rsidR="00D05235">
        <w:rPr>
          <w:sz w:val="20"/>
          <w:szCs w:val="20"/>
          <w:lang w:val="en-GB"/>
        </w:rPr>
        <w:t xml:space="preserve"> </w:t>
      </w:r>
      <w:r w:rsidRPr="00DF0492">
        <w:rPr>
          <w:sz w:val="20"/>
          <w:szCs w:val="20"/>
        </w:rPr>
        <w:fldChar w:fldCharType="begin" w:fldLock="1"/>
      </w:r>
      <w:r w:rsidR="00DF5C8B" w:rsidRPr="00DF0492">
        <w:rPr>
          <w:sz w:val="20"/>
          <w:szCs w:val="20"/>
          <w:lang w:val="en-GB"/>
        </w:rPr>
        <w:instrText>ADDIN CSL_CITATION {"citationItems":[{"id":"ITEM-1","itemData":{"DOI":"10.1038/s41893-020-00617-y","ISSN":"23989629","abstract":"The increasing pressure on agricultural production systems to achieve global food security and prevent environmental degradation necessitates a transition towards more sustainable practices. The purpose of this scoping review is to understand how the incentives offered to farmers motivate the adoption of sustainable agricultural practices and, ultimately, how and whether they result in measurable outcomes. To this end, this scoping review examines the evidence of nearly 18,000 papers on whether incentive-based programmes lead to the adoption of sustainable practices and their effect on environmental, economic and productivity outcomes. We find that independent of the incentive type, programmes linked to short-term economic benefit have a higher adoption rate than those aimed solely at providing an ecological service. In the long run, one of the strongest motivations for farmers to adopt sustainable practices is perceived benefits for either their farms, the environment or both. Beyond this, the importance of technical assistance and extension services in promoting sustainable practices emerges strongly from this scoping review. Finally, we find that policy instruments are more effective if their design considers the characteristics of the target population, and the associated trade-offs between economic, environmental and social outcomes.","author":[{"dropping-particle":"","family":"Piñeiro","given":"Valeria","non-dropping-particle":"","parse-names":false,"suffix":""},{"dropping-particle":"","family":"Arias","given":"Joaquín","non-dropping-particle":"","parse-names":false,"suffix":""},{"dropping-particle":"","family":"Dürr","given":"Jochen","non-dropping-particle":"","parse-names":false,"suffix":""},{"dropping-particle":"","family":"Elverdin","given":"Pablo","non-dropping-particle":"","parse-names":false,"suffix":""},{"dropping-particle":"","family":"Ibáñez","given":"Ana María","non-dropping-particle":"","parse-names":false,"suffix":""},{"dropping-particle":"","family":"Kinengyere","given":"Alison","non-dropping-particle":"","parse-names":false,"suffix":""},{"dropping-particle":"","family":"Opazo","given":"Cristian Morales","non-dropping-particle":"","parse-names":false,"suffix":""},{"dropping-particle":"","family":"Owoo","given":"Nkechi","non-dropping-particle":"","parse-names":false,"suffix":""},{"dropping-particle":"","family":"Page","given":"Jessica R.","non-dropping-particle":"","parse-names":false,"suffix":""},{"dropping-particle":"","family":"Prager","given":"Steven D.","non-dropping-particle":"","parse-names":false,"suffix":""},{"dropping-particle":"","family":"Torero","given":"Maximo","non-dropping-particle":"","parse-names":false,"suffix":""}],"container-title":"Nature Sustainability","id":"ITEM-1","issue":"10","issued":{"date-parts":[["2020"]]},"page":"809-820","publisher":"Springer US","title":"A scoping review on incentives for adoption of sustainable agricultural practices and their outcomes","type":"article-journal","volume":"3"},"uris":["http://www.mendeley.com/documents/?uuid=1467dd1e-005e-4670-a08a-0f737db23352"]}],"mendeley":{"formattedCitation":"(Piñeiro et al., 2020)","plainTextFormattedCitation":"(Piñeiro et al., 2020)","previouslyFormattedCitation":"(Piñeiro et al., 2020)"},"properties":{"noteIndex":0},"schema":"https://github.com/citation-style-language/schema/raw/master/csl-citation.json"}</w:instrText>
      </w:r>
      <w:r w:rsidRPr="00DF0492">
        <w:rPr>
          <w:sz w:val="20"/>
          <w:szCs w:val="20"/>
          <w:lang w:val="en-GB"/>
        </w:rPr>
        <w:fldChar w:fldCharType="separate"/>
      </w:r>
      <w:r w:rsidR="00DF5C8B" w:rsidRPr="00DF0492">
        <w:rPr>
          <w:noProof/>
          <w:sz w:val="20"/>
          <w:szCs w:val="20"/>
          <w:lang w:val="en-GB"/>
        </w:rPr>
        <w:t>(Piñeiro et al., 2020)</w:t>
      </w:r>
      <w:r w:rsidRPr="00DF0492">
        <w:rPr>
          <w:sz w:val="20"/>
          <w:szCs w:val="20"/>
          <w:lang w:val="en-GB"/>
        </w:rPr>
        <w:fldChar w:fldCharType="end"/>
      </w:r>
      <w:r w:rsidRPr="00DF0492">
        <w:rPr>
          <w:sz w:val="20"/>
          <w:szCs w:val="20"/>
          <w:lang w:val="en-GB"/>
        </w:rPr>
        <w:t xml:space="preserve"> (e.g. mulching, reduced or no-tillage, and crop rotation) enhancing the benefits of robust root systems by minimizing soil structural disturbance, and preserving SOC.</w:t>
      </w:r>
    </w:p>
    <w:p w14:paraId="6FFDCE2F" w14:textId="339018A3" w:rsidR="00D044BB" w:rsidRPr="00BC26F6" w:rsidRDefault="00CC0875" w:rsidP="00302113">
      <w:pPr>
        <w:spacing w:line="360" w:lineRule="auto"/>
        <w:ind w:firstLine="708"/>
        <w:jc w:val="both"/>
        <w:rPr>
          <w:color w:val="FF0000"/>
          <w:sz w:val="20"/>
          <w:szCs w:val="20"/>
          <w:lang w:val="en-GB"/>
        </w:rPr>
      </w:pPr>
      <w:r w:rsidRPr="00BC26F6">
        <w:rPr>
          <w:color w:val="FF0000"/>
          <w:sz w:val="20"/>
          <w:szCs w:val="20"/>
          <w:lang w:val="en-GB"/>
        </w:rPr>
        <w:t xml:space="preserve">We recommend that future research go beyond the scope of this case study, which was limited to a single </w:t>
      </w:r>
      <w:r w:rsidR="006A42CC" w:rsidRPr="00BC26F6">
        <w:rPr>
          <w:color w:val="FF0000"/>
          <w:sz w:val="20"/>
          <w:szCs w:val="20"/>
          <w:lang w:val="en-GB"/>
        </w:rPr>
        <w:t>field</w:t>
      </w:r>
      <w:r w:rsidRPr="00BC26F6">
        <w:rPr>
          <w:color w:val="FF0000"/>
          <w:sz w:val="20"/>
          <w:szCs w:val="20"/>
          <w:lang w:val="en-GB"/>
        </w:rPr>
        <w:t xml:space="preserve"> and three wheat cultivars. Expanding the study to include larger sample sizes and experimental areas across different regions with erosion–deposition gradients would provide a broader understanding of cultivar performance. This would allow for more robust conclusions and help assess the generalizability of the observed patterns across diverse environmental and management conditions. Additionally, future studies should aim for a deeper exploration of the internal mechanisms, incorporating causal analyses to better uncover the underlying biological processes and ecological dynamics that drive cultivar responses to soil redistribution.</w:t>
      </w:r>
    </w:p>
    <w:p w14:paraId="1FB66B50" w14:textId="77777777" w:rsidR="007B2525" w:rsidRPr="00DF558D" w:rsidRDefault="007B2525" w:rsidP="00DF0492">
      <w:pPr>
        <w:spacing w:line="360" w:lineRule="auto"/>
        <w:jc w:val="both"/>
        <w:rPr>
          <w:rFonts w:ascii="Times New Roman" w:hAnsi="Times New Roman" w:cs="Times New Roman"/>
          <w:sz w:val="20"/>
          <w:szCs w:val="20"/>
          <w:lang w:val="en-GB"/>
        </w:rPr>
      </w:pPr>
    </w:p>
    <w:p w14:paraId="4E64E6DA" w14:textId="22518D9C" w:rsidR="00883EED" w:rsidRPr="00DF0492" w:rsidRDefault="007163EA" w:rsidP="00DF0492">
      <w:pPr>
        <w:spacing w:line="360" w:lineRule="auto"/>
        <w:jc w:val="both"/>
        <w:rPr>
          <w:rFonts w:ascii="Times New Roman" w:hAnsi="Times New Roman" w:cs="Times New Roman"/>
          <w:b/>
          <w:sz w:val="20"/>
          <w:szCs w:val="20"/>
        </w:rPr>
      </w:pPr>
      <w:r>
        <w:rPr>
          <w:rFonts w:ascii="Times New Roman" w:hAnsi="Times New Roman" w:cs="Times New Roman"/>
          <w:b/>
          <w:sz w:val="20"/>
          <w:szCs w:val="20"/>
        </w:rPr>
        <w:t xml:space="preserve">5 </w:t>
      </w:r>
      <w:r w:rsidR="00FD72EA" w:rsidRPr="00DF0492">
        <w:rPr>
          <w:rFonts w:ascii="Times New Roman" w:hAnsi="Times New Roman" w:cs="Times New Roman"/>
          <w:b/>
          <w:sz w:val="20"/>
          <w:szCs w:val="20"/>
        </w:rPr>
        <w:t>Conclusions</w:t>
      </w:r>
    </w:p>
    <w:p w14:paraId="2A99B746" w14:textId="0B2CA7BF" w:rsidR="00883EED" w:rsidRPr="00DF0492" w:rsidRDefault="00883EED" w:rsidP="00DF0492">
      <w:pPr>
        <w:pStyle w:val="StandardWeb"/>
        <w:spacing w:beforeAutospacing="0" w:afterAutospacing="0" w:line="360" w:lineRule="auto"/>
        <w:ind w:firstLine="708"/>
        <w:jc w:val="both"/>
        <w:rPr>
          <w:sz w:val="20"/>
          <w:szCs w:val="20"/>
          <w:lang w:val="en-GB"/>
        </w:rPr>
      </w:pPr>
      <w:r w:rsidRPr="00DF0492">
        <w:rPr>
          <w:sz w:val="20"/>
          <w:szCs w:val="20"/>
          <w:lang w:val="en-GB"/>
        </w:rPr>
        <w:t>The</w:t>
      </w:r>
      <w:r w:rsidR="00687F7B" w:rsidRPr="00DF0492">
        <w:rPr>
          <w:sz w:val="20"/>
          <w:szCs w:val="20"/>
          <w:lang w:val="en-GB"/>
        </w:rPr>
        <w:t xml:space="preserve"> findings</w:t>
      </w:r>
      <w:r w:rsidRPr="00DF0492">
        <w:rPr>
          <w:sz w:val="20"/>
          <w:szCs w:val="20"/>
          <w:lang w:val="en-GB"/>
        </w:rPr>
        <w:t xml:space="preserve"> of this study</w:t>
      </w:r>
      <w:r w:rsidR="00687F7B" w:rsidRPr="00DF0492">
        <w:rPr>
          <w:sz w:val="20"/>
          <w:szCs w:val="20"/>
          <w:lang w:val="en-GB"/>
        </w:rPr>
        <w:t xml:space="preserve"> highlight the significant impact of soil erosion</w:t>
      </w:r>
      <w:r w:rsidR="006A42CC">
        <w:rPr>
          <w:sz w:val="20"/>
          <w:szCs w:val="20"/>
          <w:lang w:val="en-GB"/>
        </w:rPr>
        <w:t>-deposition</w:t>
      </w:r>
      <w:r w:rsidRPr="00DF0492">
        <w:rPr>
          <w:sz w:val="20"/>
          <w:szCs w:val="20"/>
          <w:lang w:val="en-GB"/>
        </w:rPr>
        <w:t xml:space="preserve"> and wheat cultivars</w:t>
      </w:r>
      <w:r w:rsidR="00687F7B" w:rsidRPr="00DF0492">
        <w:rPr>
          <w:sz w:val="20"/>
          <w:szCs w:val="20"/>
          <w:lang w:val="en-GB"/>
        </w:rPr>
        <w:t xml:space="preserve"> on biomass</w:t>
      </w:r>
      <w:r w:rsidRPr="00DF0492">
        <w:rPr>
          <w:sz w:val="20"/>
          <w:szCs w:val="20"/>
          <w:lang w:val="en-GB"/>
        </w:rPr>
        <w:t xml:space="preserve"> production</w:t>
      </w:r>
      <w:r w:rsidR="00687F7B" w:rsidRPr="00DF0492">
        <w:rPr>
          <w:sz w:val="20"/>
          <w:szCs w:val="20"/>
          <w:lang w:val="en-GB"/>
        </w:rPr>
        <w:t>, with reductions of up to 50% in total biomass, both above and below ground. Recently developed cultivars produce 70% more grain in depositional soils and 30% more in highly eroded soils compared to earlier cultivars. However, this increased grain yield comes with a trade-off: carbon input into the soil is reduced by 32% in eroded soils and 43% in depositional soils. These results suggest cultivar selection</w:t>
      </w:r>
      <w:r w:rsidRPr="00DF0492">
        <w:rPr>
          <w:sz w:val="20"/>
          <w:szCs w:val="20"/>
          <w:lang w:val="en-GB"/>
        </w:rPr>
        <w:t xml:space="preserve"> (or development)</w:t>
      </w:r>
      <w:r w:rsidR="00687F7B" w:rsidRPr="00DF0492">
        <w:rPr>
          <w:sz w:val="20"/>
          <w:szCs w:val="20"/>
          <w:lang w:val="en-GB"/>
        </w:rPr>
        <w:t xml:space="preserve"> should balance grain yield with carbon sequestration potential, especially in eroded areas. Our model shows that earlier-developed cultivars are more efficient at converting intercepted light into root biomass, particularly in eroded soils with limited water availability, demonstrating their adaptability in </w:t>
      </w:r>
      <w:r w:rsidRPr="00DF0492">
        <w:rPr>
          <w:sz w:val="20"/>
          <w:szCs w:val="20"/>
          <w:lang w:val="en-GB"/>
        </w:rPr>
        <w:t>adverse</w:t>
      </w:r>
      <w:r w:rsidR="00687F7B" w:rsidRPr="00DF0492">
        <w:rPr>
          <w:sz w:val="20"/>
          <w:szCs w:val="20"/>
          <w:lang w:val="en-GB"/>
        </w:rPr>
        <w:t xml:space="preserve"> environments. In contrast, newer cultivars are more sensitive to water and erosion. </w:t>
      </w:r>
      <w:r w:rsidRPr="00DF0492">
        <w:rPr>
          <w:sz w:val="20"/>
          <w:szCs w:val="20"/>
          <w:lang w:val="en-GB"/>
        </w:rPr>
        <w:t>Long-term experiments on the impact of water scarcity on root biomass in degraded landscapes, particularly in temperate, dry regions affected by tillage-driven erosion—key areas for crop production in the northern hemisphere—are essential for improving food security and soil carbon turnover.</w:t>
      </w:r>
    </w:p>
    <w:p w14:paraId="6D4C3666" w14:textId="77777777" w:rsidR="00D044BB" w:rsidRPr="00DF0492" w:rsidRDefault="00D044BB" w:rsidP="00DF0492">
      <w:pPr>
        <w:spacing w:line="360" w:lineRule="auto"/>
        <w:jc w:val="both"/>
        <w:rPr>
          <w:rFonts w:ascii="Times New Roman" w:hAnsi="Times New Roman" w:cs="Times New Roman"/>
          <w:b/>
          <w:sz w:val="20"/>
          <w:szCs w:val="20"/>
        </w:rPr>
      </w:pPr>
    </w:p>
    <w:p w14:paraId="1FCFDBCC" w14:textId="77777777" w:rsidR="00D044BB" w:rsidRPr="00DF0492" w:rsidRDefault="00FD72EA" w:rsidP="00DF0492">
      <w:pPr>
        <w:spacing w:line="360" w:lineRule="auto"/>
        <w:jc w:val="both"/>
        <w:rPr>
          <w:rFonts w:ascii="Times New Roman" w:hAnsi="Times New Roman" w:cs="Times New Roman"/>
          <w:b/>
          <w:sz w:val="20"/>
          <w:szCs w:val="20"/>
        </w:rPr>
      </w:pPr>
      <w:r w:rsidRPr="00DF0492">
        <w:rPr>
          <w:rFonts w:ascii="Times New Roman" w:hAnsi="Times New Roman" w:cs="Times New Roman"/>
          <w:b/>
          <w:sz w:val="20"/>
          <w:szCs w:val="20"/>
        </w:rPr>
        <w:t>Acknowledgements</w:t>
      </w:r>
    </w:p>
    <w:p w14:paraId="042FD497" w14:textId="721B03AA" w:rsidR="00D044BB" w:rsidRPr="00DF0492" w:rsidRDefault="00FD72EA" w:rsidP="00DF0492">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 xml:space="preserve">This work was supported by the Deutsche </w:t>
      </w:r>
      <w:proofErr w:type="spellStart"/>
      <w:r w:rsidRPr="00DF0492">
        <w:rPr>
          <w:rFonts w:ascii="Times New Roman" w:hAnsi="Times New Roman" w:cs="Times New Roman"/>
          <w:sz w:val="20"/>
          <w:szCs w:val="20"/>
        </w:rPr>
        <w:t>Forschungsgemeinschaft</w:t>
      </w:r>
      <w:proofErr w:type="spellEnd"/>
      <w:r w:rsidRPr="00DF0492">
        <w:rPr>
          <w:rFonts w:ascii="Times New Roman" w:hAnsi="Times New Roman" w:cs="Times New Roman"/>
          <w:sz w:val="20"/>
          <w:szCs w:val="20"/>
        </w:rPr>
        <w:t xml:space="preserve"> (DFG), under Project Number 422576233 (</w:t>
      </w:r>
      <w:r w:rsidR="00F774A9" w:rsidRPr="00DF0492">
        <w:rPr>
          <w:rFonts w:ascii="Times New Roman" w:hAnsi="Times New Roman" w:cs="Times New Roman"/>
          <w:sz w:val="20"/>
          <w:szCs w:val="20"/>
        </w:rPr>
        <w:t>SO 302/12-1</w:t>
      </w:r>
      <w:r w:rsidRPr="00DF0492">
        <w:rPr>
          <w:rFonts w:ascii="Times New Roman" w:hAnsi="Times New Roman" w:cs="Times New Roman"/>
          <w:sz w:val="20"/>
          <w:szCs w:val="20"/>
        </w:rPr>
        <w:t xml:space="preserve">), as part of the study "Tillage erosion affects crop yields and carbon balance in hummocky landscapes," led by </w:t>
      </w:r>
      <w:r w:rsidR="00F774A9" w:rsidRPr="00DF0492">
        <w:rPr>
          <w:rFonts w:ascii="Times New Roman" w:hAnsi="Times New Roman" w:cs="Times New Roman"/>
          <w:sz w:val="20"/>
          <w:szCs w:val="20"/>
        </w:rPr>
        <w:t xml:space="preserve">Professor Dr. Michael Sommer and </w:t>
      </w:r>
      <w:r w:rsidRPr="00DF0492">
        <w:rPr>
          <w:rFonts w:ascii="Times New Roman" w:hAnsi="Times New Roman" w:cs="Times New Roman"/>
          <w:sz w:val="20"/>
          <w:szCs w:val="20"/>
        </w:rPr>
        <w:t xml:space="preserve">Professor Dr. Peter </w:t>
      </w:r>
      <w:proofErr w:type="spellStart"/>
      <w:r w:rsidRPr="00DF0492">
        <w:rPr>
          <w:rFonts w:ascii="Times New Roman" w:hAnsi="Times New Roman" w:cs="Times New Roman"/>
          <w:sz w:val="20"/>
          <w:szCs w:val="20"/>
        </w:rPr>
        <w:t>Fiener</w:t>
      </w:r>
      <w:proofErr w:type="spellEnd"/>
      <w:r w:rsidRPr="00DF0492">
        <w:rPr>
          <w:rFonts w:ascii="Times New Roman" w:hAnsi="Times New Roman" w:cs="Times New Roman"/>
          <w:sz w:val="20"/>
          <w:szCs w:val="20"/>
        </w:rPr>
        <w:t xml:space="preserve"> </w:t>
      </w:r>
      <w:r w:rsidR="00F774A9" w:rsidRPr="00DF0492">
        <w:rPr>
          <w:rFonts w:ascii="Times New Roman" w:hAnsi="Times New Roman" w:cs="Times New Roman"/>
          <w:sz w:val="20"/>
          <w:szCs w:val="20"/>
        </w:rPr>
        <w:t>(U Augsburg)</w:t>
      </w:r>
      <w:r w:rsidRPr="00DF0492">
        <w:rPr>
          <w:rFonts w:ascii="Times New Roman" w:hAnsi="Times New Roman" w:cs="Times New Roman"/>
          <w:sz w:val="20"/>
          <w:szCs w:val="20"/>
        </w:rPr>
        <w:t xml:space="preserve">. We extend our gratitude to Natalie Papke, Lidia </w:t>
      </w:r>
      <w:proofErr w:type="spellStart"/>
      <w:r w:rsidRPr="00DF0492">
        <w:rPr>
          <w:rFonts w:ascii="Times New Roman" w:hAnsi="Times New Roman" w:cs="Times New Roman"/>
          <w:sz w:val="20"/>
          <w:szCs w:val="20"/>
        </w:rPr>
        <w:t>Völker</w:t>
      </w:r>
      <w:proofErr w:type="spellEnd"/>
      <w:r w:rsidRPr="00DF0492">
        <w:rPr>
          <w:rFonts w:ascii="Times New Roman" w:hAnsi="Times New Roman" w:cs="Times New Roman"/>
          <w:sz w:val="20"/>
          <w:szCs w:val="20"/>
        </w:rPr>
        <w:t xml:space="preserve">, and Sylvia Koszinski for their invaluable assistance with root measurements. We also thank the team at the </w:t>
      </w:r>
      <w:proofErr w:type="spellStart"/>
      <w:r w:rsidRPr="00DF0492">
        <w:rPr>
          <w:rFonts w:ascii="Times New Roman" w:hAnsi="Times New Roman" w:cs="Times New Roman"/>
          <w:sz w:val="20"/>
          <w:szCs w:val="20"/>
        </w:rPr>
        <w:lastRenderedPageBreak/>
        <w:t>Dedelow</w:t>
      </w:r>
      <w:proofErr w:type="spellEnd"/>
      <w:r w:rsidRPr="00DF0492">
        <w:rPr>
          <w:rFonts w:ascii="Times New Roman" w:hAnsi="Times New Roman" w:cs="Times New Roman"/>
          <w:sz w:val="20"/>
          <w:szCs w:val="20"/>
        </w:rPr>
        <w:t xml:space="preserve"> experimental infrastructure platform for their dedicated efforts in agricultural management, harvesting, and providing above-ground plant data.</w:t>
      </w:r>
    </w:p>
    <w:p w14:paraId="15DA7237" w14:textId="77777777" w:rsidR="00AE013E" w:rsidRPr="00DF0492" w:rsidRDefault="00AE013E" w:rsidP="00DF0492">
      <w:pPr>
        <w:spacing w:line="360" w:lineRule="auto"/>
        <w:jc w:val="both"/>
        <w:rPr>
          <w:rFonts w:ascii="Times New Roman" w:hAnsi="Times New Roman" w:cs="Times New Roman"/>
          <w:sz w:val="20"/>
          <w:szCs w:val="20"/>
        </w:rPr>
      </w:pPr>
    </w:p>
    <w:p w14:paraId="67B2FF65" w14:textId="215815D3" w:rsidR="00AE013E" w:rsidRPr="00DF0492" w:rsidRDefault="00AE013E" w:rsidP="00DF0492">
      <w:pPr>
        <w:spacing w:line="360" w:lineRule="auto"/>
        <w:jc w:val="both"/>
        <w:rPr>
          <w:rFonts w:ascii="Times New Roman" w:hAnsi="Times New Roman" w:cs="Times New Roman"/>
          <w:b/>
          <w:sz w:val="20"/>
          <w:szCs w:val="20"/>
        </w:rPr>
      </w:pPr>
      <w:r w:rsidRPr="00DF0492">
        <w:rPr>
          <w:rFonts w:ascii="Times New Roman" w:hAnsi="Times New Roman" w:cs="Times New Roman"/>
          <w:b/>
          <w:sz w:val="20"/>
          <w:szCs w:val="20"/>
        </w:rPr>
        <w:t xml:space="preserve">Author contributions </w:t>
      </w:r>
    </w:p>
    <w:p w14:paraId="723AA0E0" w14:textId="28F494DE" w:rsidR="00AE013E" w:rsidRPr="00DF0492" w:rsidRDefault="0097076D" w:rsidP="00DF0492">
      <w:pPr>
        <w:spacing w:line="360" w:lineRule="auto"/>
        <w:ind w:firstLine="709"/>
        <w:jc w:val="both"/>
        <w:rPr>
          <w:rFonts w:ascii="Times New Roman" w:hAnsi="Times New Roman" w:cs="Times New Roman"/>
          <w:sz w:val="20"/>
          <w:szCs w:val="20"/>
        </w:rPr>
      </w:pPr>
      <w:r w:rsidRPr="00DF0492">
        <w:rPr>
          <w:rFonts w:ascii="Times New Roman" w:hAnsi="Times New Roman" w:cs="Times New Roman"/>
          <w:sz w:val="20"/>
          <w:szCs w:val="20"/>
        </w:rPr>
        <w:t>M.S. conceived of the presented idea. L.A.P.B. structured and took the lead in writing the manuscript. M.S., M.L., and M.W. conceived and planned the experiments. M.L. and M.W. carried out the experiments. L.A.P.B. performed all image analyses, planned and executed the simulations and data analysis. M.S., M.L., M.W., and L.A.P.B. contributed to the interpretation of the results. All authors provided critical feedback and helped shape the research, analysis, and manuscript.</w:t>
      </w:r>
    </w:p>
    <w:p w14:paraId="7F72ACB4" w14:textId="77777777" w:rsidR="0097076D" w:rsidRPr="00DF0492" w:rsidRDefault="0097076D" w:rsidP="00DF0492">
      <w:pPr>
        <w:spacing w:line="360" w:lineRule="auto"/>
        <w:jc w:val="both"/>
        <w:rPr>
          <w:rFonts w:ascii="Times New Roman" w:hAnsi="Times New Roman" w:cs="Times New Roman"/>
          <w:sz w:val="20"/>
          <w:szCs w:val="20"/>
        </w:rPr>
      </w:pPr>
    </w:p>
    <w:p w14:paraId="060D694E" w14:textId="10341DEB" w:rsidR="00AE013E" w:rsidRPr="00DF0492" w:rsidRDefault="0097076D" w:rsidP="00DF0492">
      <w:pPr>
        <w:spacing w:line="360" w:lineRule="auto"/>
        <w:jc w:val="both"/>
        <w:rPr>
          <w:rFonts w:ascii="Times New Roman" w:hAnsi="Times New Roman" w:cs="Times New Roman"/>
          <w:b/>
          <w:sz w:val="20"/>
          <w:szCs w:val="20"/>
        </w:rPr>
      </w:pPr>
      <w:r w:rsidRPr="00DF0492">
        <w:rPr>
          <w:rFonts w:ascii="Times New Roman" w:hAnsi="Times New Roman" w:cs="Times New Roman"/>
          <w:b/>
          <w:sz w:val="20"/>
          <w:szCs w:val="20"/>
        </w:rPr>
        <w:t>Competing interests</w:t>
      </w:r>
    </w:p>
    <w:p w14:paraId="39FB502A" w14:textId="6E4975EA" w:rsidR="00D044BB" w:rsidRPr="00DF0492" w:rsidRDefault="0097076D" w:rsidP="00DF0492">
      <w:pPr>
        <w:spacing w:line="360" w:lineRule="auto"/>
        <w:jc w:val="both"/>
        <w:rPr>
          <w:rFonts w:ascii="Times New Roman" w:hAnsi="Times New Roman" w:cs="Times New Roman"/>
          <w:sz w:val="20"/>
          <w:szCs w:val="20"/>
        </w:rPr>
      </w:pPr>
      <w:r w:rsidRPr="00DF0492">
        <w:rPr>
          <w:rFonts w:ascii="Times New Roman" w:hAnsi="Times New Roman" w:cs="Times New Roman"/>
          <w:sz w:val="20"/>
          <w:szCs w:val="20"/>
        </w:rPr>
        <w:t>The authors declare no competing interests.</w:t>
      </w:r>
    </w:p>
    <w:p w14:paraId="3A6C806F" w14:textId="77777777" w:rsidR="0097076D" w:rsidRPr="00DF0492" w:rsidRDefault="0097076D" w:rsidP="00DF0492">
      <w:pPr>
        <w:spacing w:line="360" w:lineRule="auto"/>
        <w:jc w:val="both"/>
        <w:rPr>
          <w:rFonts w:ascii="Times New Roman" w:hAnsi="Times New Roman" w:cs="Times New Roman"/>
          <w:sz w:val="20"/>
          <w:szCs w:val="20"/>
        </w:rPr>
      </w:pPr>
    </w:p>
    <w:p w14:paraId="793F34A5" w14:textId="77777777" w:rsidR="00D044BB" w:rsidRPr="00DF0492" w:rsidRDefault="00FD72EA" w:rsidP="00DF0492">
      <w:pPr>
        <w:spacing w:line="360" w:lineRule="auto"/>
        <w:jc w:val="both"/>
        <w:rPr>
          <w:rFonts w:ascii="Times New Roman" w:hAnsi="Times New Roman" w:cs="Times New Roman"/>
          <w:b/>
          <w:sz w:val="20"/>
          <w:szCs w:val="20"/>
        </w:rPr>
      </w:pPr>
      <w:r w:rsidRPr="00DF0492">
        <w:rPr>
          <w:rFonts w:ascii="Times New Roman" w:hAnsi="Times New Roman" w:cs="Times New Roman"/>
          <w:b/>
          <w:sz w:val="20"/>
          <w:szCs w:val="20"/>
        </w:rPr>
        <w:t>References</w:t>
      </w:r>
    </w:p>
    <w:p w14:paraId="5A1BC447" w14:textId="442EA1C0" w:rsidR="00CE5DCA" w:rsidRPr="00CE5DCA" w:rsidRDefault="00FD72EA" w:rsidP="00CE5DCA">
      <w:pPr>
        <w:widowControl w:val="0"/>
        <w:autoSpaceDE w:val="0"/>
        <w:autoSpaceDN w:val="0"/>
        <w:adjustRightInd w:val="0"/>
        <w:spacing w:line="360" w:lineRule="auto"/>
        <w:rPr>
          <w:rFonts w:ascii="Times New Roman" w:hAnsi="Times New Roman" w:cs="Times New Roman"/>
          <w:noProof/>
          <w:sz w:val="20"/>
        </w:rPr>
      </w:pPr>
      <w:r w:rsidRPr="00DF0492">
        <w:rPr>
          <w:rFonts w:ascii="Times New Roman" w:hAnsi="Times New Roman" w:cs="Times New Roman"/>
          <w:sz w:val="20"/>
          <w:szCs w:val="20"/>
        </w:rPr>
        <w:fldChar w:fldCharType="begin" w:fldLock="1"/>
      </w:r>
      <w:r w:rsidRPr="00DF0492">
        <w:rPr>
          <w:rFonts w:ascii="Times New Roman" w:hAnsi="Times New Roman" w:cs="Times New Roman"/>
          <w:sz w:val="20"/>
          <w:szCs w:val="20"/>
        </w:rPr>
        <w:instrText>ADDIN Mendeley Bibliography CSL_BIBLIOGRAPHY</w:instrText>
      </w:r>
      <w:r w:rsidRPr="00DF0492">
        <w:rPr>
          <w:rFonts w:ascii="Times New Roman" w:hAnsi="Times New Roman" w:cs="Times New Roman"/>
          <w:sz w:val="20"/>
          <w:szCs w:val="20"/>
        </w:rPr>
        <w:fldChar w:fldCharType="separate"/>
      </w:r>
      <w:r w:rsidR="00CE5DCA" w:rsidRPr="00CE5DCA">
        <w:rPr>
          <w:rFonts w:ascii="Times New Roman" w:hAnsi="Times New Roman" w:cs="Times New Roman"/>
          <w:noProof/>
          <w:sz w:val="20"/>
        </w:rPr>
        <w:t>Aguirrezabal, L. A. N., Pellerin, S., and Tardieu, F.: Carbon nutrition, root branching and elongation: can the present state of knowledge allow a predictive approach at a whole-plant level?, Environ. Exp. Bot., 33, 121–130, 1993.</w:t>
      </w:r>
    </w:p>
    <w:p w14:paraId="7645D106"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Alewell, C., Ringeval, B., Ballabio, C., Robinson, D. A., Panagos, P., and Borrelli, P.: Global phosphorus shortage will be aggravated by soil erosion, Nat. Commun., 11, https://doi.org/10.1038/s41467-020-18326-7, 2020.</w:t>
      </w:r>
    </w:p>
    <w:p w14:paraId="6F70CF55"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Bar-On, Y. M., Li, X., O’Sullivan, M., Wigneron, J.-P., Sitch, S., Ciais, P., Frankenberg, C., and Fischer, W. W.: Recent gains in global terrestrial carbon stocks are mostly stored in nonliving pools, Science (80-. )., 387, 1291–1295, https://doi.org/10.1126/science.adk1637, 2025.</w:t>
      </w:r>
    </w:p>
    <w:p w14:paraId="55CEEF55"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Barbosa, L. A. P., Stein, M., Gerke, H. H., and Schaller, J.: Synergistic effects of organic carbon and silica in preserving structural stability of drying soils, Sci. Rep., 1–11, https://doi.org/10.1038/s41598-024-58916-9, 2024.</w:t>
      </w:r>
    </w:p>
    <w:p w14:paraId="7EC068AA"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Berhe, A. A., Harden, J. W., Torn, M. S., and Harte, J.: Linking soil organic matter dynamics and erosion-induced terrestrial carbon sequestration at different landform positions, J. Geophys. Res. Biogeosciences, 113, 1–12, https://doi.org/10.1029/2008JG000751, 2008.</w:t>
      </w:r>
    </w:p>
    <w:p w14:paraId="367C4B54"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Berhe, A. A., Barnes, R. T., Six, J., and Marín-Spiotta, E.: Role of Soil Erosion in Biogeochemical Cycling of Essential Elements: Carbon, Nitrogen, and Phosphorus, Annu. Rev. Earth Planet. Sci., 46, 521–548, https://doi.org/10.1146/annurev-earth-082517-010018, 2018.</w:t>
      </w:r>
    </w:p>
    <w:p w14:paraId="59629BDF"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Bolinder, M. A., Janzen, H. H., Gregorich, E. G., Angers, D. A., and VandenBygaart, A. J.: An approach for estimating net primary productivity and annual carbon inputs to soil for common agricultural crops in Canada, Agric. Ecosyst. Environ., 118, 29–42, https://doi.org/10.1016/j.agee.2006.05.013, 2007.</w:t>
      </w:r>
    </w:p>
    <w:p w14:paraId="3702A95B"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Borrelli, P., Panagos, P., Alewell, C., Ballabio, C., de Oliveira Fagundes, H., Haregeweyn, N., Lugato, E., Maerker, M., Poesen, J., Vanmaercke, M., and Robinson, D. A.: Policy implications of multiple concurrent soil erosion processes in European farmland, Nat. Sustain., 6, 103–112, https://doi.org/10.1038/s41893-022-00988-4, 2023.</w:t>
      </w:r>
    </w:p>
    <w:p w14:paraId="7C27DEBF"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Bundt, M., Widmer, F., Pesaro, M., Zeyer, J., and Blaser, P.: Preferential flow paths: Biological ‘hot spots’ in soils, Soil Biol. Biochem., 33, 729–738, https://doi.org/10.1016/S0038-0717(00)00218-2, 2001.</w:t>
      </w:r>
    </w:p>
    <w:p w14:paraId="20994BA9"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Button, E. S., Pett-Ridge, J., Murphy, D. V., Kuzyakov, Y., Chadwick, D. R., and Jones, D. L.: Deep-C storage: Biological, chemical and physical strategies to enhance carbon stocks in agricultural subsoils, Soil Biol. Biochem., 170, 108697, https://doi.org/10.1016/j.soilbio.2022.108697, 2022.</w:t>
      </w:r>
    </w:p>
    <w:p w14:paraId="33F8590E"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 xml:space="preserve">Carrel, M., Beltran, M. A., Morales, V. L., Derlon, N., Morgenroth, E., Kaufmann, R., and Holzner, M.: Biofilm imaging in porous media by laboratory X-Ray tomography: Combining a non-destructive contrast agent with </w:t>
      </w:r>
      <w:r w:rsidRPr="00CE5DCA">
        <w:rPr>
          <w:rFonts w:ascii="Times New Roman" w:hAnsi="Times New Roman" w:cs="Times New Roman"/>
          <w:noProof/>
          <w:sz w:val="20"/>
        </w:rPr>
        <w:lastRenderedPageBreak/>
        <w:t>propagation-based phase-contrast imaging tools, PLoS One, 12, e0180374, https://doi.org/10.1371/journal.pone.0180374, 2017.</w:t>
      </w:r>
    </w:p>
    <w:p w14:paraId="597D2C93"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Cormier, F., Foulkes, J., Hirel, B., Gouache, D., Moënne-Loccoz, Y., and Le Gouis, J.: Breeding for increased nitrogen-use efficiency: A review for wheat (T. aestivum L.), Plant Breed., 135, 255–278, https://doi.org/10.1111/pbr.12371, 2016.</w:t>
      </w:r>
    </w:p>
    <w:p w14:paraId="3223EFF9"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Doetterl, S., Berhe, A. A., Nadeu, E., Wang, Z., Sommer, M., and Fiener, P.: Erosion, deposition and soil carbon: A review of process-level controls, experimental tools and models to address C cycling in dynamic landscapes, Earth-Science Rev., 154, 102–122, https://doi.org/10.1016/j.earscirev.2015.12.005, 2016.</w:t>
      </w:r>
    </w:p>
    <w:p w14:paraId="27BA04DE"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Georgiou, K., Jackson, R. B., Vindušková, O., Abramoff, R. Z., Ahlström, A., Feng, W., Harden, J. W., Pellegrini, A. F. A., Polley, H. W., Soong, J. L., Riley, W. J., and Torn, M. S.: Global stocks and capacity of mineral-associated soil organic carbon, Nat. Commun., 13, 1–12, https://doi.org/10.1038/s41467-022-31540-9, 2022.</w:t>
      </w:r>
    </w:p>
    <w:p w14:paraId="26597139"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Geron, A.: Hands-On Machine Learning with Scikit-Learn and TensorFlow, Inc., O’Reilly Media, USA, 2017.</w:t>
      </w:r>
    </w:p>
    <w:p w14:paraId="50595081"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Harden, J. W., Sharpe, J. M., Parton, W. J., Ojima, D. S., Fries, T. L., Huntington, T. G., and Dabney, S. M.: Dynamic replacement and loss of soil carbon on eroding cropland, Global Biogeochem. Cycles, 13, 885–901, https://doi.org/10.1029/1999GB900061, 1999.</w:t>
      </w:r>
    </w:p>
    <w:p w14:paraId="0D723291"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Hartmann, M. and Six, J.: Soil structure and microbiome functions in agroecosystems, Nat. Rev. Earth Environ., 4, 4–18, https://doi.org/10.1038/s43017-022-00366-w, 2023.</w:t>
      </w:r>
    </w:p>
    <w:p w14:paraId="710AA603"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Heinemann, H., Hirte, J., Seidel, F., and Don, A.: Increasing root biomass derived carbon input to agricultural soils by genotype selection – a review, Plant Soil, 490, 19–30, https://doi.org/10.1007/s11104-023-06068-6, 2023.</w:t>
      </w:r>
    </w:p>
    <w:p w14:paraId="408FA9EA"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Heinemann, H., Durand-Maniclas, F., Seidel, F., Ciulla, F., Bárcena, T. G., Camenzind, M., Corrado, S., Csűrös, Z., Czakó, Z., Eylenbosch, D., Ficke, A., Flamm, C., Herrera, J. M., Horáková, V., Hund, A., Lüddeke, F., Platz, F., Poós, B., Rasse, D., da Silva-Lopes, M., Toleikiene, M., Veršulienė, A., Visse-Mansiaux, M., Yu, K., Hirte, J., and Don, A.: Optimising Root and Grain Yield Through Variety Selection in Winter Wheat Across a European Climate Gradient, Eur. J. Soil Sci., 76, https://doi.org/10.1111/ejss.70077, 2025.</w:t>
      </w:r>
    </w:p>
    <w:p w14:paraId="62765457"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Herbrich, M., Gerke, H. H., and Sommer, M.: Root development of winter wheat in erosion-affected soils depending on the position in a hummocky ground moraine soil landscape, J. Plant Nutr. Soil Sci., 181, 147–157, https://doi.org/10.1002/jpln.201600536, 2018.</w:t>
      </w:r>
    </w:p>
    <w:p w14:paraId="708E81BE"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Hirte, J., Leifeld, J., Abiven, S., Oberholzer, H. R., and Mayer, J.: Below ground carbon inputs to soil via root biomass and rhizodeposition of field-grown maize and wheat at harvest are independent of net primary productivity, Agric. Ecosyst. Environ., 265, 556–566, https://doi.org/10.1016/j.agee.2018.07.010, 2018.</w:t>
      </w:r>
    </w:p>
    <w:p w14:paraId="261444B2"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Hoffmann, M., Pohl, M., Jurisch, N., Prescher, A. K., Mendez Campa, E., Hagemann, U., Remus, R., Verch, G., Sommer, M., and Augustin, J.: Maize carbon dynamics are driven by soil erosion state and plant phenology rather than nitrogen fertilization form, Soil Tillage Res., 175, 255–266, https://doi.org/10.1016/j.still.2017.09.004, 2018.</w:t>
      </w:r>
    </w:p>
    <w:p w14:paraId="729C1F14"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Holz, M., Lewin, S., Kolb, S., Becker, J. N., and Bergmann, J.: How to get to the N – a call for interdisciplinary research on organic N utilization pathways by plants, Plant Soil, https://doi.org/10.1007/s11104-024-06839-9, 2024.</w:t>
      </w:r>
    </w:p>
    <w:p w14:paraId="6A6127DE"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Hu, C., Zheng, C., Sadras, V. O., Ding, M., Yang, X., and Zhang, S.: Effect of straw mulch and seeding rate on the harvest index, yield and water use efficiency of winter wheat, Sci. Rep., 8, 1–8, https://doi.org/10.1038/s41598-018-26615-x, 2018.</w:t>
      </w:r>
    </w:p>
    <w:p w14:paraId="2C43552E"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IUSS: IUSS Working Group - World Reference Base for Soil Resources. International soil classification system for naming soils and creating legends for soil maps., World Soil Resources Reports, 2015.</w:t>
      </w:r>
    </w:p>
    <w:p w14:paraId="2E277DE9"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Johnson, M. G., Tingey, D. T., Phillips, D. L., and Storm, M. J.: Advancing fine root research with minirhizotrons, Environ. Exp. Bot., 45, 263–289, https://doi.org/10.1016/S0098-8472(01)00077-6, 2001.</w:t>
      </w:r>
    </w:p>
    <w:p w14:paraId="3C160FF6"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lastRenderedPageBreak/>
        <w:t>Juřicová, A., Öttl, L. K., Wilken, F., Chuman, T., Žížala, D., Minařík, R., and Fiener, P.: Tillage erosion as an underestimated driver of carbon dynamics, Soil Tillage Res., 245, https://doi.org/10.1016/j.still.2024.106287, 2025.</w:t>
      </w:r>
    </w:p>
    <w:p w14:paraId="356F32AD"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Kätterer, T., Hansson, A. C., and Andrén, O.: Wheat root biomass and nitrogen dynamics-effects of daily irrigation and fertilization, Plant Soil, 151, 21–30, https://doi.org/10.1007/BF00010782, 1993.</w:t>
      </w:r>
    </w:p>
    <w:p w14:paraId="05F7D651"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Kätterer, T., Bolinder, M. A., Andrén, O., Kirchmann, H., and Menichetti, L.: Roots contribute more to refractory soil organic matter than above-ground crop residues, as revealed by a long-term field experiment, Agric. Ecosyst. Environ., 141, 184–192, https://doi.org/10.1016/j.agee.2011.02.029, 2011.</w:t>
      </w:r>
    </w:p>
    <w:p w14:paraId="0FE58F23"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Keller, T., Sandin, M., Colombi, T., Horn, R., and Or, D.: Historical increase in agricultural machinery weights enhanced soil stress levels and adversely affected soil functioning, Soil Tillage Res., 194, 104293, https://doi.org/10.1016/j.still.2019.104293, 2019.</w:t>
      </w:r>
    </w:p>
    <w:p w14:paraId="74B0DD8C"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472631">
        <w:rPr>
          <w:rFonts w:ascii="Times New Roman" w:hAnsi="Times New Roman" w:cs="Times New Roman"/>
          <w:noProof/>
          <w:sz w:val="20"/>
          <w:lang w:val="de-DE"/>
        </w:rPr>
        <w:t xml:space="preserve">Kietzer, B.: Aufklärung der Bodenverlagerung durch Bearbeitungserosion in Jungmoränenlandschaften, Fak. </w:t>
      </w:r>
      <w:r w:rsidRPr="00CE5DCA">
        <w:rPr>
          <w:rFonts w:ascii="Times New Roman" w:hAnsi="Times New Roman" w:cs="Times New Roman"/>
          <w:noProof/>
          <w:sz w:val="20"/>
        </w:rPr>
        <w:t>VI - Plan. Bau. Umwelt, Dr.-Ing., 136, 2007.</w:t>
      </w:r>
    </w:p>
    <w:p w14:paraId="403027AA"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Kosmas, C., Gerontidis, S., Marathianou, M., Detsis, B., Zafiriou, T., Nan Muysen, W., Govers, G., Quine, T., and Vanoost, K.: The effects of tillage displaced soil on soil properties and wheat biomass, Soil Tillage Res., 58, 31–44, https://doi.org/10.1016/S0167-1987(00)00175-6, 2001.</w:t>
      </w:r>
    </w:p>
    <w:p w14:paraId="126E7C80"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Leue, M., Hoffmann, C., Hierold, W., and Sommer, M.: In-situ multi-sensor characterization of soil cores along an erosion-deposition gradient, Catena, 182, https://doi.org/10.1016/j.catena.2019.104140, 2019.</w:t>
      </w:r>
    </w:p>
    <w:p w14:paraId="33AB08E0"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Leue, M., Holz, M., Gerke, H. H., Taube, R., Puppe, D., and Wirth, S.: Spatially-distributed microbial enzyme activities at intact, coated macropore surfaces in Luvisol Bt-horizons, Soil Biol. Biochem., 156, 108193, https://doi.org/10.1016/j.soilbio.2021.108193, 2021.</w:t>
      </w:r>
    </w:p>
    <w:p w14:paraId="43805310"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Li, W., Jin, C., Guan, D., Wang, Q., Wang, A., Yuan, F., and Wu, J.: The effects of simulated nitrogen deposition on plant root traits: A meta-analysis, Soil Biol. Biochem., 82, 112–118, https://doi.org/10.1016/j.soilbio.2015.01.001, 2015.</w:t>
      </w:r>
    </w:p>
    <w:p w14:paraId="2CFF76EA"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Lichthardt, C., Chen, T. W., Stahl, A., and Stützel, H.: Co-Evolution of Sink and Source in the Recent Breeding History of Winter Wheat in Germany, Front. Plant Sci., 10, 1–15, https://doi.org/10.3389/fpls.2019.01771, 2020.</w:t>
      </w:r>
    </w:p>
    <w:p w14:paraId="5F81AA46"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Martre, P., Dueri, S., Guarin, J. R., Ewert, F., Webber, H., Calderini, D., Molero, G., Reynolds, M., Miralles, D., Garcia, G., Brown, H., George, M., Craigie, R., Cohan, J. P., Deswarte, J. C., Slafer, G., Giunta, F., Cammarano, D., Ferrise, R., Gaiser, T., Gao, Y., Hochman, Z., Hoogenboom, G., Hunt, L. A., Kersebaum, K. C., Nendel, C., Padovan, G., Ruane, A. C., Srivastava, A. K., Stella, T., Supit, I., Thorburn, P., Wang, E., Wolf, J., Zhao, C., Zhao, Z., and Asseng, S.: Global needs for nitrogen fertilizer to improve wheat yield under climate change, Nat. Plants, 10, 1081–1090, https://doi.org/10.1038/s41477-024-01739-3, 2024.</w:t>
      </w:r>
    </w:p>
    <w:p w14:paraId="0C6E3346"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van der Meij, W. M., Reimann, T., Vornehm, V. K., Temme, A. J. A. M., Wallinga, J., van Beek, R., and Sommer, M.: Reconstructing rates and patterns of colluvial soil redistribution in agrarian (hummocky) landscapes, Earth Surf. Process. Landforms, 44, 2408–2422, https://doi.org/10.1002/esp.4671, 2019.</w:t>
      </w:r>
    </w:p>
    <w:p w14:paraId="7AB1B0DC"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Milchunas, D. G.: Estimating root production: Comparison of 11 methods in shortgrass steppe and review of biases, Ecosystems, 12, 1381–1402, https://doi.org/10.1007/s10021-009-9295-8, 2009.</w:t>
      </w:r>
    </w:p>
    <w:p w14:paraId="0DDADD1D"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Nie, X. J., Zhang, H. B., and Su, Y. Y.: Soil carbon and nitrogen fraction dynamics affected by tillage erosion, Sci. Rep., 9, 1–8, https://doi.org/10.1038/s41598-019-53077-6, 2019.</w:t>
      </w:r>
    </w:p>
    <w:p w14:paraId="2061584F"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Van Oost, K., Govers, G., de Alba, S., and Quine, T. A.: Tillage erosion: A review of controlling factors and implications for soil quality, Prog. Phys. Geogr., 30, 443–466, https://doi.org/10.1191/0309133306pp487ra, 2006.</w:t>
      </w:r>
    </w:p>
    <w:p w14:paraId="5185A012"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Öttl, L. K., Wilken, F., Auerswald, K., Sommer, M., Wehrhan, M., and Fiener, P.: Tillage erosion as an important driver of in-field biomass patterns in an intensively used hummocky landscape, L. Degrad. Dev., 32, 3077–3091, https://doi.org/10.1002/ldr.3968, 2021.</w:t>
      </w:r>
    </w:p>
    <w:p w14:paraId="0E5AB66C"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lastRenderedPageBreak/>
        <w:t>Öttl, L. K., Wilken, F., Hupfer, A., Sommer, M., and Fiener, P.: Non-inversion conservation tillage as an underestimated driver of tillage erosion, Sci. Rep., 12, 1–12, https://doi.org/10.1038/s41598-022-24749-7, 2022.</w:t>
      </w:r>
    </w:p>
    <w:p w14:paraId="49150595"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Parry, M. A. J., Reynolds, M., Salvucci, M. E., Raines, C., Andralojc, P. J., Zhu, X. G., Price, G. D., Condon, A. G., and Furbank, R. T.: Raising yield potential of wheat. II. Increasing photosynthetic capacity and efficiency, J. Exp. Bot., 62, 453–467, https://doi.org/10.1093/jxb/erq304, 2011.</w:t>
      </w:r>
    </w:p>
    <w:p w14:paraId="4683EF62"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Pedregosa, F., Varoquaux, G., Gramfort, A., Michel, V., Thirion, B., Grisel, O., Blondel, M., Prettenhofer, P., Weiss, R., Dubourg, V., Vanderplas, J., Passos, A., Cournapeau, D., Brucher, M., Perrot, M., and Douchesnay, É.: Scikit-learn: Machine Learning in Python Fabian, J. ofMachine Learn. Res., 12, 2825–2830, 2011.</w:t>
      </w:r>
    </w:p>
    <w:p w14:paraId="4E835CAA"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Piñeiro, V., Arias, J., Dürr, J., Elverdin, P., Ibáñez, A. M., Kinengyere, A., Opazo, C. M., Owoo, N., Page, J. R., Prager, S. D., and Torero, M.: A scoping review on incentives for adoption of sustainable agricultural practices and their outcomes, Nat. Sustain., 3, 809–820, https://doi.org/10.1038/s41893-020-00617-y, 2020.</w:t>
      </w:r>
    </w:p>
    <w:p w14:paraId="2086CC56"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Poeplau, C., Don, A., and Schneider, F.: Roots are key to increasing the mean residence time of organic carbon entering temperate agricultural soils, Glob. Chang. Biol., 27, 4921–4934, https://doi.org/10.1111/gcb.15787, 2021.</w:t>
      </w:r>
    </w:p>
    <w:p w14:paraId="6E59CC44"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Poesen, J.: Soil erosion in the Anthropocene: Research needs, Earth Surf. Process. Landforms, 43, 64–84, https://doi.org/10.1002/esp.4250, 2018.</w:t>
      </w:r>
    </w:p>
    <w:p w14:paraId="05FE426B"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Poirier, V., Roumet, C., and Munson, A. D.: The root of the matter: Linking root traits and soil organic matter stabilization processes, Soil Biol. Biochem., 120, 246–259, https://doi.org/10.1016/j.soilbio.2018.02.016, 2018.</w:t>
      </w:r>
    </w:p>
    <w:p w14:paraId="0646C423"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Popova, L., Van Dusschoten, D., Nagel, K. A., Fiorani, F., and Mazzolai, B.: Plant root tortuosity: An indicator of root path formation in soil with different composition and density, Ann. Bot., 118, 685–698, https://doi.org/10.1093/aob/mcw057, 2016.</w:t>
      </w:r>
    </w:p>
    <w:p w14:paraId="63DF2E35"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Qiao, L., Wang, X., Smith, P., Fan, J., Lu, Y., Emmett, B., Li, R., Dorling, S., Chen, H., Liu, S., Benton, T. G., Wang, Y., Ma, Y., Jiang, R., Zhang, F., Piao, S., Mϋller, C., Yang, H., Hao, Y., Li, W., and Fan, M.: Soil quality both increases crop production and improves resilience to climate change, Nat. Clim. Chang., 12, 574–580, https://doi.org/10.1038/s41558-022-01376-8, 2022.</w:t>
      </w:r>
    </w:p>
    <w:p w14:paraId="03FC89A4"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Qin, T., Feng, J., Zhang, X., Li, C., Fan, J., Zhang, C., Dong, B., Wang, H., and Yan, D.: Continued decline of global soil moisture content, with obvious soil stratification and regional difference, Sci. Total Environ., 864, 160982, https://doi.org/10.1016/j.scitotenv.2022.160982, 2023.</w:t>
      </w:r>
    </w:p>
    <w:p w14:paraId="0A38F8A7"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Quinton, J. N., Govers, G., Van Oost, K., and Bardgett, R. D.: The impact of agricultural soil erosion on biogeochemical cycling, Nat. Geosci., 3, 311–314, https://doi.org/10.1038/ngeo838, 2010.</w:t>
      </w:r>
    </w:p>
    <w:p w14:paraId="46A7C841"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Quinton, J. N., Öttl, L. K., and Fiener, P.: Tillage exacerbates the vulnerability of cereal crops to drought, Nat. Food, 3, 472–479, https://doi.org/10.1038/s43016-022-00533-8, 2022.</w:t>
      </w:r>
    </w:p>
    <w:p w14:paraId="2DBA3830"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R Core Team: R: A Language and Environment for Statistical Computing, R Found. Stat. Comput. Vienna, Austria., 2017.</w:t>
      </w:r>
    </w:p>
    <w:p w14:paraId="5C0A435B"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Remus, R., Kaiser, M., Kleber, M., Augustin, J., and Sommer, M.: Demonstration of the rapid incorporation of carbon into protective, mineral-associated organic carbon fractions in an eroded soil from the CarboZALF experimental site, Plant Soil, 430, 329–348, https://doi.org/10.1007/s11104-018-3724-4, 2018.</w:t>
      </w:r>
    </w:p>
    <w:p w14:paraId="10C6E390"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Robinson, D.: Root proliferation, nitrate inflow and their carbon costs during nitrogen capture by competing plants in patchy soil, Plant Soil, 232, 41–50, https://doi.org/10.1023/A:1010377818094, 2001.</w:t>
      </w:r>
    </w:p>
    <w:p w14:paraId="3914B533"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Rose, L.: Pitfalls in root trait calculations: How ignoring diameter heterogeneity can lead to overestimation of functional traits, Front. Plant Sci., 8, 1–5, https://doi.org/10.3389/fpls.2017.00898, 2017.</w:t>
      </w:r>
    </w:p>
    <w:p w14:paraId="6A782D9B"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 xml:space="preserve">Rouch, L., Follain, S., Pimet, E., Bizouard, F., Cognard, E., Mathieu, O., and Blouin, M.: Ancient and modern wheat varieties: A trade-off between soil CO2 emissions and grain yield?, J. Sustain. Agric. Environ., 2, 238–250, </w:t>
      </w:r>
      <w:r w:rsidRPr="00CE5DCA">
        <w:rPr>
          <w:rFonts w:ascii="Times New Roman" w:hAnsi="Times New Roman" w:cs="Times New Roman"/>
          <w:noProof/>
          <w:sz w:val="20"/>
        </w:rPr>
        <w:lastRenderedPageBreak/>
        <w:t>https://doi.org/10.1002/sae2.12048, 2023.</w:t>
      </w:r>
    </w:p>
    <w:p w14:paraId="1F7A8979"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Sanchez-Garcia, M., Álvaro, F., Peremarti, A., Trevaskis, B., Martín-Sánchez, J. A., and Royo, C.: Breeding effects on dry matter accumulation and partitioning in Spanish bread wheat during the 20th century, Euphytica, 203, 321–336, https://doi.org/10.1007/s10681-014-1268-0, 2015.</w:t>
      </w:r>
    </w:p>
    <w:p w14:paraId="3AF8AB98"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Schlichting, E., Blume, H. P., and Stahr, K.: Soils Practical (in German), Blackwell, Berlin, Wien, Germany, Austria, 1995.</w:t>
      </w:r>
    </w:p>
    <w:p w14:paraId="70DBA861"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Seethepalli, A., Dhakal, K., Griffiths, M., Guo, H., Freschet, G. T., and York, L. M.: RhizoVision Explorer: Open-source software for root image analysis and measurement standardization, AoB Plants, 13, 1–15, https://doi.org/10.1093/aobpla/plab056, 2021.</w:t>
      </w:r>
    </w:p>
    <w:p w14:paraId="35D779FD"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Smith, A. G., Han, E., Petersen, J., Olsen, N. A. F., Giese, C., Athmann, M., Dresbøll, D. B., and Thorup-Kristensen, K.: RootPainter: deep learning segmentation of biological images with corrective annotation, New Phytol., 236, 774–791, https://doi.org/10.1111/nph.18387, 2022.</w:t>
      </w:r>
    </w:p>
    <w:p w14:paraId="266FB65A"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Sommer, M., Gerke, H. H., and Deumlich, D.: Modelling soil landscape genesis - A ‘time split’ approach for hummocky agricultural landscapes, Geoderma, 145, 480–493, https://doi.org/10.1016/j.geoderma.2008.01.012, 2008.</w:t>
      </w:r>
    </w:p>
    <w:p w14:paraId="26B37390"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Sommer, M., Augustin, J., and Kleber, M.: Feedbacks of soil erosion on SOC patterns and carbon dynamics in agricultural landscapes-The CarboZALF experiment, Soil Tillage Res., 156, 182–184, https://doi.org/10.1016/j.still.2015.09.015, 2016.</w:t>
      </w:r>
    </w:p>
    <w:p w14:paraId="4D651F1F"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Stock, O., Bens, O., and Hüttl, R. F.: The interrelationship between the cultivation of crops and soil-strength dynamics, J. Plant Nutr. Soil Sci., 170, 713–720, https://doi.org/10.1002/jpln.200625009, 2007.</w:t>
      </w:r>
    </w:p>
    <w:p w14:paraId="3B67D0DD"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Wilken, F., Ketterer, M., Koszinski, S., Sommer, M., and Fiener, P.: Pu tracer measurements using inverse modelling, Soil, 6, 549–564, 2020.</w:t>
      </w:r>
    </w:p>
    <w:p w14:paraId="18C477A5" w14:textId="77777777" w:rsidR="00CE5DCA" w:rsidRPr="00CE5DCA" w:rsidRDefault="00CE5DCA" w:rsidP="00CE5DCA">
      <w:pPr>
        <w:widowControl w:val="0"/>
        <w:autoSpaceDE w:val="0"/>
        <w:autoSpaceDN w:val="0"/>
        <w:adjustRightInd w:val="0"/>
        <w:spacing w:line="360" w:lineRule="auto"/>
        <w:rPr>
          <w:rFonts w:ascii="Times New Roman" w:hAnsi="Times New Roman" w:cs="Times New Roman"/>
          <w:noProof/>
          <w:sz w:val="20"/>
        </w:rPr>
      </w:pPr>
      <w:r w:rsidRPr="00CE5DCA">
        <w:rPr>
          <w:rFonts w:ascii="Times New Roman" w:hAnsi="Times New Roman" w:cs="Times New Roman"/>
          <w:noProof/>
          <w:sz w:val="20"/>
        </w:rPr>
        <w:t>Würschum, T., Leiser, W. L., Langer, S. M., Tucker, M. R., and Longin, C. F. H.: Phenotypic and genetic analysis of spike and kernel characteristics in wheat reveals long-term genetic trends of grain yield components, Theor. Appl. Genet., 131, 2071–2084, https://doi.org/10.1007/s00122-018-3133-3, 2018.</w:t>
      </w:r>
    </w:p>
    <w:p w14:paraId="70370E5C" w14:textId="77777777" w:rsidR="00D044BB" w:rsidRPr="00DF0492" w:rsidRDefault="00FD72EA" w:rsidP="00DF0492">
      <w:pPr>
        <w:spacing w:line="360" w:lineRule="auto"/>
        <w:jc w:val="both"/>
        <w:rPr>
          <w:rFonts w:ascii="Times New Roman" w:hAnsi="Times New Roman" w:cs="Times New Roman"/>
          <w:b/>
          <w:sz w:val="20"/>
          <w:szCs w:val="20"/>
        </w:rPr>
      </w:pPr>
      <w:r w:rsidRPr="00DF0492">
        <w:rPr>
          <w:rFonts w:ascii="Times New Roman" w:hAnsi="Times New Roman" w:cs="Times New Roman"/>
          <w:sz w:val="20"/>
          <w:szCs w:val="20"/>
        </w:rPr>
        <w:fldChar w:fldCharType="end"/>
      </w:r>
    </w:p>
    <w:sectPr w:rsidR="00D044BB" w:rsidRPr="00DF0492" w:rsidSect="000B3A32">
      <w:footerReference w:type="default" r:id="rId13"/>
      <w:type w:val="continuous"/>
      <w:pgSz w:w="11906" w:h="16838"/>
      <w:pgMar w:top="1134" w:right="1134" w:bottom="1134" w:left="1134" w:header="0" w:footer="737" w:gutter="0"/>
      <w:lnNumType w:countBy="5" w:restart="continuous"/>
      <w:cols w:space="720"/>
      <w:formProt w:val="0"/>
      <w:docGrid w:linePitch="600" w:charSpace="32768"/>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EB011B9" w16cex:dateUtc="2025-06-08T08:23:00Z"/>
  <w16cex:commentExtensible w16cex:durableId="0562B991" w16cex:dateUtc="2025-06-08T08:22:00Z"/>
  <w16cex:commentExtensible w16cex:durableId="616EF049" w16cex:dateUtc="2025-06-08T08:28:00Z"/>
  <w16cex:commentExtensible w16cex:durableId="540C0EF0" w16cex:dateUtc="2025-06-08T08:52:00Z"/>
  <w16cex:commentExtensible w16cex:durableId="648DC2B7" w16cex:dateUtc="2025-06-08T09:00:00Z"/>
  <w16cex:commentExtensible w16cex:durableId="2B9A7334" w16cex:dateUtc="2025-06-08T09:03:00Z"/>
  <w16cex:commentExtensible w16cex:durableId="40586DB3" w16cex:dateUtc="2025-06-08T09:0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27BD5FC" w16cid:durableId="1EB011B9"/>
  <w16cid:commentId w16cid:paraId="35D727BA" w16cid:durableId="0562B991"/>
  <w16cid:commentId w16cid:paraId="72C91F55" w16cid:durableId="616EF049"/>
  <w16cid:commentId w16cid:paraId="1B5C6F4C" w16cid:durableId="540C0EF0"/>
  <w16cid:commentId w16cid:paraId="74E58ED0" w16cid:durableId="648DC2B7"/>
  <w16cid:commentId w16cid:paraId="057B9C6B" w16cid:durableId="2B9A7334"/>
  <w16cid:commentId w16cid:paraId="54C2C7FF" w16cid:durableId="40586DB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7CB05F" w14:textId="77777777" w:rsidR="00873519" w:rsidRDefault="00873519" w:rsidP="000B3A32">
      <w:r>
        <w:separator/>
      </w:r>
    </w:p>
  </w:endnote>
  <w:endnote w:type="continuationSeparator" w:id="0">
    <w:p w14:paraId="08D1A7F0" w14:textId="77777777" w:rsidR="00873519" w:rsidRDefault="00873519" w:rsidP="000B3A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Liberation Serif">
    <w:altName w:val="Times New Roman"/>
    <w:charset w:val="01"/>
    <w:family w:val="roman"/>
    <w:pitch w:val="variable"/>
  </w:font>
  <w:font w:name="Noto Serif CJK SC">
    <w:altName w:val="Times New Roman"/>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Liberation Sans">
    <w:altName w:val="Arial"/>
    <w:charset w:val="01"/>
    <w:family w:val="roman"/>
    <w:pitch w:val="variable"/>
  </w:font>
  <w:font w:name="Noto Sans CJK SC">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6444533"/>
      <w:docPartObj>
        <w:docPartGallery w:val="Page Numbers (Bottom of Page)"/>
        <w:docPartUnique/>
      </w:docPartObj>
    </w:sdtPr>
    <w:sdtEndPr>
      <w:rPr>
        <w:rFonts w:ascii="Times New Roman" w:hAnsi="Times New Roman" w:cs="Times New Roman"/>
        <w:sz w:val="20"/>
        <w:szCs w:val="20"/>
      </w:rPr>
    </w:sdtEndPr>
    <w:sdtContent>
      <w:p w14:paraId="1BDB00C3" w14:textId="3FA5243B" w:rsidR="00B8691F" w:rsidRPr="000B3A32" w:rsidRDefault="00B8691F">
        <w:pPr>
          <w:pStyle w:val="Fuzeile"/>
          <w:jc w:val="center"/>
          <w:rPr>
            <w:rFonts w:ascii="Times New Roman" w:hAnsi="Times New Roman" w:cs="Times New Roman"/>
            <w:sz w:val="20"/>
            <w:szCs w:val="20"/>
          </w:rPr>
        </w:pPr>
        <w:r w:rsidRPr="000B3A32">
          <w:rPr>
            <w:rFonts w:ascii="Times New Roman" w:hAnsi="Times New Roman" w:cs="Times New Roman"/>
            <w:sz w:val="20"/>
            <w:szCs w:val="20"/>
          </w:rPr>
          <w:fldChar w:fldCharType="begin"/>
        </w:r>
        <w:r w:rsidRPr="000B3A32">
          <w:rPr>
            <w:rFonts w:ascii="Times New Roman" w:hAnsi="Times New Roman" w:cs="Times New Roman"/>
            <w:sz w:val="20"/>
            <w:szCs w:val="20"/>
          </w:rPr>
          <w:instrText>PAGE   \* MERGEFORMAT</w:instrText>
        </w:r>
        <w:r w:rsidRPr="000B3A32">
          <w:rPr>
            <w:rFonts w:ascii="Times New Roman" w:hAnsi="Times New Roman" w:cs="Times New Roman"/>
            <w:sz w:val="20"/>
            <w:szCs w:val="20"/>
          </w:rPr>
          <w:fldChar w:fldCharType="separate"/>
        </w:r>
        <w:r w:rsidR="00865ED7" w:rsidRPr="00865ED7">
          <w:rPr>
            <w:rFonts w:ascii="Times New Roman" w:hAnsi="Times New Roman" w:cs="Times New Roman"/>
            <w:noProof/>
            <w:sz w:val="20"/>
            <w:szCs w:val="20"/>
            <w:lang w:val="de-DE"/>
          </w:rPr>
          <w:t>19</w:t>
        </w:r>
        <w:r w:rsidRPr="000B3A32">
          <w:rPr>
            <w:rFonts w:ascii="Times New Roman" w:hAnsi="Times New Roman" w:cs="Times New Roman"/>
            <w:sz w:val="20"/>
            <w:szCs w:val="20"/>
          </w:rPr>
          <w:fldChar w:fldCharType="end"/>
        </w:r>
      </w:p>
    </w:sdtContent>
  </w:sdt>
  <w:p w14:paraId="50D348A5" w14:textId="77777777" w:rsidR="00B8691F" w:rsidRDefault="00B8691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70495A" w14:textId="77777777" w:rsidR="00873519" w:rsidRDefault="00873519" w:rsidP="000B3A32">
      <w:r>
        <w:separator/>
      </w:r>
    </w:p>
  </w:footnote>
  <w:footnote w:type="continuationSeparator" w:id="0">
    <w:p w14:paraId="3DCFD097" w14:textId="77777777" w:rsidR="00873519" w:rsidRDefault="00873519" w:rsidP="000B3A3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5"/>
  <w:proofState w:spelling="clean" w:grammar="clean"/>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4BB"/>
    <w:rsid w:val="00002458"/>
    <w:rsid w:val="0001492B"/>
    <w:rsid w:val="000206ED"/>
    <w:rsid w:val="000209F2"/>
    <w:rsid w:val="00021010"/>
    <w:rsid w:val="00027DBD"/>
    <w:rsid w:val="000346AF"/>
    <w:rsid w:val="00044772"/>
    <w:rsid w:val="00053873"/>
    <w:rsid w:val="00054EC6"/>
    <w:rsid w:val="000579C9"/>
    <w:rsid w:val="00064A36"/>
    <w:rsid w:val="00066F84"/>
    <w:rsid w:val="00070494"/>
    <w:rsid w:val="00073912"/>
    <w:rsid w:val="00076DBD"/>
    <w:rsid w:val="000776C6"/>
    <w:rsid w:val="000832B5"/>
    <w:rsid w:val="000836B6"/>
    <w:rsid w:val="00095220"/>
    <w:rsid w:val="00096F60"/>
    <w:rsid w:val="000A1E76"/>
    <w:rsid w:val="000A3386"/>
    <w:rsid w:val="000A7D7F"/>
    <w:rsid w:val="000B01F5"/>
    <w:rsid w:val="000B0328"/>
    <w:rsid w:val="000B3A32"/>
    <w:rsid w:val="000B525C"/>
    <w:rsid w:val="000C0E57"/>
    <w:rsid w:val="000D2F5C"/>
    <w:rsid w:val="000E3806"/>
    <w:rsid w:val="000F10F0"/>
    <w:rsid w:val="00101F65"/>
    <w:rsid w:val="0010413B"/>
    <w:rsid w:val="001043FE"/>
    <w:rsid w:val="0013383A"/>
    <w:rsid w:val="00140D51"/>
    <w:rsid w:val="00150A2C"/>
    <w:rsid w:val="00153BC5"/>
    <w:rsid w:val="00162F92"/>
    <w:rsid w:val="00170007"/>
    <w:rsid w:val="001721A1"/>
    <w:rsid w:val="00181D28"/>
    <w:rsid w:val="00196919"/>
    <w:rsid w:val="001C0610"/>
    <w:rsid w:val="001C0FCF"/>
    <w:rsid w:val="001C53CF"/>
    <w:rsid w:val="001D04C4"/>
    <w:rsid w:val="001D154F"/>
    <w:rsid w:val="001D47D1"/>
    <w:rsid w:val="001E0385"/>
    <w:rsid w:val="001E2F84"/>
    <w:rsid w:val="001F687E"/>
    <w:rsid w:val="002156CD"/>
    <w:rsid w:val="00215900"/>
    <w:rsid w:val="002160F2"/>
    <w:rsid w:val="00220BD7"/>
    <w:rsid w:val="002532BB"/>
    <w:rsid w:val="0025644C"/>
    <w:rsid w:val="002655C8"/>
    <w:rsid w:val="002740A5"/>
    <w:rsid w:val="002816F2"/>
    <w:rsid w:val="0028188F"/>
    <w:rsid w:val="002849A4"/>
    <w:rsid w:val="00284C13"/>
    <w:rsid w:val="002901F3"/>
    <w:rsid w:val="00291CAF"/>
    <w:rsid w:val="00295567"/>
    <w:rsid w:val="00296B0A"/>
    <w:rsid w:val="002A0F15"/>
    <w:rsid w:val="002A5DF4"/>
    <w:rsid w:val="002A7DA6"/>
    <w:rsid w:val="002B37AE"/>
    <w:rsid w:val="002B6905"/>
    <w:rsid w:val="002C1110"/>
    <w:rsid w:val="002C3D9F"/>
    <w:rsid w:val="002C428C"/>
    <w:rsid w:val="002C7AAA"/>
    <w:rsid w:val="002D6ED0"/>
    <w:rsid w:val="002F1110"/>
    <w:rsid w:val="002F2BB4"/>
    <w:rsid w:val="00302113"/>
    <w:rsid w:val="0030360F"/>
    <w:rsid w:val="003110ED"/>
    <w:rsid w:val="00322AB2"/>
    <w:rsid w:val="00332C23"/>
    <w:rsid w:val="003439CF"/>
    <w:rsid w:val="00350EB2"/>
    <w:rsid w:val="00352698"/>
    <w:rsid w:val="00352AF5"/>
    <w:rsid w:val="003632F0"/>
    <w:rsid w:val="003661C5"/>
    <w:rsid w:val="00367A2F"/>
    <w:rsid w:val="00370A38"/>
    <w:rsid w:val="0038399A"/>
    <w:rsid w:val="003932D1"/>
    <w:rsid w:val="0039557E"/>
    <w:rsid w:val="0039580C"/>
    <w:rsid w:val="003B4450"/>
    <w:rsid w:val="003B6087"/>
    <w:rsid w:val="003C6D30"/>
    <w:rsid w:val="003C6FE1"/>
    <w:rsid w:val="003C7B98"/>
    <w:rsid w:val="003D46A4"/>
    <w:rsid w:val="003F71ED"/>
    <w:rsid w:val="004040C2"/>
    <w:rsid w:val="00405AC8"/>
    <w:rsid w:val="00422F7A"/>
    <w:rsid w:val="004232D7"/>
    <w:rsid w:val="00426D50"/>
    <w:rsid w:val="00427916"/>
    <w:rsid w:val="00435C27"/>
    <w:rsid w:val="00436881"/>
    <w:rsid w:val="004433A3"/>
    <w:rsid w:val="0044379D"/>
    <w:rsid w:val="0045018F"/>
    <w:rsid w:val="00460678"/>
    <w:rsid w:val="00465BF6"/>
    <w:rsid w:val="00472631"/>
    <w:rsid w:val="004870D4"/>
    <w:rsid w:val="004878B5"/>
    <w:rsid w:val="004B2C41"/>
    <w:rsid w:val="004B3822"/>
    <w:rsid w:val="004B463A"/>
    <w:rsid w:val="004B6E26"/>
    <w:rsid w:val="004C0872"/>
    <w:rsid w:val="004D0324"/>
    <w:rsid w:val="004D3021"/>
    <w:rsid w:val="004D35B6"/>
    <w:rsid w:val="004D6494"/>
    <w:rsid w:val="004E0C7B"/>
    <w:rsid w:val="004E1A17"/>
    <w:rsid w:val="004F0E20"/>
    <w:rsid w:val="004F6578"/>
    <w:rsid w:val="00501D02"/>
    <w:rsid w:val="00503389"/>
    <w:rsid w:val="005242EB"/>
    <w:rsid w:val="00525AD8"/>
    <w:rsid w:val="00536F39"/>
    <w:rsid w:val="00541F40"/>
    <w:rsid w:val="00550FD3"/>
    <w:rsid w:val="00566CA6"/>
    <w:rsid w:val="005722AF"/>
    <w:rsid w:val="00575644"/>
    <w:rsid w:val="005761D8"/>
    <w:rsid w:val="0059030E"/>
    <w:rsid w:val="00593AC5"/>
    <w:rsid w:val="0059542B"/>
    <w:rsid w:val="005B1D7B"/>
    <w:rsid w:val="005B60FE"/>
    <w:rsid w:val="005B7282"/>
    <w:rsid w:val="005E1944"/>
    <w:rsid w:val="005E1D43"/>
    <w:rsid w:val="005E362F"/>
    <w:rsid w:val="005F06B4"/>
    <w:rsid w:val="005F41ED"/>
    <w:rsid w:val="005F4B92"/>
    <w:rsid w:val="00617334"/>
    <w:rsid w:val="006208F9"/>
    <w:rsid w:val="00626E36"/>
    <w:rsid w:val="00633124"/>
    <w:rsid w:val="0063351A"/>
    <w:rsid w:val="00644B05"/>
    <w:rsid w:val="0064601B"/>
    <w:rsid w:val="00673DE4"/>
    <w:rsid w:val="006816E0"/>
    <w:rsid w:val="00687F7B"/>
    <w:rsid w:val="006A42CC"/>
    <w:rsid w:val="006A45EA"/>
    <w:rsid w:val="006B7810"/>
    <w:rsid w:val="006B7F6A"/>
    <w:rsid w:val="006C6541"/>
    <w:rsid w:val="006D0F0D"/>
    <w:rsid w:val="006D61E2"/>
    <w:rsid w:val="006E5288"/>
    <w:rsid w:val="00701D32"/>
    <w:rsid w:val="007163EA"/>
    <w:rsid w:val="007170EB"/>
    <w:rsid w:val="007221B6"/>
    <w:rsid w:val="00727524"/>
    <w:rsid w:val="00727AFC"/>
    <w:rsid w:val="00734DD3"/>
    <w:rsid w:val="00742D48"/>
    <w:rsid w:val="007516EC"/>
    <w:rsid w:val="0076034F"/>
    <w:rsid w:val="00761FEE"/>
    <w:rsid w:val="0077460E"/>
    <w:rsid w:val="007A04B5"/>
    <w:rsid w:val="007A0C71"/>
    <w:rsid w:val="007A7372"/>
    <w:rsid w:val="007B23A7"/>
    <w:rsid w:val="007B2525"/>
    <w:rsid w:val="007B5040"/>
    <w:rsid w:val="007B6B3B"/>
    <w:rsid w:val="007D07A4"/>
    <w:rsid w:val="007D1A82"/>
    <w:rsid w:val="007D2480"/>
    <w:rsid w:val="007D46C8"/>
    <w:rsid w:val="007E19A6"/>
    <w:rsid w:val="007E5503"/>
    <w:rsid w:val="007E6207"/>
    <w:rsid w:val="007F5C74"/>
    <w:rsid w:val="007F5DA0"/>
    <w:rsid w:val="00801F83"/>
    <w:rsid w:val="00805BCA"/>
    <w:rsid w:val="00806CB6"/>
    <w:rsid w:val="00807D80"/>
    <w:rsid w:val="008270FA"/>
    <w:rsid w:val="008353F7"/>
    <w:rsid w:val="00844C41"/>
    <w:rsid w:val="00847447"/>
    <w:rsid w:val="0085566B"/>
    <w:rsid w:val="00856E1A"/>
    <w:rsid w:val="00861D93"/>
    <w:rsid w:val="00865ED7"/>
    <w:rsid w:val="008663E1"/>
    <w:rsid w:val="00873519"/>
    <w:rsid w:val="00874ACC"/>
    <w:rsid w:val="00883EED"/>
    <w:rsid w:val="00892554"/>
    <w:rsid w:val="00892F10"/>
    <w:rsid w:val="008A096E"/>
    <w:rsid w:val="008A2A50"/>
    <w:rsid w:val="008B3B6B"/>
    <w:rsid w:val="008D6CE5"/>
    <w:rsid w:val="008D7DC1"/>
    <w:rsid w:val="008F6E86"/>
    <w:rsid w:val="00900A99"/>
    <w:rsid w:val="00906EDF"/>
    <w:rsid w:val="00911F6B"/>
    <w:rsid w:val="00912E68"/>
    <w:rsid w:val="00913071"/>
    <w:rsid w:val="009134FD"/>
    <w:rsid w:val="00922A43"/>
    <w:rsid w:val="009351D4"/>
    <w:rsid w:val="00947142"/>
    <w:rsid w:val="00956871"/>
    <w:rsid w:val="00957762"/>
    <w:rsid w:val="00957E2A"/>
    <w:rsid w:val="00962DEC"/>
    <w:rsid w:val="00966543"/>
    <w:rsid w:val="00967866"/>
    <w:rsid w:val="0097076D"/>
    <w:rsid w:val="00971BDE"/>
    <w:rsid w:val="00973C14"/>
    <w:rsid w:val="0097513F"/>
    <w:rsid w:val="00975980"/>
    <w:rsid w:val="00991213"/>
    <w:rsid w:val="009B75F8"/>
    <w:rsid w:val="009C3545"/>
    <w:rsid w:val="009D39C2"/>
    <w:rsid w:val="009E4A35"/>
    <w:rsid w:val="009E64F8"/>
    <w:rsid w:val="00A04997"/>
    <w:rsid w:val="00A057E6"/>
    <w:rsid w:val="00A121E3"/>
    <w:rsid w:val="00A12928"/>
    <w:rsid w:val="00A146A7"/>
    <w:rsid w:val="00A20A07"/>
    <w:rsid w:val="00A20CBB"/>
    <w:rsid w:val="00A24CAD"/>
    <w:rsid w:val="00A37950"/>
    <w:rsid w:val="00A424F5"/>
    <w:rsid w:val="00A6013A"/>
    <w:rsid w:val="00A664FB"/>
    <w:rsid w:val="00A76D2A"/>
    <w:rsid w:val="00A8077D"/>
    <w:rsid w:val="00A85604"/>
    <w:rsid w:val="00A905C5"/>
    <w:rsid w:val="00A9147B"/>
    <w:rsid w:val="00A95323"/>
    <w:rsid w:val="00A97B0B"/>
    <w:rsid w:val="00AA02A8"/>
    <w:rsid w:val="00AA6842"/>
    <w:rsid w:val="00AC461E"/>
    <w:rsid w:val="00AC57B7"/>
    <w:rsid w:val="00AE013E"/>
    <w:rsid w:val="00AE741D"/>
    <w:rsid w:val="00AF2914"/>
    <w:rsid w:val="00B10A2A"/>
    <w:rsid w:val="00B16635"/>
    <w:rsid w:val="00B209FF"/>
    <w:rsid w:val="00B25102"/>
    <w:rsid w:val="00B255D5"/>
    <w:rsid w:val="00B25685"/>
    <w:rsid w:val="00B33C53"/>
    <w:rsid w:val="00B425FB"/>
    <w:rsid w:val="00B46C00"/>
    <w:rsid w:val="00B6330C"/>
    <w:rsid w:val="00B65F3E"/>
    <w:rsid w:val="00B75BEA"/>
    <w:rsid w:val="00B80201"/>
    <w:rsid w:val="00B8691F"/>
    <w:rsid w:val="00B86A57"/>
    <w:rsid w:val="00B947B0"/>
    <w:rsid w:val="00BA5590"/>
    <w:rsid w:val="00BA6EF4"/>
    <w:rsid w:val="00BA736F"/>
    <w:rsid w:val="00BB0B98"/>
    <w:rsid w:val="00BC0955"/>
    <w:rsid w:val="00BC26F6"/>
    <w:rsid w:val="00BC4BA8"/>
    <w:rsid w:val="00BD34A5"/>
    <w:rsid w:val="00BD45EB"/>
    <w:rsid w:val="00BD5B2B"/>
    <w:rsid w:val="00BF2458"/>
    <w:rsid w:val="00BF7875"/>
    <w:rsid w:val="00C02ABD"/>
    <w:rsid w:val="00C04C1B"/>
    <w:rsid w:val="00C0574F"/>
    <w:rsid w:val="00C05D9C"/>
    <w:rsid w:val="00C060A8"/>
    <w:rsid w:val="00C110E5"/>
    <w:rsid w:val="00C12C2C"/>
    <w:rsid w:val="00C14006"/>
    <w:rsid w:val="00C220F8"/>
    <w:rsid w:val="00C23928"/>
    <w:rsid w:val="00C23D8D"/>
    <w:rsid w:val="00C324D9"/>
    <w:rsid w:val="00C3380B"/>
    <w:rsid w:val="00C4153C"/>
    <w:rsid w:val="00C4270C"/>
    <w:rsid w:val="00C44113"/>
    <w:rsid w:val="00C524F1"/>
    <w:rsid w:val="00C6262D"/>
    <w:rsid w:val="00C74ACD"/>
    <w:rsid w:val="00C76E2A"/>
    <w:rsid w:val="00C87114"/>
    <w:rsid w:val="00CA3993"/>
    <w:rsid w:val="00CA4AA2"/>
    <w:rsid w:val="00CA5A3C"/>
    <w:rsid w:val="00CB3819"/>
    <w:rsid w:val="00CB75FE"/>
    <w:rsid w:val="00CC0875"/>
    <w:rsid w:val="00CC1B22"/>
    <w:rsid w:val="00CD5E21"/>
    <w:rsid w:val="00CD6FE6"/>
    <w:rsid w:val="00CE08EA"/>
    <w:rsid w:val="00CE5DCA"/>
    <w:rsid w:val="00CE623C"/>
    <w:rsid w:val="00CF1226"/>
    <w:rsid w:val="00D044BB"/>
    <w:rsid w:val="00D05235"/>
    <w:rsid w:val="00D11AEB"/>
    <w:rsid w:val="00D13E9F"/>
    <w:rsid w:val="00D207B1"/>
    <w:rsid w:val="00D2173F"/>
    <w:rsid w:val="00D25E18"/>
    <w:rsid w:val="00D3118F"/>
    <w:rsid w:val="00D33C6D"/>
    <w:rsid w:val="00D4455B"/>
    <w:rsid w:val="00D47013"/>
    <w:rsid w:val="00D71146"/>
    <w:rsid w:val="00D7457A"/>
    <w:rsid w:val="00D8660F"/>
    <w:rsid w:val="00D870F4"/>
    <w:rsid w:val="00D92365"/>
    <w:rsid w:val="00D9262F"/>
    <w:rsid w:val="00D93481"/>
    <w:rsid w:val="00D9631C"/>
    <w:rsid w:val="00DA04E9"/>
    <w:rsid w:val="00DA3225"/>
    <w:rsid w:val="00DA4FEF"/>
    <w:rsid w:val="00DB1AC6"/>
    <w:rsid w:val="00DB46F5"/>
    <w:rsid w:val="00DB5899"/>
    <w:rsid w:val="00DC4124"/>
    <w:rsid w:val="00DD0B48"/>
    <w:rsid w:val="00DD5E4D"/>
    <w:rsid w:val="00DE3193"/>
    <w:rsid w:val="00DE4B28"/>
    <w:rsid w:val="00DE749D"/>
    <w:rsid w:val="00DE7F1E"/>
    <w:rsid w:val="00DF0492"/>
    <w:rsid w:val="00DF3F4C"/>
    <w:rsid w:val="00DF4CC2"/>
    <w:rsid w:val="00DF558D"/>
    <w:rsid w:val="00DF5C8B"/>
    <w:rsid w:val="00E10CCC"/>
    <w:rsid w:val="00E25C88"/>
    <w:rsid w:val="00E338AD"/>
    <w:rsid w:val="00E346ED"/>
    <w:rsid w:val="00E34A31"/>
    <w:rsid w:val="00E40FE3"/>
    <w:rsid w:val="00E43257"/>
    <w:rsid w:val="00E442CB"/>
    <w:rsid w:val="00E5144B"/>
    <w:rsid w:val="00E53359"/>
    <w:rsid w:val="00E53F13"/>
    <w:rsid w:val="00E5765D"/>
    <w:rsid w:val="00E62838"/>
    <w:rsid w:val="00E63DC7"/>
    <w:rsid w:val="00E83343"/>
    <w:rsid w:val="00E8556D"/>
    <w:rsid w:val="00EA0B56"/>
    <w:rsid w:val="00EA195B"/>
    <w:rsid w:val="00EA3C97"/>
    <w:rsid w:val="00EA688C"/>
    <w:rsid w:val="00EB4DD1"/>
    <w:rsid w:val="00EC372B"/>
    <w:rsid w:val="00EE2085"/>
    <w:rsid w:val="00EE36AC"/>
    <w:rsid w:val="00F012DB"/>
    <w:rsid w:val="00F035B4"/>
    <w:rsid w:val="00F04E4C"/>
    <w:rsid w:val="00F14D02"/>
    <w:rsid w:val="00F4790B"/>
    <w:rsid w:val="00F51CE7"/>
    <w:rsid w:val="00F561DC"/>
    <w:rsid w:val="00F6160E"/>
    <w:rsid w:val="00F70135"/>
    <w:rsid w:val="00F73EF6"/>
    <w:rsid w:val="00F774A9"/>
    <w:rsid w:val="00F832C5"/>
    <w:rsid w:val="00F95038"/>
    <w:rsid w:val="00FA2148"/>
    <w:rsid w:val="00FA5DC8"/>
    <w:rsid w:val="00FA796E"/>
    <w:rsid w:val="00FB24DF"/>
    <w:rsid w:val="00FB40A3"/>
    <w:rsid w:val="00FB69B0"/>
    <w:rsid w:val="00FC2D27"/>
    <w:rsid w:val="00FC411D"/>
    <w:rsid w:val="00FC52AA"/>
    <w:rsid w:val="00FC7909"/>
    <w:rsid w:val="00FD19C2"/>
    <w:rsid w:val="00FD72EA"/>
    <w:rsid w:val="00FE06D2"/>
    <w:rsid w:val="00FE2594"/>
    <w:rsid w:val="00FE5024"/>
    <w:rsid w:val="00FF400B"/>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B170C3"/>
  <w15:docId w15:val="{F0FDADA7-3FF9-42A1-B2B9-A391346D58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Liberation Serif" w:eastAsia="Noto Serif CJK SC" w:hAnsi="Liberation Serif" w:cs="Lohit Devanagari"/>
        <w:kern w:val="2"/>
        <w:sz w:val="24"/>
        <w:szCs w:val="24"/>
        <w:lang w:val="en-US" w:eastAsia="zh-CN" w:bidi="hi-IN"/>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qFormat/>
    <w:rsid w:val="00333A14"/>
  </w:style>
  <w:style w:type="character" w:styleId="Kommentarzeichen">
    <w:name w:val="annotation reference"/>
    <w:basedOn w:val="Absatz-Standardschriftart"/>
    <w:uiPriority w:val="99"/>
    <w:semiHidden/>
    <w:unhideWhenUsed/>
    <w:qFormat/>
    <w:rsid w:val="003D7A37"/>
    <w:rPr>
      <w:sz w:val="16"/>
      <w:szCs w:val="16"/>
    </w:rPr>
  </w:style>
  <w:style w:type="character" w:customStyle="1" w:styleId="KommentartextZchn">
    <w:name w:val="Kommentartext Zchn"/>
    <w:basedOn w:val="Absatz-Standardschriftart"/>
    <w:link w:val="Kommentartext"/>
    <w:uiPriority w:val="99"/>
    <w:qFormat/>
    <w:rsid w:val="003D7A37"/>
    <w:rPr>
      <w:rFonts w:asciiTheme="minorHAnsi" w:eastAsiaTheme="minorHAnsi" w:hAnsiTheme="minorHAnsi" w:cstheme="minorBidi"/>
      <w:kern w:val="0"/>
      <w:sz w:val="20"/>
      <w:szCs w:val="20"/>
      <w:lang w:val="en-GB" w:eastAsia="en-US" w:bidi="ar-SA"/>
    </w:rPr>
  </w:style>
  <w:style w:type="character" w:customStyle="1" w:styleId="SprechblasentextZchn">
    <w:name w:val="Sprechblasentext Zchn"/>
    <w:basedOn w:val="Absatz-Standardschriftart"/>
    <w:link w:val="Sprechblasentext"/>
    <w:uiPriority w:val="99"/>
    <w:semiHidden/>
    <w:qFormat/>
    <w:rsid w:val="003D7A37"/>
    <w:rPr>
      <w:rFonts w:ascii="Segoe UI" w:hAnsi="Segoe UI" w:cs="Mangal"/>
      <w:sz w:val="18"/>
      <w:szCs w:val="16"/>
    </w:rPr>
  </w:style>
  <w:style w:type="character" w:customStyle="1" w:styleId="KommentarthemaZchn">
    <w:name w:val="Kommentarthema Zchn"/>
    <w:basedOn w:val="KommentartextZchn"/>
    <w:link w:val="Kommentarthema"/>
    <w:uiPriority w:val="99"/>
    <w:semiHidden/>
    <w:qFormat/>
    <w:rsid w:val="00D54AC8"/>
    <w:rPr>
      <w:rFonts w:asciiTheme="minorHAnsi" w:eastAsiaTheme="minorHAnsi" w:hAnsiTheme="minorHAnsi" w:cs="Mangal"/>
      <w:b/>
      <w:bCs/>
      <w:kern w:val="0"/>
      <w:sz w:val="20"/>
      <w:szCs w:val="18"/>
      <w:lang w:val="en-GB" w:eastAsia="en-US" w:bidi="ar-SA"/>
    </w:rPr>
  </w:style>
  <w:style w:type="character" w:styleId="Fett">
    <w:name w:val="Strong"/>
    <w:basedOn w:val="Absatz-Standardschriftart"/>
    <w:uiPriority w:val="22"/>
    <w:qFormat/>
    <w:rsid w:val="005D04FF"/>
    <w:rPr>
      <w:b/>
      <w:bCs/>
    </w:rPr>
  </w:style>
  <w:style w:type="character" w:customStyle="1" w:styleId="Zeilennummerierung">
    <w:name w:val="Zeilennummerierung"/>
  </w:style>
  <w:style w:type="paragraph" w:customStyle="1" w:styleId="berschrift">
    <w:name w:val="Überschrift"/>
    <w:basedOn w:val="Standard"/>
    <w:next w:val="Textkrper"/>
    <w:qFormat/>
    <w:pPr>
      <w:keepNext/>
      <w:spacing w:before="240" w:after="120"/>
    </w:pPr>
    <w:rPr>
      <w:rFonts w:ascii="Liberation Sans" w:eastAsia="Noto Sans CJK SC" w:hAnsi="Liberation Sans"/>
      <w:sz w:val="28"/>
      <w:szCs w:val="28"/>
    </w:rPr>
  </w:style>
  <w:style w:type="paragraph" w:styleId="Textkrper">
    <w:name w:val="Body Text"/>
    <w:basedOn w:val="Standard"/>
    <w:pPr>
      <w:spacing w:after="140" w:line="276" w:lineRule="auto"/>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Verzeichnis">
    <w:name w:val="Verzeichnis"/>
    <w:basedOn w:val="Standard"/>
    <w:qFormat/>
    <w:pPr>
      <w:suppressLineNumbers/>
    </w:pPr>
  </w:style>
  <w:style w:type="paragraph" w:customStyle="1" w:styleId="Tabelleninhalt">
    <w:name w:val="Tabelleninhalt"/>
    <w:basedOn w:val="Standard"/>
    <w:qFormat/>
    <w:pPr>
      <w:suppressLineNumbers/>
    </w:pPr>
  </w:style>
  <w:style w:type="paragraph" w:styleId="StandardWeb">
    <w:name w:val="Normal (Web)"/>
    <w:basedOn w:val="Standard"/>
    <w:uiPriority w:val="99"/>
    <w:unhideWhenUsed/>
    <w:qFormat/>
    <w:rsid w:val="00333A14"/>
    <w:pPr>
      <w:suppressAutoHyphens w:val="0"/>
      <w:spacing w:beforeAutospacing="1" w:afterAutospacing="1"/>
    </w:pPr>
    <w:rPr>
      <w:rFonts w:ascii="Times New Roman" w:eastAsia="Times New Roman" w:hAnsi="Times New Roman" w:cs="Times New Roman"/>
      <w:kern w:val="0"/>
      <w:lang w:val="de-DE" w:eastAsia="de-DE" w:bidi="ar-SA"/>
    </w:rPr>
  </w:style>
  <w:style w:type="paragraph" w:styleId="Kommentartext">
    <w:name w:val="annotation text"/>
    <w:basedOn w:val="Standard"/>
    <w:link w:val="KommentartextZchn"/>
    <w:uiPriority w:val="99"/>
    <w:unhideWhenUsed/>
    <w:qFormat/>
    <w:rsid w:val="003D7A37"/>
    <w:pPr>
      <w:suppressAutoHyphens w:val="0"/>
      <w:spacing w:after="160"/>
    </w:pPr>
    <w:rPr>
      <w:rFonts w:asciiTheme="minorHAnsi" w:eastAsiaTheme="minorHAnsi" w:hAnsiTheme="minorHAnsi" w:cstheme="minorBidi"/>
      <w:kern w:val="0"/>
      <w:sz w:val="20"/>
      <w:szCs w:val="20"/>
      <w:lang w:val="en-GB" w:eastAsia="en-US" w:bidi="ar-SA"/>
    </w:rPr>
  </w:style>
  <w:style w:type="paragraph" w:styleId="Sprechblasentext">
    <w:name w:val="Balloon Text"/>
    <w:basedOn w:val="Standard"/>
    <w:link w:val="SprechblasentextZchn"/>
    <w:uiPriority w:val="99"/>
    <w:semiHidden/>
    <w:unhideWhenUsed/>
    <w:qFormat/>
    <w:rsid w:val="003D7A37"/>
    <w:rPr>
      <w:rFonts w:ascii="Segoe UI" w:hAnsi="Segoe UI" w:cs="Mangal"/>
      <w:sz w:val="18"/>
      <w:szCs w:val="16"/>
    </w:rPr>
  </w:style>
  <w:style w:type="paragraph" w:styleId="Kommentarthema">
    <w:name w:val="annotation subject"/>
    <w:basedOn w:val="Kommentartext"/>
    <w:next w:val="Kommentartext"/>
    <w:link w:val="KommentarthemaZchn"/>
    <w:uiPriority w:val="99"/>
    <w:semiHidden/>
    <w:unhideWhenUsed/>
    <w:qFormat/>
    <w:rsid w:val="00D54AC8"/>
    <w:pPr>
      <w:suppressAutoHyphens/>
      <w:spacing w:after="0"/>
    </w:pPr>
    <w:rPr>
      <w:rFonts w:ascii="Liberation Serif" w:eastAsia="Noto Serif CJK SC" w:hAnsi="Liberation Serif" w:cs="Mangal"/>
      <w:b/>
      <w:bCs/>
      <w:kern w:val="2"/>
      <w:szCs w:val="18"/>
      <w:lang w:val="en-US" w:eastAsia="zh-CN" w:bidi="hi-IN"/>
    </w:rPr>
  </w:style>
  <w:style w:type="paragraph" w:styleId="berarbeitung">
    <w:name w:val="Revision"/>
    <w:uiPriority w:val="99"/>
    <w:semiHidden/>
    <w:qFormat/>
    <w:rsid w:val="003B720E"/>
    <w:pPr>
      <w:suppressAutoHyphens w:val="0"/>
    </w:pPr>
    <w:rPr>
      <w:rFonts w:cs="Mangal"/>
      <w:szCs w:val="21"/>
    </w:rPr>
  </w:style>
  <w:style w:type="table" w:styleId="Tabellenraster">
    <w:name w:val="Table Grid"/>
    <w:basedOn w:val="NormaleTabelle"/>
    <w:uiPriority w:val="39"/>
    <w:rsid w:val="00757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0B3A32"/>
    <w:pPr>
      <w:tabs>
        <w:tab w:val="center" w:pos="4536"/>
        <w:tab w:val="right" w:pos="9072"/>
      </w:tabs>
    </w:pPr>
    <w:rPr>
      <w:rFonts w:cs="Mangal"/>
      <w:szCs w:val="21"/>
    </w:rPr>
  </w:style>
  <w:style w:type="character" w:customStyle="1" w:styleId="KopfzeileZchn">
    <w:name w:val="Kopfzeile Zchn"/>
    <w:basedOn w:val="Absatz-Standardschriftart"/>
    <w:link w:val="Kopfzeile"/>
    <w:uiPriority w:val="99"/>
    <w:rsid w:val="000B3A32"/>
    <w:rPr>
      <w:rFonts w:cs="Mangal"/>
      <w:szCs w:val="21"/>
    </w:rPr>
  </w:style>
  <w:style w:type="paragraph" w:styleId="Fuzeile">
    <w:name w:val="footer"/>
    <w:basedOn w:val="Standard"/>
    <w:link w:val="FuzeileZchn"/>
    <w:uiPriority w:val="99"/>
    <w:unhideWhenUsed/>
    <w:rsid w:val="000B3A32"/>
    <w:pPr>
      <w:tabs>
        <w:tab w:val="center" w:pos="4536"/>
        <w:tab w:val="right" w:pos="9072"/>
      </w:tabs>
    </w:pPr>
    <w:rPr>
      <w:rFonts w:cs="Mangal"/>
      <w:szCs w:val="21"/>
    </w:rPr>
  </w:style>
  <w:style w:type="character" w:customStyle="1" w:styleId="FuzeileZchn">
    <w:name w:val="Fußzeile Zchn"/>
    <w:basedOn w:val="Absatz-Standardschriftart"/>
    <w:link w:val="Fuzeile"/>
    <w:uiPriority w:val="99"/>
    <w:rsid w:val="000B3A32"/>
    <w:rPr>
      <w:rFonts w:cs="Mangal"/>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105296">
      <w:bodyDiv w:val="1"/>
      <w:marLeft w:val="0"/>
      <w:marRight w:val="0"/>
      <w:marTop w:val="0"/>
      <w:marBottom w:val="0"/>
      <w:divBdr>
        <w:top w:val="none" w:sz="0" w:space="0" w:color="auto"/>
        <w:left w:val="none" w:sz="0" w:space="0" w:color="auto"/>
        <w:bottom w:val="none" w:sz="0" w:space="0" w:color="auto"/>
        <w:right w:val="none" w:sz="0" w:space="0" w:color="auto"/>
      </w:divBdr>
      <w:divsChild>
        <w:div w:id="1717117868">
          <w:marLeft w:val="0"/>
          <w:marRight w:val="0"/>
          <w:marTop w:val="0"/>
          <w:marBottom w:val="0"/>
          <w:divBdr>
            <w:top w:val="none" w:sz="0" w:space="0" w:color="auto"/>
            <w:left w:val="none" w:sz="0" w:space="0" w:color="auto"/>
            <w:bottom w:val="none" w:sz="0" w:space="0" w:color="auto"/>
            <w:right w:val="none" w:sz="0" w:space="0" w:color="auto"/>
          </w:divBdr>
          <w:divsChild>
            <w:div w:id="1784227268">
              <w:marLeft w:val="0"/>
              <w:marRight w:val="0"/>
              <w:marTop w:val="0"/>
              <w:marBottom w:val="0"/>
              <w:divBdr>
                <w:top w:val="none" w:sz="0" w:space="0" w:color="auto"/>
                <w:left w:val="none" w:sz="0" w:space="0" w:color="auto"/>
                <w:bottom w:val="none" w:sz="0" w:space="0" w:color="auto"/>
                <w:right w:val="none" w:sz="0" w:space="0" w:color="auto"/>
              </w:divBdr>
              <w:divsChild>
                <w:div w:id="117141751">
                  <w:marLeft w:val="0"/>
                  <w:marRight w:val="0"/>
                  <w:marTop w:val="0"/>
                  <w:marBottom w:val="0"/>
                  <w:divBdr>
                    <w:top w:val="none" w:sz="0" w:space="0" w:color="auto"/>
                    <w:left w:val="none" w:sz="0" w:space="0" w:color="auto"/>
                    <w:bottom w:val="none" w:sz="0" w:space="0" w:color="auto"/>
                    <w:right w:val="none" w:sz="0" w:space="0" w:color="auto"/>
                  </w:divBdr>
                  <w:divsChild>
                    <w:div w:id="1025516083">
                      <w:marLeft w:val="0"/>
                      <w:marRight w:val="0"/>
                      <w:marTop w:val="0"/>
                      <w:marBottom w:val="0"/>
                      <w:divBdr>
                        <w:top w:val="none" w:sz="0" w:space="0" w:color="auto"/>
                        <w:left w:val="none" w:sz="0" w:space="0" w:color="auto"/>
                        <w:bottom w:val="none" w:sz="0" w:space="0" w:color="auto"/>
                        <w:right w:val="none" w:sz="0" w:space="0" w:color="auto"/>
                      </w:divBdr>
                      <w:divsChild>
                        <w:div w:id="1258640201">
                          <w:marLeft w:val="0"/>
                          <w:marRight w:val="0"/>
                          <w:marTop w:val="0"/>
                          <w:marBottom w:val="0"/>
                          <w:divBdr>
                            <w:top w:val="none" w:sz="0" w:space="0" w:color="auto"/>
                            <w:left w:val="none" w:sz="0" w:space="0" w:color="auto"/>
                            <w:bottom w:val="none" w:sz="0" w:space="0" w:color="auto"/>
                            <w:right w:val="none" w:sz="0" w:space="0" w:color="auto"/>
                          </w:divBdr>
                          <w:divsChild>
                            <w:div w:id="1026758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523811">
      <w:bodyDiv w:val="1"/>
      <w:marLeft w:val="0"/>
      <w:marRight w:val="0"/>
      <w:marTop w:val="0"/>
      <w:marBottom w:val="0"/>
      <w:divBdr>
        <w:top w:val="none" w:sz="0" w:space="0" w:color="auto"/>
        <w:left w:val="none" w:sz="0" w:space="0" w:color="auto"/>
        <w:bottom w:val="none" w:sz="0" w:space="0" w:color="auto"/>
        <w:right w:val="none" w:sz="0" w:space="0" w:color="auto"/>
      </w:divBdr>
    </w:div>
    <w:div w:id="262803860">
      <w:bodyDiv w:val="1"/>
      <w:marLeft w:val="0"/>
      <w:marRight w:val="0"/>
      <w:marTop w:val="0"/>
      <w:marBottom w:val="0"/>
      <w:divBdr>
        <w:top w:val="none" w:sz="0" w:space="0" w:color="auto"/>
        <w:left w:val="none" w:sz="0" w:space="0" w:color="auto"/>
        <w:bottom w:val="none" w:sz="0" w:space="0" w:color="auto"/>
        <w:right w:val="none" w:sz="0" w:space="0" w:color="auto"/>
      </w:divBdr>
      <w:divsChild>
        <w:div w:id="1682774392">
          <w:marLeft w:val="0"/>
          <w:marRight w:val="0"/>
          <w:marTop w:val="0"/>
          <w:marBottom w:val="0"/>
          <w:divBdr>
            <w:top w:val="none" w:sz="0" w:space="0" w:color="auto"/>
            <w:left w:val="none" w:sz="0" w:space="0" w:color="auto"/>
            <w:bottom w:val="none" w:sz="0" w:space="0" w:color="auto"/>
            <w:right w:val="none" w:sz="0" w:space="0" w:color="auto"/>
          </w:divBdr>
          <w:divsChild>
            <w:div w:id="1763840087">
              <w:marLeft w:val="0"/>
              <w:marRight w:val="0"/>
              <w:marTop w:val="0"/>
              <w:marBottom w:val="0"/>
              <w:divBdr>
                <w:top w:val="none" w:sz="0" w:space="0" w:color="auto"/>
                <w:left w:val="none" w:sz="0" w:space="0" w:color="auto"/>
                <w:bottom w:val="none" w:sz="0" w:space="0" w:color="auto"/>
                <w:right w:val="none" w:sz="0" w:space="0" w:color="auto"/>
              </w:divBdr>
              <w:divsChild>
                <w:div w:id="1326588039">
                  <w:marLeft w:val="0"/>
                  <w:marRight w:val="0"/>
                  <w:marTop w:val="0"/>
                  <w:marBottom w:val="0"/>
                  <w:divBdr>
                    <w:top w:val="none" w:sz="0" w:space="0" w:color="auto"/>
                    <w:left w:val="none" w:sz="0" w:space="0" w:color="auto"/>
                    <w:bottom w:val="none" w:sz="0" w:space="0" w:color="auto"/>
                    <w:right w:val="none" w:sz="0" w:space="0" w:color="auto"/>
                  </w:divBdr>
                  <w:divsChild>
                    <w:div w:id="1496874075">
                      <w:marLeft w:val="0"/>
                      <w:marRight w:val="0"/>
                      <w:marTop w:val="0"/>
                      <w:marBottom w:val="0"/>
                      <w:divBdr>
                        <w:top w:val="none" w:sz="0" w:space="0" w:color="auto"/>
                        <w:left w:val="none" w:sz="0" w:space="0" w:color="auto"/>
                        <w:bottom w:val="none" w:sz="0" w:space="0" w:color="auto"/>
                        <w:right w:val="none" w:sz="0" w:space="0" w:color="auto"/>
                      </w:divBdr>
                      <w:divsChild>
                        <w:div w:id="691027951">
                          <w:marLeft w:val="0"/>
                          <w:marRight w:val="0"/>
                          <w:marTop w:val="0"/>
                          <w:marBottom w:val="0"/>
                          <w:divBdr>
                            <w:top w:val="none" w:sz="0" w:space="0" w:color="auto"/>
                            <w:left w:val="none" w:sz="0" w:space="0" w:color="auto"/>
                            <w:bottom w:val="none" w:sz="0" w:space="0" w:color="auto"/>
                            <w:right w:val="none" w:sz="0" w:space="0" w:color="auto"/>
                          </w:divBdr>
                          <w:divsChild>
                            <w:div w:id="1937708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1759840">
      <w:bodyDiv w:val="1"/>
      <w:marLeft w:val="0"/>
      <w:marRight w:val="0"/>
      <w:marTop w:val="0"/>
      <w:marBottom w:val="0"/>
      <w:divBdr>
        <w:top w:val="none" w:sz="0" w:space="0" w:color="auto"/>
        <w:left w:val="none" w:sz="0" w:space="0" w:color="auto"/>
        <w:bottom w:val="none" w:sz="0" w:space="0" w:color="auto"/>
        <w:right w:val="none" w:sz="0" w:space="0" w:color="auto"/>
      </w:divBdr>
      <w:divsChild>
        <w:div w:id="68119154">
          <w:marLeft w:val="0"/>
          <w:marRight w:val="0"/>
          <w:marTop w:val="0"/>
          <w:marBottom w:val="0"/>
          <w:divBdr>
            <w:top w:val="none" w:sz="0" w:space="0" w:color="auto"/>
            <w:left w:val="none" w:sz="0" w:space="0" w:color="auto"/>
            <w:bottom w:val="none" w:sz="0" w:space="0" w:color="auto"/>
            <w:right w:val="none" w:sz="0" w:space="0" w:color="auto"/>
          </w:divBdr>
          <w:divsChild>
            <w:div w:id="1092510166">
              <w:marLeft w:val="0"/>
              <w:marRight w:val="0"/>
              <w:marTop w:val="0"/>
              <w:marBottom w:val="0"/>
              <w:divBdr>
                <w:top w:val="none" w:sz="0" w:space="0" w:color="auto"/>
                <w:left w:val="none" w:sz="0" w:space="0" w:color="auto"/>
                <w:bottom w:val="none" w:sz="0" w:space="0" w:color="auto"/>
                <w:right w:val="none" w:sz="0" w:space="0" w:color="auto"/>
              </w:divBdr>
              <w:divsChild>
                <w:div w:id="1154183691">
                  <w:marLeft w:val="0"/>
                  <w:marRight w:val="0"/>
                  <w:marTop w:val="0"/>
                  <w:marBottom w:val="0"/>
                  <w:divBdr>
                    <w:top w:val="none" w:sz="0" w:space="0" w:color="auto"/>
                    <w:left w:val="none" w:sz="0" w:space="0" w:color="auto"/>
                    <w:bottom w:val="none" w:sz="0" w:space="0" w:color="auto"/>
                    <w:right w:val="none" w:sz="0" w:space="0" w:color="auto"/>
                  </w:divBdr>
                  <w:divsChild>
                    <w:div w:id="53380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1583806">
          <w:marLeft w:val="0"/>
          <w:marRight w:val="0"/>
          <w:marTop w:val="0"/>
          <w:marBottom w:val="0"/>
          <w:divBdr>
            <w:top w:val="none" w:sz="0" w:space="0" w:color="auto"/>
            <w:left w:val="none" w:sz="0" w:space="0" w:color="auto"/>
            <w:bottom w:val="none" w:sz="0" w:space="0" w:color="auto"/>
            <w:right w:val="none" w:sz="0" w:space="0" w:color="auto"/>
          </w:divBdr>
          <w:divsChild>
            <w:div w:id="2075741215">
              <w:marLeft w:val="0"/>
              <w:marRight w:val="0"/>
              <w:marTop w:val="0"/>
              <w:marBottom w:val="0"/>
              <w:divBdr>
                <w:top w:val="none" w:sz="0" w:space="0" w:color="auto"/>
                <w:left w:val="none" w:sz="0" w:space="0" w:color="auto"/>
                <w:bottom w:val="none" w:sz="0" w:space="0" w:color="auto"/>
                <w:right w:val="none" w:sz="0" w:space="0" w:color="auto"/>
              </w:divBdr>
              <w:divsChild>
                <w:div w:id="1206141236">
                  <w:marLeft w:val="0"/>
                  <w:marRight w:val="0"/>
                  <w:marTop w:val="0"/>
                  <w:marBottom w:val="0"/>
                  <w:divBdr>
                    <w:top w:val="none" w:sz="0" w:space="0" w:color="auto"/>
                    <w:left w:val="none" w:sz="0" w:space="0" w:color="auto"/>
                    <w:bottom w:val="none" w:sz="0" w:space="0" w:color="auto"/>
                    <w:right w:val="none" w:sz="0" w:space="0" w:color="auto"/>
                  </w:divBdr>
                  <w:divsChild>
                    <w:div w:id="109636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0529701">
      <w:bodyDiv w:val="1"/>
      <w:marLeft w:val="0"/>
      <w:marRight w:val="0"/>
      <w:marTop w:val="0"/>
      <w:marBottom w:val="0"/>
      <w:divBdr>
        <w:top w:val="none" w:sz="0" w:space="0" w:color="auto"/>
        <w:left w:val="none" w:sz="0" w:space="0" w:color="auto"/>
        <w:bottom w:val="none" w:sz="0" w:space="0" w:color="auto"/>
        <w:right w:val="none" w:sz="0" w:space="0" w:color="auto"/>
      </w:divBdr>
    </w:div>
    <w:div w:id="602108671">
      <w:bodyDiv w:val="1"/>
      <w:marLeft w:val="0"/>
      <w:marRight w:val="0"/>
      <w:marTop w:val="0"/>
      <w:marBottom w:val="0"/>
      <w:divBdr>
        <w:top w:val="none" w:sz="0" w:space="0" w:color="auto"/>
        <w:left w:val="none" w:sz="0" w:space="0" w:color="auto"/>
        <w:bottom w:val="none" w:sz="0" w:space="0" w:color="auto"/>
        <w:right w:val="none" w:sz="0" w:space="0" w:color="auto"/>
      </w:divBdr>
    </w:div>
    <w:div w:id="661861255">
      <w:bodyDiv w:val="1"/>
      <w:marLeft w:val="0"/>
      <w:marRight w:val="0"/>
      <w:marTop w:val="0"/>
      <w:marBottom w:val="0"/>
      <w:divBdr>
        <w:top w:val="none" w:sz="0" w:space="0" w:color="auto"/>
        <w:left w:val="none" w:sz="0" w:space="0" w:color="auto"/>
        <w:bottom w:val="none" w:sz="0" w:space="0" w:color="auto"/>
        <w:right w:val="none" w:sz="0" w:space="0" w:color="auto"/>
      </w:divBdr>
    </w:div>
    <w:div w:id="690182369">
      <w:bodyDiv w:val="1"/>
      <w:marLeft w:val="0"/>
      <w:marRight w:val="0"/>
      <w:marTop w:val="0"/>
      <w:marBottom w:val="0"/>
      <w:divBdr>
        <w:top w:val="none" w:sz="0" w:space="0" w:color="auto"/>
        <w:left w:val="none" w:sz="0" w:space="0" w:color="auto"/>
        <w:bottom w:val="none" w:sz="0" w:space="0" w:color="auto"/>
        <w:right w:val="none" w:sz="0" w:space="0" w:color="auto"/>
      </w:divBdr>
    </w:div>
    <w:div w:id="869033653">
      <w:bodyDiv w:val="1"/>
      <w:marLeft w:val="0"/>
      <w:marRight w:val="0"/>
      <w:marTop w:val="0"/>
      <w:marBottom w:val="0"/>
      <w:divBdr>
        <w:top w:val="none" w:sz="0" w:space="0" w:color="auto"/>
        <w:left w:val="none" w:sz="0" w:space="0" w:color="auto"/>
        <w:bottom w:val="none" w:sz="0" w:space="0" w:color="auto"/>
        <w:right w:val="none" w:sz="0" w:space="0" w:color="auto"/>
      </w:divBdr>
    </w:div>
    <w:div w:id="984434620">
      <w:bodyDiv w:val="1"/>
      <w:marLeft w:val="0"/>
      <w:marRight w:val="0"/>
      <w:marTop w:val="0"/>
      <w:marBottom w:val="0"/>
      <w:divBdr>
        <w:top w:val="none" w:sz="0" w:space="0" w:color="auto"/>
        <w:left w:val="none" w:sz="0" w:space="0" w:color="auto"/>
        <w:bottom w:val="none" w:sz="0" w:space="0" w:color="auto"/>
        <w:right w:val="none" w:sz="0" w:space="0" w:color="auto"/>
      </w:divBdr>
    </w:div>
    <w:div w:id="1417707513">
      <w:bodyDiv w:val="1"/>
      <w:marLeft w:val="0"/>
      <w:marRight w:val="0"/>
      <w:marTop w:val="0"/>
      <w:marBottom w:val="0"/>
      <w:divBdr>
        <w:top w:val="none" w:sz="0" w:space="0" w:color="auto"/>
        <w:left w:val="none" w:sz="0" w:space="0" w:color="auto"/>
        <w:bottom w:val="none" w:sz="0" w:space="0" w:color="auto"/>
        <w:right w:val="none" w:sz="0" w:space="0" w:color="auto"/>
      </w:divBdr>
    </w:div>
    <w:div w:id="1455562141">
      <w:bodyDiv w:val="1"/>
      <w:marLeft w:val="0"/>
      <w:marRight w:val="0"/>
      <w:marTop w:val="0"/>
      <w:marBottom w:val="0"/>
      <w:divBdr>
        <w:top w:val="none" w:sz="0" w:space="0" w:color="auto"/>
        <w:left w:val="none" w:sz="0" w:space="0" w:color="auto"/>
        <w:bottom w:val="none" w:sz="0" w:space="0" w:color="auto"/>
        <w:right w:val="none" w:sz="0" w:space="0" w:color="auto"/>
      </w:divBdr>
      <w:divsChild>
        <w:div w:id="435756280">
          <w:marLeft w:val="0"/>
          <w:marRight w:val="0"/>
          <w:marTop w:val="0"/>
          <w:marBottom w:val="0"/>
          <w:divBdr>
            <w:top w:val="none" w:sz="0" w:space="0" w:color="auto"/>
            <w:left w:val="none" w:sz="0" w:space="0" w:color="auto"/>
            <w:bottom w:val="none" w:sz="0" w:space="0" w:color="auto"/>
            <w:right w:val="none" w:sz="0" w:space="0" w:color="auto"/>
          </w:divBdr>
          <w:divsChild>
            <w:div w:id="1259633133">
              <w:marLeft w:val="0"/>
              <w:marRight w:val="0"/>
              <w:marTop w:val="0"/>
              <w:marBottom w:val="0"/>
              <w:divBdr>
                <w:top w:val="none" w:sz="0" w:space="0" w:color="auto"/>
                <w:left w:val="none" w:sz="0" w:space="0" w:color="auto"/>
                <w:bottom w:val="none" w:sz="0" w:space="0" w:color="auto"/>
                <w:right w:val="none" w:sz="0" w:space="0" w:color="auto"/>
              </w:divBdr>
              <w:divsChild>
                <w:div w:id="517234323">
                  <w:marLeft w:val="0"/>
                  <w:marRight w:val="0"/>
                  <w:marTop w:val="0"/>
                  <w:marBottom w:val="0"/>
                  <w:divBdr>
                    <w:top w:val="none" w:sz="0" w:space="0" w:color="auto"/>
                    <w:left w:val="none" w:sz="0" w:space="0" w:color="auto"/>
                    <w:bottom w:val="none" w:sz="0" w:space="0" w:color="auto"/>
                    <w:right w:val="none" w:sz="0" w:space="0" w:color="auto"/>
                  </w:divBdr>
                  <w:divsChild>
                    <w:div w:id="1241792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2371630">
          <w:marLeft w:val="0"/>
          <w:marRight w:val="0"/>
          <w:marTop w:val="0"/>
          <w:marBottom w:val="0"/>
          <w:divBdr>
            <w:top w:val="none" w:sz="0" w:space="0" w:color="auto"/>
            <w:left w:val="none" w:sz="0" w:space="0" w:color="auto"/>
            <w:bottom w:val="none" w:sz="0" w:space="0" w:color="auto"/>
            <w:right w:val="none" w:sz="0" w:space="0" w:color="auto"/>
          </w:divBdr>
          <w:divsChild>
            <w:div w:id="1251084837">
              <w:marLeft w:val="0"/>
              <w:marRight w:val="0"/>
              <w:marTop w:val="0"/>
              <w:marBottom w:val="0"/>
              <w:divBdr>
                <w:top w:val="none" w:sz="0" w:space="0" w:color="auto"/>
                <w:left w:val="none" w:sz="0" w:space="0" w:color="auto"/>
                <w:bottom w:val="none" w:sz="0" w:space="0" w:color="auto"/>
                <w:right w:val="none" w:sz="0" w:space="0" w:color="auto"/>
              </w:divBdr>
              <w:divsChild>
                <w:div w:id="1719284271">
                  <w:marLeft w:val="0"/>
                  <w:marRight w:val="0"/>
                  <w:marTop w:val="0"/>
                  <w:marBottom w:val="0"/>
                  <w:divBdr>
                    <w:top w:val="none" w:sz="0" w:space="0" w:color="auto"/>
                    <w:left w:val="none" w:sz="0" w:space="0" w:color="auto"/>
                    <w:bottom w:val="none" w:sz="0" w:space="0" w:color="auto"/>
                    <w:right w:val="none" w:sz="0" w:space="0" w:color="auto"/>
                  </w:divBdr>
                  <w:divsChild>
                    <w:div w:id="157577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4881163">
      <w:bodyDiv w:val="1"/>
      <w:marLeft w:val="0"/>
      <w:marRight w:val="0"/>
      <w:marTop w:val="0"/>
      <w:marBottom w:val="0"/>
      <w:divBdr>
        <w:top w:val="none" w:sz="0" w:space="0" w:color="auto"/>
        <w:left w:val="none" w:sz="0" w:space="0" w:color="auto"/>
        <w:bottom w:val="none" w:sz="0" w:space="0" w:color="auto"/>
        <w:right w:val="none" w:sz="0" w:space="0" w:color="auto"/>
      </w:divBdr>
      <w:divsChild>
        <w:div w:id="1561862555">
          <w:marLeft w:val="0"/>
          <w:marRight w:val="0"/>
          <w:marTop w:val="0"/>
          <w:marBottom w:val="0"/>
          <w:divBdr>
            <w:top w:val="none" w:sz="0" w:space="0" w:color="auto"/>
            <w:left w:val="none" w:sz="0" w:space="0" w:color="auto"/>
            <w:bottom w:val="none" w:sz="0" w:space="0" w:color="auto"/>
            <w:right w:val="none" w:sz="0" w:space="0" w:color="auto"/>
          </w:divBdr>
          <w:divsChild>
            <w:div w:id="1730763204">
              <w:marLeft w:val="0"/>
              <w:marRight w:val="0"/>
              <w:marTop w:val="0"/>
              <w:marBottom w:val="0"/>
              <w:divBdr>
                <w:top w:val="none" w:sz="0" w:space="0" w:color="auto"/>
                <w:left w:val="none" w:sz="0" w:space="0" w:color="auto"/>
                <w:bottom w:val="none" w:sz="0" w:space="0" w:color="auto"/>
                <w:right w:val="none" w:sz="0" w:space="0" w:color="auto"/>
              </w:divBdr>
              <w:divsChild>
                <w:div w:id="946622225">
                  <w:marLeft w:val="0"/>
                  <w:marRight w:val="0"/>
                  <w:marTop w:val="0"/>
                  <w:marBottom w:val="0"/>
                  <w:divBdr>
                    <w:top w:val="none" w:sz="0" w:space="0" w:color="auto"/>
                    <w:left w:val="none" w:sz="0" w:space="0" w:color="auto"/>
                    <w:bottom w:val="none" w:sz="0" w:space="0" w:color="auto"/>
                    <w:right w:val="none" w:sz="0" w:space="0" w:color="auto"/>
                  </w:divBdr>
                  <w:divsChild>
                    <w:div w:id="680546868">
                      <w:marLeft w:val="0"/>
                      <w:marRight w:val="0"/>
                      <w:marTop w:val="0"/>
                      <w:marBottom w:val="0"/>
                      <w:divBdr>
                        <w:top w:val="none" w:sz="0" w:space="0" w:color="auto"/>
                        <w:left w:val="none" w:sz="0" w:space="0" w:color="auto"/>
                        <w:bottom w:val="none" w:sz="0" w:space="0" w:color="auto"/>
                        <w:right w:val="none" w:sz="0" w:space="0" w:color="auto"/>
                      </w:divBdr>
                      <w:divsChild>
                        <w:div w:id="734200703">
                          <w:marLeft w:val="0"/>
                          <w:marRight w:val="0"/>
                          <w:marTop w:val="0"/>
                          <w:marBottom w:val="0"/>
                          <w:divBdr>
                            <w:top w:val="none" w:sz="0" w:space="0" w:color="auto"/>
                            <w:left w:val="none" w:sz="0" w:space="0" w:color="auto"/>
                            <w:bottom w:val="none" w:sz="0" w:space="0" w:color="auto"/>
                            <w:right w:val="none" w:sz="0" w:space="0" w:color="auto"/>
                          </w:divBdr>
                          <w:divsChild>
                            <w:div w:id="1510439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1512273">
      <w:bodyDiv w:val="1"/>
      <w:marLeft w:val="0"/>
      <w:marRight w:val="0"/>
      <w:marTop w:val="0"/>
      <w:marBottom w:val="0"/>
      <w:divBdr>
        <w:top w:val="none" w:sz="0" w:space="0" w:color="auto"/>
        <w:left w:val="none" w:sz="0" w:space="0" w:color="auto"/>
        <w:bottom w:val="none" w:sz="0" w:space="0" w:color="auto"/>
        <w:right w:val="none" w:sz="0" w:space="0" w:color="auto"/>
      </w:divBdr>
    </w:div>
    <w:div w:id="1849323761">
      <w:bodyDiv w:val="1"/>
      <w:marLeft w:val="0"/>
      <w:marRight w:val="0"/>
      <w:marTop w:val="0"/>
      <w:marBottom w:val="0"/>
      <w:divBdr>
        <w:top w:val="none" w:sz="0" w:space="0" w:color="auto"/>
        <w:left w:val="none" w:sz="0" w:space="0" w:color="auto"/>
        <w:bottom w:val="none" w:sz="0" w:space="0" w:color="auto"/>
        <w:right w:val="none" w:sz="0" w:space="0" w:color="auto"/>
      </w:divBdr>
    </w:div>
    <w:div w:id="19251895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image" Target="media/image6.png"/><Relationship Id="rId17" Type="http://schemas.microsoft.com/office/2016/09/relationships/commentsIds" Target="commentsIds.xml"/><Relationship Id="rId2" Type="http://schemas.openxmlformats.org/officeDocument/2006/relationships/styles" Target="styles.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537171-3482-4437-850A-5188FC875F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54290</Words>
  <Characters>309457</Characters>
  <Application>Microsoft Office Word</Application>
  <DocSecurity>0</DocSecurity>
  <Lines>2578</Lines>
  <Paragraphs>726</Paragraphs>
  <ScaleCrop>false</ScaleCrop>
  <HeadingPairs>
    <vt:vector size="2" baseType="variant">
      <vt:variant>
        <vt:lpstr>Titel</vt:lpstr>
      </vt:variant>
      <vt:variant>
        <vt:i4>1</vt:i4>
      </vt:variant>
    </vt:vector>
  </HeadingPairs>
  <TitlesOfParts>
    <vt:vector size="1" baseType="lpstr">
      <vt:lpstr/>
    </vt:vector>
  </TitlesOfParts>
  <Company>ZALF e.V.</Company>
  <LinksUpToDate>false</LinksUpToDate>
  <CharactersWithSpaces>363021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leue</dc:creator>
  <dc:description/>
  <cp:lastModifiedBy>Luis Alfredo Pires Barbosa</cp:lastModifiedBy>
  <cp:revision>44</cp:revision>
  <cp:lastPrinted>2025-05-22T08:57:00Z</cp:lastPrinted>
  <dcterms:created xsi:type="dcterms:W3CDTF">2025-06-08T09:39:00Z</dcterms:created>
  <dcterms:modified xsi:type="dcterms:W3CDTF">2025-06-08T15:00:00Z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Citation Style_1">
    <vt:lpwstr>http://www.zotero.org/styles/biogeosciences</vt:lpwstr>
  </property>
  <property fmtid="{D5CDD505-2E9C-101B-9397-08002B2CF9AE}" pid="3" name="Mendeley Document_1">
    <vt:lpwstr>True</vt:lpwstr>
  </property>
  <property fmtid="{D5CDD505-2E9C-101B-9397-08002B2CF9AE}" pid="4" name="Mendeley Recent Style Id 0_1">
    <vt:lpwstr>http://www.zotero.org/styles/american-political-science-association</vt:lpwstr>
  </property>
  <property fmtid="{D5CDD505-2E9C-101B-9397-08002B2CF9AE}" pid="5" name="Mendeley Recent Style Id 1_1">
    <vt:lpwstr>http://www.zotero.org/styles/apa</vt:lpwstr>
  </property>
  <property fmtid="{D5CDD505-2E9C-101B-9397-08002B2CF9AE}" pid="6" name="Mendeley Recent Style Id 2_1">
    <vt:lpwstr>http://www.zotero.org/styles/american-sociological-association</vt:lpwstr>
  </property>
  <property fmtid="{D5CDD505-2E9C-101B-9397-08002B2CF9AE}" pid="7" name="Mendeley Recent Style Id 3_1">
    <vt:lpwstr>http://www.zotero.org/styles/biogeosciences</vt:lpwstr>
  </property>
  <property fmtid="{D5CDD505-2E9C-101B-9397-08002B2CF9AE}" pid="8" name="Mendeley Recent Style Id 4_1">
    <vt:lpwstr>http://www.zotero.org/styles/chicago-author-date</vt:lpwstr>
  </property>
  <property fmtid="{D5CDD505-2E9C-101B-9397-08002B2CF9AE}" pid="9" name="Mendeley Recent Style Id 5_1">
    <vt:lpwstr>http://www.zotero.org/styles/geoderma</vt:lpwstr>
  </property>
  <property fmtid="{D5CDD505-2E9C-101B-9397-08002B2CF9AE}" pid="10" name="Mendeley Recent Style Id 6_1">
    <vt:lpwstr>http://www.zotero.org/styles/modern-humanities-research-association</vt:lpwstr>
  </property>
  <property fmtid="{D5CDD505-2E9C-101B-9397-08002B2CF9AE}" pid="11" name="Mendeley Recent Style Id 7_1">
    <vt:lpwstr>http://www.zotero.org/styles/nature</vt:lpwstr>
  </property>
  <property fmtid="{D5CDD505-2E9C-101B-9397-08002B2CF9AE}" pid="12" name="Mendeley Recent Style Id 8_1">
    <vt:lpwstr>http://www.zotero.org/styles/nature-communications</vt:lpwstr>
  </property>
  <property fmtid="{D5CDD505-2E9C-101B-9397-08002B2CF9AE}" pid="13" name="Mendeley Recent Style Id 9_1">
    <vt:lpwstr>http://www.zotero.org/styles/precision-agriculture</vt:lpwstr>
  </property>
  <property fmtid="{D5CDD505-2E9C-101B-9397-08002B2CF9AE}" pid="14" name="Mendeley Recent Style Name 0_1">
    <vt:lpwstr>American Political Science Association</vt:lpwstr>
  </property>
  <property fmtid="{D5CDD505-2E9C-101B-9397-08002B2CF9AE}" pid="15" name="Mendeley Recent Style Name 1_1">
    <vt:lpwstr>American Psychological Association 7th edition</vt:lpwstr>
  </property>
  <property fmtid="{D5CDD505-2E9C-101B-9397-08002B2CF9AE}" pid="16" name="Mendeley Recent Style Name 2_1">
    <vt:lpwstr>American Sociological Association 6th edition</vt:lpwstr>
  </property>
  <property fmtid="{D5CDD505-2E9C-101B-9397-08002B2CF9AE}" pid="17" name="Mendeley Recent Style Name 3_1">
    <vt:lpwstr>Biogeosciences</vt:lpwstr>
  </property>
  <property fmtid="{D5CDD505-2E9C-101B-9397-08002B2CF9AE}" pid="18" name="Mendeley Recent Style Name 4_1">
    <vt:lpwstr>Chicago Manual of Style 17th edition (author-date)</vt:lpwstr>
  </property>
  <property fmtid="{D5CDD505-2E9C-101B-9397-08002B2CF9AE}" pid="19" name="Mendeley Recent Style Name 5_1">
    <vt:lpwstr>Geoderma</vt:lpwstr>
  </property>
  <property fmtid="{D5CDD505-2E9C-101B-9397-08002B2CF9AE}" pid="20" name="Mendeley Recent Style Name 6_1">
    <vt:lpwstr>Modern Humanities Research Association 3rd edition (note with bibliography)</vt:lpwstr>
  </property>
  <property fmtid="{D5CDD505-2E9C-101B-9397-08002B2CF9AE}" pid="21" name="Mendeley Recent Style Name 7_1">
    <vt:lpwstr>Nature</vt:lpwstr>
  </property>
  <property fmtid="{D5CDD505-2E9C-101B-9397-08002B2CF9AE}" pid="22" name="Mendeley Recent Style Name 8_1">
    <vt:lpwstr>Nature Communications</vt:lpwstr>
  </property>
  <property fmtid="{D5CDD505-2E9C-101B-9397-08002B2CF9AE}" pid="23" name="Mendeley Recent Style Name 9_1">
    <vt:lpwstr>Precision Agriculture</vt:lpwstr>
  </property>
  <property fmtid="{D5CDD505-2E9C-101B-9397-08002B2CF9AE}" pid="24" name="Mendeley Unique User Id_1">
    <vt:lpwstr>1aeae367-de47-3215-95ab-96b2e642a72f</vt:lpwstr>
  </property>
</Properties>
</file>