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7A9AE09" w14:textId="21B54F1B" w:rsidR="00B4015F" w:rsidRDefault="00A42598" w:rsidP="00B4015F">
      <w:pPr>
        <w:pStyle w:val="MStitle"/>
      </w:pPr>
      <w:r>
        <w:t>Supplement for Dislocation creep and glide in experimentally deformed glaucophane aggregates</w:t>
      </w:r>
    </w:p>
    <w:p w14:paraId="538659D3" w14:textId="3799A5B4" w:rsidR="00B4015F" w:rsidRPr="00C26311" w:rsidRDefault="00A42598" w:rsidP="00450DB9">
      <w:pPr>
        <w:pStyle w:val="Authors"/>
      </w:pPr>
      <w:r>
        <w:t>Lonnie J. Hufford</w:t>
      </w:r>
      <w:r w:rsidR="00B4015F" w:rsidRPr="00C26311">
        <w:rPr>
          <w:vertAlign w:val="superscript"/>
        </w:rPr>
        <w:t>1</w:t>
      </w:r>
      <w:r w:rsidR="00B4015F" w:rsidRPr="00C26311">
        <w:t xml:space="preserve">, </w:t>
      </w:r>
      <w:r>
        <w:t>Leif Tokle</w:t>
      </w:r>
      <w:r w:rsidR="00B4015F" w:rsidRPr="00C26311">
        <w:rPr>
          <w:vertAlign w:val="superscript"/>
        </w:rPr>
        <w:t>1</w:t>
      </w:r>
      <w:r w:rsidR="00B4015F" w:rsidRPr="00C26311">
        <w:t xml:space="preserve">, </w:t>
      </w:r>
      <w:r>
        <w:t>Whitney M. Behr</w:t>
      </w:r>
      <w:r w:rsidRPr="00C26311">
        <w:rPr>
          <w:vertAlign w:val="superscript"/>
        </w:rPr>
        <w:t>1</w:t>
      </w:r>
      <w:r>
        <w:t>, Luiz F.G. Morales</w:t>
      </w:r>
      <w:r>
        <w:rPr>
          <w:vertAlign w:val="superscript"/>
        </w:rPr>
        <w:t>1,2</w:t>
      </w:r>
      <w:r w:rsidRPr="00C26311">
        <w:t xml:space="preserve">, </w:t>
      </w:r>
      <w:r>
        <w:t>Claudio Madonna</w:t>
      </w:r>
      <w:r w:rsidRPr="00C26311">
        <w:rPr>
          <w:vertAlign w:val="superscript"/>
        </w:rPr>
        <w:t>1</w:t>
      </w:r>
    </w:p>
    <w:p w14:paraId="6430C339" w14:textId="7525BE45" w:rsidR="00B4015F" w:rsidRDefault="00B4015F" w:rsidP="000A1B66">
      <w:pPr>
        <w:pStyle w:val="Affiliation"/>
      </w:pPr>
      <w:r w:rsidRPr="000A1B66">
        <w:rPr>
          <w:vertAlign w:val="superscript"/>
        </w:rPr>
        <w:t>1</w:t>
      </w:r>
      <w:r w:rsidR="00A42598" w:rsidRPr="00A42598">
        <w:t>Structural Geology and Tectonics Group, Geological Institute, Department of Earth Sciences, ETH Zürich, Zürich, Switzerland</w:t>
      </w:r>
    </w:p>
    <w:p w14:paraId="3DBE5E2A" w14:textId="43DB06C7" w:rsidR="000A1B66" w:rsidRDefault="000A1B66" w:rsidP="00450DB9">
      <w:pPr>
        <w:pStyle w:val="Affiliation"/>
      </w:pPr>
      <w:r w:rsidRPr="000A1B66">
        <w:rPr>
          <w:vertAlign w:val="superscript"/>
        </w:rPr>
        <w:t>2</w:t>
      </w:r>
      <w:r w:rsidR="00A42598" w:rsidRPr="00A42598">
        <w:t xml:space="preserve">Scientific </w:t>
      </w:r>
      <w:proofErr w:type="spellStart"/>
      <w:r w:rsidR="00A42598" w:rsidRPr="00A42598">
        <w:t>Center</w:t>
      </w:r>
      <w:proofErr w:type="spellEnd"/>
      <w:r w:rsidR="00A42598" w:rsidRPr="00A42598">
        <w:t xml:space="preserve"> for Optical and Electron Microscopy (</w:t>
      </w:r>
      <w:proofErr w:type="spellStart"/>
      <w:r w:rsidR="00A42598" w:rsidRPr="00A42598">
        <w:t>ScopeM</w:t>
      </w:r>
      <w:proofErr w:type="spellEnd"/>
      <w:r w:rsidR="00A42598" w:rsidRPr="00A42598">
        <w:t>), ETH Zürich, Otto-Stern-</w:t>
      </w:r>
      <w:proofErr w:type="spellStart"/>
      <w:r w:rsidR="00A42598" w:rsidRPr="00A42598">
        <w:t>Weg</w:t>
      </w:r>
      <w:proofErr w:type="spellEnd"/>
      <w:r w:rsidR="00A42598" w:rsidRPr="00A42598">
        <w:t xml:space="preserve"> 3, 8093, Zürich, Switzerland</w:t>
      </w:r>
    </w:p>
    <w:p w14:paraId="4B2F3FC8" w14:textId="7D10D09B" w:rsidR="000A1B66" w:rsidRDefault="000A1B66" w:rsidP="008E213F">
      <w:pPr>
        <w:pStyle w:val="Correspondence"/>
      </w:pPr>
      <w:r w:rsidRPr="000A1B66">
        <w:rPr>
          <w:i/>
        </w:rPr>
        <w:t>Correspondence to</w:t>
      </w:r>
      <w:r>
        <w:t xml:space="preserve">: </w:t>
      </w:r>
    </w:p>
    <w:p w14:paraId="59930E61" w14:textId="77777777" w:rsidR="00964C05" w:rsidRPr="00773153" w:rsidRDefault="00964C05" w:rsidP="00964C05">
      <w:pPr>
        <w:pStyle w:val="Heading1"/>
      </w:pPr>
      <w:r>
        <w:t>Included Tables in Supplement Folder:</w:t>
      </w:r>
    </w:p>
    <w:p w14:paraId="2BD65033" w14:textId="68313AA0" w:rsidR="00964C05" w:rsidRDefault="00964C05" w:rsidP="00964C05">
      <w:pPr>
        <w:pStyle w:val="Heading2"/>
        <w:jc w:val="left"/>
        <w:rPr>
          <w:sz w:val="18"/>
          <w:szCs w:val="18"/>
        </w:rPr>
      </w:pPr>
      <w:r w:rsidRPr="00773153">
        <w:rPr>
          <w:sz w:val="18"/>
          <w:szCs w:val="18"/>
        </w:rPr>
        <w:t>Table S</w:t>
      </w:r>
      <w:r>
        <w:rPr>
          <w:sz w:val="18"/>
          <w:szCs w:val="18"/>
        </w:rPr>
        <w:t>1</w:t>
      </w:r>
      <w:r w:rsidRPr="00773153">
        <w:rPr>
          <w:sz w:val="18"/>
          <w:szCs w:val="18"/>
        </w:rPr>
        <w:t xml:space="preserve">: Parameters used for </w:t>
      </w:r>
      <w:r>
        <w:rPr>
          <w:sz w:val="18"/>
          <w:szCs w:val="18"/>
        </w:rPr>
        <w:t>EBSD thin section polishing.</w:t>
      </w:r>
    </w:p>
    <w:p w14:paraId="091FC7F8" w14:textId="77777777" w:rsidR="00964C05" w:rsidRDefault="00964C05" w:rsidP="008E213F">
      <w:pPr>
        <w:pStyle w:val="Correspondence"/>
      </w:pPr>
    </w:p>
    <w:p w14:paraId="41868303" w14:textId="4DDB28ED" w:rsidR="00C82F79" w:rsidRDefault="00A42598" w:rsidP="00C82F79">
      <w:pPr>
        <w:pStyle w:val="Heading1"/>
      </w:pPr>
      <w:r>
        <w:t>S1.</w:t>
      </w:r>
      <w:r w:rsidR="00C82F79">
        <w:t xml:space="preserve"> </w:t>
      </w:r>
      <w:r>
        <w:t>Sample Preparation</w:t>
      </w:r>
    </w:p>
    <w:p w14:paraId="23CE3964" w14:textId="6082B727" w:rsidR="00A42598" w:rsidRDefault="00A42598" w:rsidP="00A42598">
      <w:r>
        <w:t xml:space="preserve">We took a MORB blueschist (Fig. S1) and produced glaucophane aggregates through a series of mineral separation techniques to obtain a </w:t>
      </w:r>
      <w:r w:rsidR="00964C05">
        <w:t>~</w:t>
      </w:r>
      <w:r>
        <w:t xml:space="preserve">98% glaucophane powder </w:t>
      </w:r>
      <w:r w:rsidR="00964C05">
        <w:t>crushed with a mortar and pestle to produce a</w:t>
      </w:r>
      <w:r>
        <w:t xml:space="preserve"> fine-grained powder (&lt;63 µm, measured with EBSD, Fig. S2)</w:t>
      </w:r>
      <w:r w:rsidR="00964C05">
        <w:t xml:space="preserve">. </w:t>
      </w:r>
      <w:r>
        <w:t>A combination of the following techniques was used and repeated to purify the powder as much as possible before picking. After this exploratory exercise, we recommend the follow procedure to expediate the process in the future:</w:t>
      </w:r>
    </w:p>
    <w:p w14:paraId="18DE6CD9" w14:textId="3353F064" w:rsidR="00A42598" w:rsidRDefault="00A42598" w:rsidP="00A42598">
      <w:pPr>
        <w:pStyle w:val="ListParagraph"/>
        <w:numPr>
          <w:ilvl w:val="0"/>
          <w:numId w:val="4"/>
        </w:numPr>
      </w:pPr>
      <w:proofErr w:type="spellStart"/>
      <w:r>
        <w:t>Selfrag</w:t>
      </w:r>
      <w:proofErr w:type="spellEnd"/>
      <w:r>
        <w:t>- disaggregation of rock pieces to various grain sizes</w:t>
      </w:r>
    </w:p>
    <w:p w14:paraId="78CA7BC1" w14:textId="225102A0" w:rsidR="00A42598" w:rsidRDefault="00A42598" w:rsidP="00A42598">
      <w:pPr>
        <w:pStyle w:val="ListParagraph"/>
        <w:numPr>
          <w:ilvl w:val="0"/>
          <w:numId w:val="4"/>
        </w:numPr>
      </w:pPr>
      <w:r>
        <w:t>Wilfley table- water table density separation</w:t>
      </w:r>
    </w:p>
    <w:p w14:paraId="75E7E40E" w14:textId="16417FCE" w:rsidR="00A42598" w:rsidRDefault="00A42598" w:rsidP="00A42598">
      <w:pPr>
        <w:pStyle w:val="ListParagraph"/>
        <w:numPr>
          <w:ilvl w:val="0"/>
          <w:numId w:val="4"/>
        </w:numPr>
      </w:pPr>
      <w:r>
        <w:t>Sieving</w:t>
      </w:r>
    </w:p>
    <w:p w14:paraId="5C24EEA3" w14:textId="0E4A9FD4" w:rsidR="00A42598" w:rsidRDefault="00A42598" w:rsidP="00A42598">
      <w:pPr>
        <w:pStyle w:val="ListParagraph"/>
        <w:numPr>
          <w:ilvl w:val="0"/>
          <w:numId w:val="4"/>
        </w:numPr>
      </w:pPr>
      <w:r>
        <w:t>Frantz magnetic separator</w:t>
      </w:r>
    </w:p>
    <w:p w14:paraId="0FE3BF4E" w14:textId="2C20B04D" w:rsidR="00A42598" w:rsidRDefault="00A42598" w:rsidP="00A42598">
      <w:pPr>
        <w:pStyle w:val="ListParagraph"/>
        <w:numPr>
          <w:ilvl w:val="0"/>
          <w:numId w:val="4"/>
        </w:numPr>
      </w:pPr>
      <w:r>
        <w:t>Picking large grains and crushing (if applicable)</w:t>
      </w:r>
    </w:p>
    <w:p w14:paraId="2F2ECFE1" w14:textId="26014A84" w:rsidR="00A42598" w:rsidRDefault="00A42598" w:rsidP="00A42598">
      <w:pPr>
        <w:pStyle w:val="ListParagraph"/>
        <w:numPr>
          <w:ilvl w:val="0"/>
          <w:numId w:val="4"/>
        </w:numPr>
      </w:pPr>
      <w:r>
        <w:t>Air sieving- higher precision and finer grain separation (if applicable)</w:t>
      </w:r>
    </w:p>
    <w:p w14:paraId="31E9BB96" w14:textId="4D5A6262" w:rsidR="00A42598" w:rsidRDefault="00A42598" w:rsidP="00A42598">
      <w:pPr>
        <w:pStyle w:val="ListParagraph"/>
        <w:numPr>
          <w:ilvl w:val="0"/>
          <w:numId w:val="4"/>
        </w:numPr>
      </w:pPr>
      <w:r>
        <w:t>Typ-91 magnetic separator- higher precision mineral separation (if applicable)</w:t>
      </w:r>
    </w:p>
    <w:p w14:paraId="6ECE42F4" w14:textId="2DC8E329" w:rsidR="00A42598" w:rsidRDefault="00A42598" w:rsidP="00A42598">
      <w:pPr>
        <w:pStyle w:val="ListParagraph"/>
        <w:numPr>
          <w:ilvl w:val="0"/>
          <w:numId w:val="4"/>
        </w:numPr>
      </w:pPr>
      <w:r>
        <w:t>Heavy Liquid- methylene iodide density separation</w:t>
      </w:r>
    </w:p>
    <w:p w14:paraId="605CEC9E" w14:textId="5AC51383" w:rsidR="00B4015F" w:rsidRDefault="00A42598" w:rsidP="00A42598">
      <w:pPr>
        <w:pStyle w:val="ListParagraph"/>
        <w:numPr>
          <w:ilvl w:val="0"/>
          <w:numId w:val="4"/>
        </w:numPr>
      </w:pPr>
      <w:r>
        <w:t>Picking non-amphibole grains out of powder</w:t>
      </w:r>
    </w:p>
    <w:p w14:paraId="5AF6A2E4" w14:textId="1019FB29" w:rsidR="00C4588A" w:rsidRDefault="00C4588A" w:rsidP="00C4588A">
      <w:pPr>
        <w:pStyle w:val="Heading2"/>
        <w:jc w:val="center"/>
      </w:pPr>
      <w:r>
        <w:rPr>
          <w:noProof/>
        </w:rPr>
        <w:lastRenderedPageBreak/>
        <w:drawing>
          <wp:inline distT="0" distB="0" distL="0" distR="0" wp14:anchorId="697FA65F" wp14:editId="649964BE">
            <wp:extent cx="4989095" cy="3745177"/>
            <wp:effectExtent l="0" t="0" r="254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upp_Mat_Hand_Sample_Figure.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998439" cy="3752191"/>
                    </a:xfrm>
                    <a:prstGeom prst="rect">
                      <a:avLst/>
                    </a:prstGeom>
                  </pic:spPr>
                </pic:pic>
              </a:graphicData>
            </a:graphic>
          </wp:inline>
        </w:drawing>
      </w:r>
    </w:p>
    <w:p w14:paraId="5299EF1F" w14:textId="77777777" w:rsidR="00C4588A" w:rsidRDefault="00C4588A" w:rsidP="00C4588A">
      <w:pPr>
        <w:pStyle w:val="Caption"/>
        <w:jc w:val="center"/>
      </w:pPr>
      <w:r>
        <w:t>Figure S1:</w:t>
      </w:r>
      <w:r w:rsidRPr="0091653C">
        <w:t xml:space="preserve"> Hand sample where glaucophane aggregate powder originates</w:t>
      </w:r>
      <w:r>
        <w:t>.</w:t>
      </w:r>
    </w:p>
    <w:p w14:paraId="4FC50007" w14:textId="77777777" w:rsidR="00C4588A" w:rsidRPr="00C4588A" w:rsidRDefault="00C4588A" w:rsidP="00C4588A"/>
    <w:p w14:paraId="43A086CA" w14:textId="64BE9CCF" w:rsidR="00C4588A" w:rsidRDefault="00C4588A" w:rsidP="00C4588A">
      <w:pPr>
        <w:pStyle w:val="Heading2"/>
        <w:jc w:val="center"/>
      </w:pPr>
      <w:r>
        <w:rPr>
          <w:noProof/>
        </w:rPr>
        <w:lastRenderedPageBreak/>
        <w:drawing>
          <wp:inline distT="0" distB="0" distL="0" distR="0" wp14:anchorId="4977D772" wp14:editId="6A9A05DC">
            <wp:extent cx="3134145" cy="3128211"/>
            <wp:effectExtent l="0" t="0" r="317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upp_Mat_Chapter2_Initial_GrainSizePlot_fromdraft6_USE_THESIS_VERSION.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145562" cy="3139606"/>
                    </a:xfrm>
                    <a:prstGeom prst="rect">
                      <a:avLst/>
                    </a:prstGeom>
                  </pic:spPr>
                </pic:pic>
              </a:graphicData>
            </a:graphic>
          </wp:inline>
        </w:drawing>
      </w:r>
    </w:p>
    <w:p w14:paraId="65BFBFD1" w14:textId="010F9BF8" w:rsidR="00C4588A" w:rsidRDefault="00C4588A" w:rsidP="00C4588A">
      <w:pPr>
        <w:pStyle w:val="Caption"/>
        <w:jc w:val="center"/>
      </w:pPr>
      <w:r>
        <w:t>Figure S2:</w:t>
      </w:r>
      <w:r w:rsidRPr="0091653C">
        <w:t xml:space="preserve"> </w:t>
      </w:r>
      <w:r w:rsidRPr="00C4588A">
        <w:t>The starting grain size fraction of the hydrostatic sample measured from EBSD data</w:t>
      </w:r>
      <w:r>
        <w:t>.</w:t>
      </w:r>
    </w:p>
    <w:p w14:paraId="7F92A39C" w14:textId="77777777" w:rsidR="00C4588A" w:rsidRPr="00C4588A" w:rsidRDefault="00C4588A" w:rsidP="00C4588A"/>
    <w:p w14:paraId="67EE6421" w14:textId="2EA679EF" w:rsidR="00B4015F" w:rsidRDefault="00A42598" w:rsidP="00670F05">
      <w:pPr>
        <w:pStyle w:val="Heading2"/>
      </w:pPr>
      <w:r>
        <w:t>S2. Electron Backscatter Diffraction (EBSD)</w:t>
      </w:r>
    </w:p>
    <w:p w14:paraId="0811515B" w14:textId="4A926F18" w:rsidR="00A42598" w:rsidRDefault="00A42598" w:rsidP="00A42598">
      <w:pPr>
        <w:pStyle w:val="Heading2"/>
      </w:pPr>
      <w:r>
        <w:t>S2.1 EBSD Preparation and Method</w:t>
      </w:r>
    </w:p>
    <w:p w14:paraId="6EBCB97E" w14:textId="0C3B9AEB" w:rsidR="00A5694C" w:rsidRDefault="00A5694C" w:rsidP="00A5694C">
      <w:r w:rsidRPr="00A5694C">
        <w:t>Thin sections were mechanically polished in a standard automated rotary polishing machine with water-based diamond solutions in different substrates accordingly to the Table S</w:t>
      </w:r>
      <w:r w:rsidR="00964C05">
        <w:t>1</w:t>
      </w:r>
      <w:r w:rsidRPr="00A5694C">
        <w:t xml:space="preserve">. After each polishing step samples were carefully cleaned with running water, liquid soap and given an ultrasonic bath for 5 minutes. For the EBSD measurements, we coated all thin sections with 3 nm of C. Automated orientation mapping was performed with an acceleration voltage of 20 kV, beam current of 8 </w:t>
      </w:r>
      <w:proofErr w:type="spellStart"/>
      <w:r w:rsidRPr="00A5694C">
        <w:t>nA</w:t>
      </w:r>
      <w:proofErr w:type="spellEnd"/>
      <w:r w:rsidRPr="00A5694C">
        <w:t xml:space="preserve">, working distance of 15 mm and </w:t>
      </w:r>
      <w:proofErr w:type="spellStart"/>
      <w:r w:rsidRPr="00A5694C">
        <w:t>stepsize</w:t>
      </w:r>
      <w:proofErr w:type="spellEnd"/>
      <w:r w:rsidRPr="00A5694C">
        <w:t xml:space="preserve"> of 100 nm. Due to the very poor indexation of fine-grained amphibole, we have used the Sensitivity mode of the EBSD camera (622x512 pixels), with manual gain of 1, frame averaging of 5 and &gt;100 reflectors, reducing considerably the acquisition speed in </w:t>
      </w:r>
      <w:proofErr w:type="spellStart"/>
      <w:r w:rsidRPr="00A5694C">
        <w:t>favor</w:t>
      </w:r>
      <w:proofErr w:type="spellEnd"/>
      <w:r w:rsidRPr="00A5694C">
        <w:t xml:space="preserve"> of much better indexation rates. Basic post-acquisition cleaning up procedure was performed in Aztec 5.1, and included the removal of wild spikes (isolated 1-pixel “grain” with different orientation of the surrounding grain) and removal of zero solutions, the latter considering a minimum of 6 </w:t>
      </w:r>
      <w:proofErr w:type="spellStart"/>
      <w:r w:rsidRPr="00A5694C">
        <w:t>neighbor</w:t>
      </w:r>
      <w:proofErr w:type="spellEnd"/>
      <w:r w:rsidRPr="00A5694C">
        <w:t xml:space="preserve"> pixels. All the EBSD-derived maps, texture-related calculations and plots were performed with MTEX 5.9.0</w:t>
      </w:r>
      <w:r>
        <w:t>,</w:t>
      </w:r>
      <w:r w:rsidR="00964C05" w:rsidRPr="00964C05">
        <w:t xml:space="preserve"> </w:t>
      </w:r>
      <w:r w:rsidR="00964C05" w:rsidRPr="00CE690A">
        <w:t xml:space="preserve">(Hielscher and </w:t>
      </w:r>
      <w:proofErr w:type="spellStart"/>
      <w:r w:rsidR="00964C05" w:rsidRPr="00CE690A">
        <w:t>Schaeben</w:t>
      </w:r>
      <w:proofErr w:type="spellEnd"/>
      <w:r w:rsidR="00964C05" w:rsidRPr="00CE690A">
        <w:t xml:space="preserve"> 2008)</w:t>
      </w:r>
      <w:r w:rsidRPr="00A5694C">
        <w:t xml:space="preserve">. The density functions were calculated using the complete EBSD datasets with the de La Vallee Poussin kernel, assuming a half-width of 10 degrees. Low and high angle grain boundaries were calculated assuming a threshold misorientation of 2 and </w:t>
      </w:r>
      <w:r w:rsidRPr="00A5694C">
        <w:lastRenderedPageBreak/>
        <w:t>10 degrees, respectively, and all grains with less than 10 pixels at a minimum were removed from the dataset, but this threshold was varied depending on the sample.</w:t>
      </w:r>
    </w:p>
    <w:p w14:paraId="65B2E4CA" w14:textId="1FA94955" w:rsidR="005C2447" w:rsidRDefault="005C2447" w:rsidP="00A5694C"/>
    <w:p w14:paraId="53AAAD07" w14:textId="6DC15C44" w:rsidR="005C2447" w:rsidRDefault="005C2447" w:rsidP="005C2447">
      <w:pPr>
        <w:pStyle w:val="Heading2"/>
      </w:pPr>
      <w:r>
        <w:t xml:space="preserve">S3. </w:t>
      </w:r>
      <w:r>
        <w:t>Alpha Plotting for the 600, 650, and 675</w:t>
      </w:r>
      <w:r>
        <w:t>°</w:t>
      </w:r>
      <w:r w:rsidRPr="001C6984">
        <w:t>C</w:t>
      </w:r>
      <w:r>
        <w:t xml:space="preserve"> Fit</w:t>
      </w:r>
    </w:p>
    <w:p w14:paraId="2DFD92CB" w14:textId="54B040E8" w:rsidR="005C2447" w:rsidRPr="005C2447" w:rsidRDefault="005C2447" w:rsidP="005C2447">
      <w:pPr>
        <w:jc w:val="center"/>
      </w:pPr>
      <w:r>
        <w:rPr>
          <w:noProof/>
        </w:rPr>
        <w:drawing>
          <wp:inline distT="0" distB="0" distL="0" distR="0" wp14:anchorId="08B6ED09" wp14:editId="709AA2E5">
            <wp:extent cx="4357895" cy="408256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nuscript_LTP_Flow_HighStress_no700_Alphaplotting_supp_mat.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87120" cy="4109946"/>
                    </a:xfrm>
                    <a:prstGeom prst="rect">
                      <a:avLst/>
                    </a:prstGeom>
                  </pic:spPr>
                </pic:pic>
              </a:graphicData>
            </a:graphic>
          </wp:inline>
        </w:drawing>
      </w:r>
    </w:p>
    <w:p w14:paraId="09220747" w14:textId="07FA2E3A" w:rsidR="005C2447" w:rsidRDefault="005C2447" w:rsidP="005C2447">
      <w:pPr>
        <w:pStyle w:val="Caption"/>
        <w:jc w:val="center"/>
      </w:pPr>
      <w:r>
        <w:t>Figure S3:</w:t>
      </w:r>
      <w:r w:rsidRPr="0091653C">
        <w:t xml:space="preserve"> </w:t>
      </w:r>
      <w:r>
        <w:t>Plot used for the alpha calculation of the 3-temperature and high stress data fit (</w:t>
      </w:r>
      <w:r>
        <w:t>60</w:t>
      </w:r>
      <w:r w:rsidRPr="001C6984">
        <w:t xml:space="preserve">0, </w:t>
      </w:r>
      <w:r>
        <w:t>650</w:t>
      </w:r>
      <w:r w:rsidRPr="001C6984">
        <w:t>, and 6</w:t>
      </w:r>
      <w:r>
        <w:t>75°</w:t>
      </w:r>
      <w:r w:rsidRPr="001C6984">
        <w:t>C</w:t>
      </w:r>
      <w:r>
        <w:t xml:space="preserve">) for </w:t>
      </w:r>
      <w:r>
        <w:t>the</w:t>
      </w:r>
      <w:proofErr w:type="spellStart"/>
      <w:r>
        <w:t xml:space="preserve"> dis</w:t>
      </w:r>
      <w:proofErr w:type="spellEnd"/>
      <w:r>
        <w:t>locatio</w:t>
      </w:r>
      <w:bookmarkStart w:id="0" w:name="_GoBack"/>
      <w:bookmarkEnd w:id="0"/>
      <w:r>
        <w:t>n glide flow law.</w:t>
      </w:r>
    </w:p>
    <w:p w14:paraId="3C6F17F9" w14:textId="77777777" w:rsidR="005C2447" w:rsidRDefault="005C2447" w:rsidP="00A5694C"/>
    <w:p w14:paraId="11FED76C" w14:textId="0A293738" w:rsidR="001C6984" w:rsidRDefault="001C6984" w:rsidP="00A5694C"/>
    <w:p w14:paraId="14B20C3D" w14:textId="49718373" w:rsidR="001C6984" w:rsidRDefault="001C6984" w:rsidP="001C6984">
      <w:pPr>
        <w:pStyle w:val="Heading2"/>
      </w:pPr>
      <w:r>
        <w:lastRenderedPageBreak/>
        <w:t>S</w:t>
      </w:r>
      <w:r w:rsidR="005C2447">
        <w:t>4</w:t>
      </w:r>
      <w:r>
        <w:t>. Deformation Mechanism Maps</w:t>
      </w:r>
    </w:p>
    <w:p w14:paraId="570CC96F" w14:textId="6BBCF4ED" w:rsidR="001C6984" w:rsidRDefault="001C6984" w:rsidP="001C6984">
      <w:pPr>
        <w:jc w:val="center"/>
      </w:pPr>
      <w:r>
        <w:rPr>
          <w:noProof/>
        </w:rPr>
        <w:drawing>
          <wp:inline distT="0" distB="0" distL="0" distR="0" wp14:anchorId="0862FC08" wp14:editId="28B008B7">
            <wp:extent cx="5027225" cy="5069306"/>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efmechmap_finalmanuscriptdata_3fitdata_HIGHstressplots_supp_GrainsizevsStress_USE_Jan2025.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032680" cy="5074806"/>
                    </a:xfrm>
                    <a:prstGeom prst="rect">
                      <a:avLst/>
                    </a:prstGeom>
                  </pic:spPr>
                </pic:pic>
              </a:graphicData>
            </a:graphic>
          </wp:inline>
        </w:drawing>
      </w:r>
    </w:p>
    <w:p w14:paraId="0A56C356" w14:textId="1620F326" w:rsidR="001C6984" w:rsidRDefault="001C6984" w:rsidP="001C6984">
      <w:pPr>
        <w:pStyle w:val="Caption"/>
        <w:jc w:val="center"/>
      </w:pPr>
      <w:r>
        <w:t>Figure S</w:t>
      </w:r>
      <w:r w:rsidR="005C2447">
        <w:t>4</w:t>
      </w:r>
      <w:r>
        <w:t>:</w:t>
      </w:r>
      <w:r w:rsidRPr="0091653C">
        <w:t xml:space="preserve"> </w:t>
      </w:r>
      <w:r w:rsidRPr="001C6984">
        <w:t>Deformation mechanism maps comparing stress and grain size/boudin spacing for 350, 450, 550, and 650</w:t>
      </w:r>
      <w:r>
        <w:t>°</w:t>
      </w:r>
      <w:r w:rsidRPr="001C6984">
        <w:t>C</w:t>
      </w:r>
      <w:r>
        <w:t xml:space="preserve"> with the dislocation glide flow law fit to the 600, 650, and 675°</w:t>
      </w:r>
      <w:r w:rsidRPr="001C6984">
        <w:t>C</w:t>
      </w:r>
      <w:r>
        <w:t xml:space="preserve"> samples</w:t>
      </w:r>
      <w:r w:rsidRPr="001C6984">
        <w:t xml:space="preserve">. The diffusion creep flow law </w:t>
      </w:r>
      <w:r>
        <w:t xml:space="preserve">originates from </w:t>
      </w:r>
      <w:proofErr w:type="spellStart"/>
      <w:r w:rsidRPr="001C6984">
        <w:t>Tokle</w:t>
      </w:r>
      <w:proofErr w:type="spellEnd"/>
      <w:r>
        <w:t xml:space="preserve"> et al., 2023. </w:t>
      </w:r>
      <w:r w:rsidRPr="001C6984">
        <w:t>The codes used to produce the deformation mechanism maps are modified from</w:t>
      </w:r>
      <w:r>
        <w:t xml:space="preserve"> Warren </w:t>
      </w:r>
      <w:r w:rsidR="002779A4">
        <w:t>and Hirth</w:t>
      </w:r>
      <w:r>
        <w:t>, 2006.</w:t>
      </w:r>
    </w:p>
    <w:p w14:paraId="7EAFFB8D" w14:textId="788DE52B" w:rsidR="001C6984" w:rsidRDefault="001C6984" w:rsidP="001C6984">
      <w:pPr>
        <w:jc w:val="center"/>
      </w:pPr>
      <w:r>
        <w:rPr>
          <w:noProof/>
        </w:rPr>
        <w:lastRenderedPageBreak/>
        <w:drawing>
          <wp:inline distT="0" distB="0" distL="0" distR="0" wp14:anchorId="7A74ECD8" wp14:editId="24F7308B">
            <wp:extent cx="5025600" cy="4983032"/>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efmechmap_finalmanuscriptdata_4fitdata_HIGHstressplots_supp_GrainsizevsStress_USE_Jan2025.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025600" cy="4983032"/>
                    </a:xfrm>
                    <a:prstGeom prst="rect">
                      <a:avLst/>
                    </a:prstGeom>
                  </pic:spPr>
                </pic:pic>
              </a:graphicData>
            </a:graphic>
          </wp:inline>
        </w:drawing>
      </w:r>
    </w:p>
    <w:p w14:paraId="312D7C4E" w14:textId="7169AD1E" w:rsidR="002779A4" w:rsidRDefault="002779A4" w:rsidP="002779A4">
      <w:pPr>
        <w:pStyle w:val="Caption"/>
        <w:jc w:val="center"/>
      </w:pPr>
      <w:r>
        <w:t>Figure S</w:t>
      </w:r>
      <w:r w:rsidR="005C2447">
        <w:t>5</w:t>
      </w:r>
      <w:r>
        <w:t>:</w:t>
      </w:r>
      <w:r w:rsidRPr="0091653C">
        <w:t xml:space="preserve"> </w:t>
      </w:r>
      <w:r w:rsidRPr="001C6984">
        <w:t>Deformation mechanism maps comparing stress and grain size/boudin spacing for 350, 450, 550, and 650</w:t>
      </w:r>
      <w:r>
        <w:t>°</w:t>
      </w:r>
      <w:r w:rsidRPr="001C6984">
        <w:t>C</w:t>
      </w:r>
      <w:r>
        <w:t xml:space="preserve"> with the dislocation glide flow law fit to the 600, 650, 675, and 700°</w:t>
      </w:r>
      <w:r w:rsidRPr="001C6984">
        <w:t>C</w:t>
      </w:r>
      <w:r>
        <w:t xml:space="preserve"> samples</w:t>
      </w:r>
      <w:r w:rsidRPr="001C6984">
        <w:t xml:space="preserve">. The diffusion creep flow law </w:t>
      </w:r>
      <w:r>
        <w:t xml:space="preserve">originates from </w:t>
      </w:r>
      <w:proofErr w:type="spellStart"/>
      <w:r w:rsidRPr="001C6984">
        <w:t>Tokle</w:t>
      </w:r>
      <w:proofErr w:type="spellEnd"/>
      <w:r>
        <w:t xml:space="preserve"> et al., 2023. </w:t>
      </w:r>
      <w:r w:rsidRPr="001C6984">
        <w:t>The codes used to produce the deformation mechanism maps are modified from</w:t>
      </w:r>
      <w:r>
        <w:t xml:space="preserve"> Warren and </w:t>
      </w:r>
      <w:proofErr w:type="spellStart"/>
      <w:r>
        <w:t>Hirth</w:t>
      </w:r>
      <w:proofErr w:type="spellEnd"/>
      <w:r>
        <w:t>, 2006.</w:t>
      </w:r>
    </w:p>
    <w:p w14:paraId="5300A154" w14:textId="77777777" w:rsidR="00C26311" w:rsidRDefault="00F5258E" w:rsidP="00F5258E">
      <w:pPr>
        <w:pStyle w:val="Heading1"/>
      </w:pPr>
      <w:r>
        <w:t>References</w:t>
      </w:r>
    </w:p>
    <w:p w14:paraId="0C0A7272" w14:textId="6A621A88" w:rsidR="002779A4" w:rsidRDefault="00964C05" w:rsidP="002779A4">
      <w:r w:rsidRPr="00B01E53">
        <w:t>Hielscher, R.</w:t>
      </w:r>
      <w:r>
        <w:t xml:space="preserve"> and</w:t>
      </w:r>
      <w:r w:rsidRPr="00B01E53">
        <w:t xml:space="preserve"> </w:t>
      </w:r>
      <w:proofErr w:type="spellStart"/>
      <w:r w:rsidRPr="00B01E53">
        <w:t>Schaeben</w:t>
      </w:r>
      <w:proofErr w:type="spellEnd"/>
      <w:r w:rsidRPr="00B01E53">
        <w:t>, H.</w:t>
      </w:r>
      <w:r>
        <w:t xml:space="preserve">: A novel pole figure inversion method: specification of the MTEX algorithm. </w:t>
      </w:r>
      <w:r w:rsidRPr="00B01E53">
        <w:t xml:space="preserve">J. Appl. </w:t>
      </w:r>
      <w:proofErr w:type="spellStart"/>
      <w:r w:rsidRPr="00B01E53">
        <w:t>Cryst</w:t>
      </w:r>
      <w:proofErr w:type="spellEnd"/>
      <w:r w:rsidRPr="00B01E53">
        <w:t xml:space="preserve">. 41, </w:t>
      </w:r>
      <w:proofErr w:type="spellStart"/>
      <w:r>
        <w:t>doi</w:t>
      </w:r>
      <w:proofErr w:type="spellEnd"/>
      <w:r>
        <w:t>: 10.1107/S0021889808030112, 2008.</w:t>
      </w:r>
      <w:r w:rsidR="002779A4">
        <w:t xml:space="preserve"> </w:t>
      </w:r>
    </w:p>
    <w:p w14:paraId="10E6998E" w14:textId="4DDD5005" w:rsidR="002779A4" w:rsidRDefault="002779A4" w:rsidP="002779A4">
      <w:proofErr w:type="spellStart"/>
      <w:r w:rsidRPr="002779A4">
        <w:t>Tokle</w:t>
      </w:r>
      <w:proofErr w:type="spellEnd"/>
      <w:r w:rsidRPr="002779A4">
        <w:t>, L., Hufford, L. J., Behr, W. M., Morales, L. F. G., &amp; Madonna, C.</w:t>
      </w:r>
      <w:r>
        <w:t>:</w:t>
      </w:r>
      <w:r w:rsidRPr="002779A4">
        <w:t xml:space="preserve"> Diffusion creep of sodic amphibole-bearing blueschist limited by </w:t>
      </w:r>
      <w:proofErr w:type="spellStart"/>
      <w:r w:rsidRPr="002779A4">
        <w:t>microboudinage</w:t>
      </w:r>
      <w:proofErr w:type="spellEnd"/>
      <w:r w:rsidRPr="002779A4">
        <w:t xml:space="preserve">. Journal of Geophysical Research: Solid Earth, 128, </w:t>
      </w:r>
      <w:proofErr w:type="spellStart"/>
      <w:r>
        <w:t>doi</w:t>
      </w:r>
      <w:proofErr w:type="spellEnd"/>
      <w:r>
        <w:t xml:space="preserve">: </w:t>
      </w:r>
      <w:r w:rsidRPr="002779A4">
        <w:t>10.1029/2023JB026848</w:t>
      </w:r>
      <w:r>
        <w:t>, 2023.</w:t>
      </w:r>
    </w:p>
    <w:p w14:paraId="6A387F47" w14:textId="3870D44C" w:rsidR="002779A4" w:rsidRDefault="002779A4" w:rsidP="002779A4">
      <w:r w:rsidRPr="002779A4">
        <w:t>Warren, J</w:t>
      </w:r>
      <w:r>
        <w:t>.</w:t>
      </w:r>
      <w:r w:rsidRPr="002779A4">
        <w:t xml:space="preserve"> M., and </w:t>
      </w:r>
      <w:proofErr w:type="spellStart"/>
      <w:r w:rsidRPr="002779A4">
        <w:t>Hirth</w:t>
      </w:r>
      <w:proofErr w:type="spellEnd"/>
      <w:r>
        <w:t>, G</w:t>
      </w:r>
      <w:r w:rsidRPr="002779A4">
        <w:t>.</w:t>
      </w:r>
      <w:r>
        <w:t>:</w:t>
      </w:r>
      <w:r w:rsidRPr="002779A4">
        <w:t xml:space="preserve"> Grain size sensitive deformation mechanisms in naturally deformed peridotites. Earth and Planetary Science Letters 248, no. 1-2</w:t>
      </w:r>
      <w:r>
        <w:t xml:space="preserve">, </w:t>
      </w:r>
      <w:proofErr w:type="spellStart"/>
      <w:r>
        <w:t>doi</w:t>
      </w:r>
      <w:proofErr w:type="spellEnd"/>
      <w:r>
        <w:t xml:space="preserve">: </w:t>
      </w:r>
      <w:r w:rsidRPr="002779A4">
        <w:t>10.1016/j.epsl.2006.06.006</w:t>
      </w:r>
      <w:r>
        <w:t xml:space="preserve">, </w:t>
      </w:r>
      <w:r w:rsidRPr="002779A4">
        <w:t>2006</w:t>
      </w:r>
      <w:r>
        <w:t>.</w:t>
      </w:r>
    </w:p>
    <w:sectPr w:rsidR="002779A4" w:rsidSect="00F512A5">
      <w:footerReference w:type="default" r:id="rId13"/>
      <w:pgSz w:w="11907" w:h="13608"/>
      <w:pgMar w:top="567" w:right="936" w:bottom="1338" w:left="936" w:header="0" w:footer="737" w:gutter="0"/>
      <w:lnNumType w:countBy="5" w:distance="227"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1CA7377" w14:textId="77777777" w:rsidR="00F906C9" w:rsidRDefault="00F906C9" w:rsidP="006D0C96">
      <w:pPr>
        <w:spacing w:line="240" w:lineRule="auto"/>
      </w:pPr>
      <w:r>
        <w:separator/>
      </w:r>
    </w:p>
  </w:endnote>
  <w:endnote w:type="continuationSeparator" w:id="0">
    <w:p w14:paraId="22269E64" w14:textId="77777777" w:rsidR="00F906C9" w:rsidRDefault="00F906C9"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1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imHei">
    <w:altName w:val="黑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67788171"/>
      <w:docPartObj>
        <w:docPartGallery w:val="Page Numbers (Bottom of Page)"/>
        <w:docPartUnique/>
      </w:docPartObj>
    </w:sdtPr>
    <w:sdtEndPr>
      <w:rPr>
        <w:noProof/>
      </w:rPr>
    </w:sdtEndPr>
    <w:sdtContent>
      <w:p w14:paraId="5576ABD1" w14:textId="77777777" w:rsidR="006D0C96" w:rsidRDefault="006D0C96">
        <w:pPr>
          <w:pStyle w:val="Footer"/>
          <w:jc w:val="center"/>
        </w:pPr>
        <w:r>
          <w:fldChar w:fldCharType="begin"/>
        </w:r>
        <w:r>
          <w:instrText xml:space="preserve"> PAGE   \* MERGEFORMAT </w:instrText>
        </w:r>
        <w:r>
          <w:fldChar w:fldCharType="separate"/>
        </w:r>
        <w:r w:rsidR="003118C8">
          <w:rPr>
            <w:noProof/>
          </w:rPr>
          <w:t>2</w:t>
        </w:r>
        <w:r>
          <w:rPr>
            <w:noProof/>
          </w:rPr>
          <w:fldChar w:fldCharType="end"/>
        </w:r>
      </w:p>
    </w:sdtContent>
  </w:sdt>
  <w:p w14:paraId="44AA5123" w14:textId="77777777" w:rsidR="006D0C96" w:rsidRDefault="006D0C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B750BC6" w14:textId="77777777" w:rsidR="00F906C9" w:rsidRDefault="00F906C9" w:rsidP="006D0C96">
      <w:pPr>
        <w:spacing w:line="240" w:lineRule="auto"/>
      </w:pPr>
      <w:r>
        <w:separator/>
      </w:r>
    </w:p>
  </w:footnote>
  <w:footnote w:type="continuationSeparator" w:id="0">
    <w:p w14:paraId="5C21E8E5" w14:textId="77777777" w:rsidR="00F906C9" w:rsidRDefault="00F906C9" w:rsidP="006D0C96">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0256FEC"/>
    <w:multiLevelType w:val="hybridMultilevel"/>
    <w:tmpl w:val="172692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6"/>
  <w:proofState w:spelling="clean" w:grammar="clean"/>
  <w:attachedTemplate r:id="rId1"/>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4213"/>
    <w:rsid w:val="00041A84"/>
    <w:rsid w:val="0005690A"/>
    <w:rsid w:val="00075F28"/>
    <w:rsid w:val="00084789"/>
    <w:rsid w:val="000A1B66"/>
    <w:rsid w:val="000C3A9F"/>
    <w:rsid w:val="00135329"/>
    <w:rsid w:val="00177D6D"/>
    <w:rsid w:val="001A0126"/>
    <w:rsid w:val="001C5EB9"/>
    <w:rsid w:val="001C6984"/>
    <w:rsid w:val="001F7AAD"/>
    <w:rsid w:val="00200B97"/>
    <w:rsid w:val="00203F92"/>
    <w:rsid w:val="002779A4"/>
    <w:rsid w:val="002D7ECA"/>
    <w:rsid w:val="003118C8"/>
    <w:rsid w:val="00335619"/>
    <w:rsid w:val="003A4FB4"/>
    <w:rsid w:val="003D5288"/>
    <w:rsid w:val="00450DB9"/>
    <w:rsid w:val="00463568"/>
    <w:rsid w:val="004D0F1A"/>
    <w:rsid w:val="00542A82"/>
    <w:rsid w:val="0055217B"/>
    <w:rsid w:val="00564213"/>
    <w:rsid w:val="005A4F32"/>
    <w:rsid w:val="005C2447"/>
    <w:rsid w:val="006326D7"/>
    <w:rsid w:val="00670F05"/>
    <w:rsid w:val="006D0C96"/>
    <w:rsid w:val="0070537F"/>
    <w:rsid w:val="00733CBB"/>
    <w:rsid w:val="00751A44"/>
    <w:rsid w:val="00796A7F"/>
    <w:rsid w:val="00855006"/>
    <w:rsid w:val="00883829"/>
    <w:rsid w:val="008B719F"/>
    <w:rsid w:val="008E213F"/>
    <w:rsid w:val="008E3110"/>
    <w:rsid w:val="009150E4"/>
    <w:rsid w:val="0091791F"/>
    <w:rsid w:val="00932F15"/>
    <w:rsid w:val="00943440"/>
    <w:rsid w:val="00964C05"/>
    <w:rsid w:val="009D38E2"/>
    <w:rsid w:val="009F2C0A"/>
    <w:rsid w:val="00A17EED"/>
    <w:rsid w:val="00A42598"/>
    <w:rsid w:val="00A5694C"/>
    <w:rsid w:val="00AD37F0"/>
    <w:rsid w:val="00AE4157"/>
    <w:rsid w:val="00B4015F"/>
    <w:rsid w:val="00B5719D"/>
    <w:rsid w:val="00B62878"/>
    <w:rsid w:val="00B75342"/>
    <w:rsid w:val="00B94A58"/>
    <w:rsid w:val="00BD0523"/>
    <w:rsid w:val="00C1589F"/>
    <w:rsid w:val="00C26311"/>
    <w:rsid w:val="00C35812"/>
    <w:rsid w:val="00C4588A"/>
    <w:rsid w:val="00C82F79"/>
    <w:rsid w:val="00CC51D0"/>
    <w:rsid w:val="00CD59BA"/>
    <w:rsid w:val="00D40CE0"/>
    <w:rsid w:val="00DB4E53"/>
    <w:rsid w:val="00E00253"/>
    <w:rsid w:val="00E00339"/>
    <w:rsid w:val="00E142A8"/>
    <w:rsid w:val="00E861A5"/>
    <w:rsid w:val="00ED6B96"/>
    <w:rsid w:val="00EE58C0"/>
    <w:rsid w:val="00F35903"/>
    <w:rsid w:val="00F512A5"/>
    <w:rsid w:val="00F5258E"/>
    <w:rsid w:val="00F64C9C"/>
    <w:rsid w:val="00F906C9"/>
    <w:rsid w:val="00FF308B"/>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DBE553"/>
  <w15:docId w15:val="{D2CFD17B-36C5-4048-BB43-0059F9DAD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0CE0"/>
    <w:pPr>
      <w:spacing w:line="360" w:lineRule="auto"/>
      <w:jc w:val="both"/>
    </w:pPr>
    <w:rPr>
      <w:rFonts w:ascii="Times New Roman" w:eastAsia="Times New Roman" w:hAnsi="Times New Roman"/>
      <w:szCs w:val="24"/>
      <w:lang w:eastAsia="de-DE"/>
    </w:rPr>
  </w:style>
  <w:style w:type="paragraph" w:styleId="Heading1">
    <w:name w:val="heading 1"/>
    <w:basedOn w:val="Normal"/>
    <w:next w:val="Normal"/>
    <w:link w:val="Heading1Char"/>
    <w:qFormat/>
    <w:rsid w:val="00075F28"/>
    <w:pPr>
      <w:keepNext/>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qFormat/>
    <w:rsid w:val="00E00339"/>
    <w:pPr>
      <w:keepNext/>
      <w:spacing w:before="240" w:after="240" w:line="240" w:lineRule="auto"/>
      <w:outlineLvl w:val="1"/>
    </w:pPr>
    <w:rPr>
      <w:rFonts w:cs="Arial"/>
      <w:b/>
      <w:bCs/>
      <w:iCs/>
      <w:szCs w:val="28"/>
    </w:rPr>
  </w:style>
  <w:style w:type="paragraph" w:styleId="Heading3">
    <w:name w:val="heading 3"/>
    <w:basedOn w:val="Normal"/>
    <w:next w:val="Normal"/>
    <w:link w:val="Heading3Char"/>
    <w:qFormat/>
    <w:rsid w:val="005A4F32"/>
    <w:pPr>
      <w:keepNext/>
      <w:spacing w:before="240" w:after="240" w:line="240" w:lineRule="auto"/>
      <w:outlineLvl w:val="2"/>
    </w:pPr>
    <w:rPr>
      <w:rFonts w:cs="Arial"/>
      <w:b/>
      <w:bCs/>
      <w:szCs w:val="26"/>
    </w:rPr>
  </w:style>
  <w:style w:type="paragraph" w:styleId="Heading4">
    <w:name w:val="heading 4"/>
    <w:basedOn w:val="Normal"/>
    <w:next w:val="Normal"/>
    <w:link w:val="Heading4Char"/>
    <w:rsid w:val="00ED6B96"/>
    <w:pPr>
      <w:keepNext/>
      <w:outlineLvl w:val="3"/>
    </w:pPr>
    <w:rPr>
      <w:b/>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etreff">
    <w:name w:val="Betreff"/>
    <w:basedOn w:val="Normal"/>
    <w:next w:val="Normal"/>
    <w:rsid w:val="00ED6B96"/>
    <w:rPr>
      <w:b/>
    </w:rPr>
  </w:style>
  <w:style w:type="paragraph" w:customStyle="1" w:styleId="Bullets">
    <w:name w:val="Bullets"/>
    <w:basedOn w:val="Normal"/>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TableNormal"/>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ED6B96"/>
    <w:pPr>
      <w:tabs>
        <w:tab w:val="center" w:pos="4536"/>
        <w:tab w:val="right" w:pos="9072"/>
      </w:tabs>
    </w:pPr>
  </w:style>
  <w:style w:type="character" w:customStyle="1" w:styleId="Heading1Char">
    <w:name w:val="Heading 1 Char"/>
    <w:link w:val="Heading1"/>
    <w:rsid w:val="00075F28"/>
    <w:rPr>
      <w:rFonts w:ascii="Times New Roman" w:eastAsia="Times New Roman" w:hAnsi="Times New Roman" w:cs="Arial"/>
      <w:b/>
      <w:bCs/>
      <w:color w:val="000000"/>
      <w:kern w:val="32"/>
      <w:szCs w:val="32"/>
      <w:lang w:eastAsia="de-DE"/>
    </w:rPr>
  </w:style>
  <w:style w:type="character" w:customStyle="1" w:styleId="Heading3Char">
    <w:name w:val="Heading 3 Char"/>
    <w:link w:val="Heading3"/>
    <w:rsid w:val="005A4F32"/>
    <w:rPr>
      <w:rFonts w:ascii="Times New Roman" w:eastAsia="Times New Roman" w:hAnsi="Times New Roman" w:cs="Arial"/>
      <w:b/>
      <w:bCs/>
      <w:szCs w:val="26"/>
      <w:lang w:eastAsia="de-DE"/>
    </w:rPr>
  </w:style>
  <w:style w:type="character" w:customStyle="1" w:styleId="Heading4Char">
    <w:name w:val="Heading 4 Char"/>
    <w:link w:val="Heading4"/>
    <w:rsid w:val="00796A7F"/>
    <w:rPr>
      <w:rFonts w:ascii="Verdana" w:eastAsia="Times New Roman" w:hAnsi="Verdana" w:cs="Times New Roman"/>
      <w:b/>
      <w:bCs/>
      <w:sz w:val="19"/>
      <w:szCs w:val="28"/>
      <w:lang w:eastAsia="de-DE"/>
    </w:rPr>
  </w:style>
  <w:style w:type="character" w:customStyle="1" w:styleId="HeaderChar">
    <w:name w:val="Header Char"/>
    <w:link w:val="Header"/>
    <w:rsid w:val="00ED6B96"/>
    <w:rPr>
      <w:rFonts w:ascii="Verdana" w:eastAsia="Times New Roman" w:hAnsi="Verdana" w:cs="Times New Roman"/>
      <w:sz w:val="19"/>
      <w:szCs w:val="24"/>
      <w:lang w:eastAsia="de-DE"/>
    </w:rPr>
  </w:style>
  <w:style w:type="character" w:customStyle="1" w:styleId="Heading2Char">
    <w:name w:val="Heading 2 Char"/>
    <w:link w:val="Heading2"/>
    <w:rsid w:val="00E00339"/>
    <w:rPr>
      <w:rFonts w:ascii="Times New Roman" w:eastAsia="Times New Roman" w:hAnsi="Times New Roman" w:cs="Arial"/>
      <w:b/>
      <w:bCs/>
      <w:iCs/>
      <w:szCs w:val="28"/>
      <w:lang w:eastAsia="de-DE"/>
    </w:rPr>
  </w:style>
  <w:style w:type="character" w:styleId="Hyperlink">
    <w:name w:val="Hyperlink"/>
    <w:rsid w:val="00ED6B96"/>
    <w:rPr>
      <w:color w:val="0000FF"/>
      <w:u w:val="single"/>
    </w:rPr>
  </w:style>
  <w:style w:type="paragraph" w:customStyle="1" w:styleId="Kontakt">
    <w:name w:val="Kontakt"/>
    <w:basedOn w:val="Normal"/>
    <w:rsid w:val="00ED6B96"/>
    <w:pPr>
      <w:spacing w:line="160" w:lineRule="exact"/>
    </w:pPr>
    <w:rPr>
      <w:color w:val="808080"/>
      <w:sz w:val="13"/>
    </w:rPr>
  </w:style>
  <w:style w:type="paragraph" w:customStyle="1" w:styleId="Name">
    <w:name w:val="Name"/>
    <w:basedOn w:val="Normal"/>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5719D"/>
  </w:style>
  <w:style w:type="character" w:customStyle="1" w:styleId="CopernicusWordtemplateChar">
    <w:name w:val="Copernicus_Word_template Char"/>
    <w:basedOn w:val="DefaultParagraphFont"/>
    <w:link w:val="CopernicusWordtemplate"/>
    <w:rsid w:val="00B5719D"/>
    <w:rPr>
      <w:rFonts w:ascii="Times New Roman" w:eastAsia="Times New Roman" w:hAnsi="Times New Roman"/>
      <w:sz w:val="24"/>
      <w:szCs w:val="24"/>
      <w:lang w:eastAsia="de-DE"/>
    </w:rPr>
  </w:style>
  <w:style w:type="character" w:styleId="LineNumber">
    <w:name w:val="line number"/>
    <w:basedOn w:val="DefaultParagraphFont"/>
    <w:uiPriority w:val="99"/>
    <w:semiHidden/>
    <w:unhideWhenUsed/>
    <w:rsid w:val="00D40CE0"/>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ListParagraph">
    <w:name w:val="List Paragraph"/>
    <w:basedOn w:val="Normal"/>
    <w:uiPriority w:val="34"/>
    <w:rsid w:val="00B4015F"/>
    <w:pPr>
      <w:ind w:left="720"/>
      <w:contextualSpacing/>
    </w:pPr>
  </w:style>
  <w:style w:type="character" w:customStyle="1" w:styleId="MStitleChar">
    <w:name w:val="MS title Char"/>
    <w:basedOn w:val="DefaultParagraphFont"/>
    <w:link w:val="MStitle"/>
    <w:rsid w:val="0091791F"/>
    <w:rPr>
      <w:rFonts w:ascii="Times New Roman" w:eastAsia="Times New Roman" w:hAnsi="Times New Roman"/>
      <w:b/>
      <w:sz w:val="34"/>
      <w:szCs w:val="24"/>
      <w:lang w:eastAsia="de-DE"/>
    </w:rPr>
  </w:style>
  <w:style w:type="paragraph" w:customStyle="1" w:styleId="Affiliation">
    <w:name w:val="Affiliation"/>
    <w:basedOn w:val="Normal"/>
    <w:link w:val="AffiliationChar"/>
    <w:qFormat/>
    <w:rsid w:val="00450DB9"/>
    <w:pPr>
      <w:spacing w:before="120" w:line="240" w:lineRule="auto"/>
      <w:contextualSpacing/>
    </w:pPr>
  </w:style>
  <w:style w:type="character" w:styleId="PlaceholderText">
    <w:name w:val="Placeholder Text"/>
    <w:basedOn w:val="DefaultParagraphFont"/>
    <w:uiPriority w:val="99"/>
    <w:semiHidden/>
    <w:rsid w:val="003D5288"/>
    <w:rPr>
      <w:color w:val="808080"/>
    </w:rPr>
  </w:style>
  <w:style w:type="character" w:customStyle="1" w:styleId="AffiliationChar">
    <w:name w:val="Affiliation Char"/>
    <w:basedOn w:val="DefaultParagraphFont"/>
    <w:link w:val="Affiliation"/>
    <w:rsid w:val="00450DB9"/>
    <w:rPr>
      <w:rFonts w:ascii="Times New Roman" w:eastAsia="Times New Roman" w:hAnsi="Times New Roman"/>
      <w:szCs w:val="24"/>
      <w:lang w:eastAsia="de-DE"/>
    </w:rPr>
  </w:style>
  <w:style w:type="paragraph" w:styleId="BalloonText">
    <w:name w:val="Balloon Text"/>
    <w:basedOn w:val="Normal"/>
    <w:link w:val="BalloonTextChar"/>
    <w:uiPriority w:val="99"/>
    <w:semiHidden/>
    <w:unhideWhenUsed/>
    <w:rsid w:val="003D528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288"/>
    <w:rPr>
      <w:rFonts w:ascii="Tahoma" w:eastAsia="Times New Roman" w:hAnsi="Tahoma" w:cs="Tahoma"/>
      <w:sz w:val="16"/>
      <w:szCs w:val="16"/>
      <w:lang w:eastAsia="de-DE"/>
    </w:rPr>
  </w:style>
  <w:style w:type="paragraph" w:customStyle="1" w:styleId="Equation">
    <w:name w:val="Equation"/>
    <w:basedOn w:val="Normal"/>
    <w:link w:val="EquationChar"/>
    <w:rsid w:val="00C35812"/>
    <w:pPr>
      <w:spacing w:before="120" w:after="120"/>
    </w:pPr>
    <w:rPr>
      <w:rFonts w:ascii="Cambria Math" w:hAnsi="Cambria Math"/>
    </w:rPr>
  </w:style>
  <w:style w:type="paragraph" w:styleId="Caption">
    <w:name w:val="caption"/>
    <w:basedOn w:val="Normal"/>
    <w:next w:val="Normal"/>
    <w:uiPriority w:val="35"/>
    <w:unhideWhenUsed/>
    <w:qFormat/>
    <w:rsid w:val="003A4FB4"/>
    <w:pPr>
      <w:spacing w:after="200" w:line="240" w:lineRule="auto"/>
    </w:pPr>
    <w:rPr>
      <w:b/>
      <w:bCs/>
      <w:sz w:val="18"/>
      <w:szCs w:val="18"/>
    </w:rPr>
  </w:style>
  <w:style w:type="character" w:customStyle="1" w:styleId="EquationChar">
    <w:name w:val="Equation Char"/>
    <w:basedOn w:val="DefaultParagraphFont"/>
    <w:link w:val="Equation"/>
    <w:rsid w:val="00C35812"/>
    <w:rPr>
      <w:rFonts w:ascii="Cambria Math" w:eastAsia="Times New Roman" w:hAnsi="Cambria Math"/>
      <w:szCs w:val="24"/>
      <w:lang w:eastAsia="de-DE"/>
    </w:rPr>
  </w:style>
  <w:style w:type="paragraph" w:styleId="Footer">
    <w:name w:val="footer"/>
    <w:basedOn w:val="Normal"/>
    <w:link w:val="FooterChar"/>
    <w:uiPriority w:val="99"/>
    <w:unhideWhenUsed/>
    <w:rsid w:val="006D0C96"/>
    <w:pPr>
      <w:tabs>
        <w:tab w:val="center" w:pos="4513"/>
        <w:tab w:val="right" w:pos="9026"/>
      </w:tabs>
      <w:spacing w:line="240" w:lineRule="auto"/>
    </w:pPr>
  </w:style>
  <w:style w:type="character" w:customStyle="1" w:styleId="FooterChar">
    <w:name w:val="Footer Char"/>
    <w:basedOn w:val="DefaultParagraphFont"/>
    <w:link w:val="Footer"/>
    <w:uiPriority w:val="99"/>
    <w:rsid w:val="006D0C96"/>
    <w:rPr>
      <w:rFonts w:ascii="Times New Roman" w:eastAsia="Times New Roman" w:hAnsi="Times New Roman"/>
      <w:szCs w:val="24"/>
      <w:lang w:eastAsia="de-DE"/>
    </w:rPr>
  </w:style>
  <w:style w:type="paragraph" w:customStyle="1" w:styleId="Correspondence">
    <w:name w:val="Correspondence"/>
    <w:basedOn w:val="Normal"/>
    <w:link w:val="CorrespondenceChar"/>
    <w:qFormat/>
    <w:rsid w:val="008E213F"/>
    <w:pPr>
      <w:spacing w:before="120" w:after="360" w:line="240" w:lineRule="auto"/>
    </w:pPr>
  </w:style>
  <w:style w:type="character" w:customStyle="1" w:styleId="CorrespondenceChar">
    <w:name w:val="Correspondence Char"/>
    <w:basedOn w:val="DefaultParagraphFont"/>
    <w:link w:val="Correspondence"/>
    <w:rsid w:val="008E213F"/>
    <w:rPr>
      <w:rFonts w:ascii="Times New Roman" w:eastAsia="Times New Roman" w:hAnsi="Times New Roman"/>
      <w:szCs w:val="24"/>
      <w:lang w:eastAsia="de-DE"/>
    </w:rPr>
  </w:style>
  <w:style w:type="paragraph" w:customStyle="1" w:styleId="Authors">
    <w:name w:val="Authors"/>
    <w:basedOn w:val="Normal"/>
    <w:link w:val="AuthorsChar"/>
    <w:qFormat/>
    <w:rsid w:val="00BD0523"/>
    <w:pPr>
      <w:spacing w:before="180" w:line="240" w:lineRule="auto"/>
      <w:contextualSpacing/>
    </w:pPr>
    <w:rPr>
      <w:sz w:val="24"/>
    </w:rPr>
  </w:style>
  <w:style w:type="character" w:customStyle="1" w:styleId="AuthorsChar">
    <w:name w:val="Authors Char"/>
    <w:basedOn w:val="DefaultParagraphFont"/>
    <w:link w:val="Authors"/>
    <w:rsid w:val="00BD0523"/>
    <w:rPr>
      <w:rFonts w:ascii="Times New Roman" w:eastAsia="Times New Roman" w:hAnsi="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83040025">
      <w:bodyDiv w:val="1"/>
      <w:marLeft w:val="0"/>
      <w:marRight w:val="0"/>
      <w:marTop w:val="0"/>
      <w:marBottom w:val="0"/>
      <w:divBdr>
        <w:top w:val="none" w:sz="0" w:space="0" w:color="auto"/>
        <w:left w:val="none" w:sz="0" w:space="0" w:color="auto"/>
        <w:bottom w:val="none" w:sz="0" w:space="0" w:color="auto"/>
        <w:right w:val="none" w:sz="0" w:space="0" w:color="auto"/>
      </w:divBdr>
    </w:div>
    <w:div w:id="16770013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1CCC96-A6EC-404C-956E-17F2DD599A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C:\CopernicusTemplates\Free-Forms\Blank.dotm</Template>
  <TotalTime>33</TotalTime>
  <Pages>6</Pages>
  <Words>738</Words>
  <Characters>4210</Characters>
  <Application>Microsoft Office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4939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Microsoft Office User</cp:lastModifiedBy>
  <cp:revision>5</cp:revision>
  <cp:lastPrinted>2016-02-01T07:21:00Z</cp:lastPrinted>
  <dcterms:created xsi:type="dcterms:W3CDTF">2025-01-22T16:21:00Z</dcterms:created>
  <dcterms:modified xsi:type="dcterms:W3CDTF">2025-02-03T22:20:00Z</dcterms:modified>
</cp:coreProperties>
</file>