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B5CF12" w14:textId="3003D583" w:rsidR="08782EA8" w:rsidRPr="0026080D" w:rsidRDefault="08782EA8" w:rsidP="00232182">
      <w:pPr>
        <w:jc w:val="center"/>
        <w:rPr>
          <w:b/>
          <w:bCs/>
          <w:szCs w:val="36"/>
          <w:lang w:val="en-GB"/>
        </w:rPr>
      </w:pPr>
      <w:r w:rsidRPr="0026080D">
        <w:rPr>
          <w:b/>
          <w:bCs/>
          <w:sz w:val="32"/>
          <w:szCs w:val="36"/>
          <w:lang w:val="en-GB"/>
        </w:rPr>
        <w:t xml:space="preserve">Supplementary </w:t>
      </w:r>
      <w:r w:rsidR="008E6BBD" w:rsidRPr="0026080D">
        <w:rPr>
          <w:b/>
          <w:bCs/>
          <w:sz w:val="32"/>
          <w:szCs w:val="36"/>
          <w:lang w:val="en-GB"/>
        </w:rPr>
        <w:t>m</w:t>
      </w:r>
      <w:r w:rsidRPr="0026080D">
        <w:rPr>
          <w:b/>
          <w:bCs/>
          <w:sz w:val="32"/>
          <w:szCs w:val="36"/>
          <w:lang w:val="en-GB"/>
        </w:rPr>
        <w:t>aterial (Rieder et al. 2025)</w:t>
      </w:r>
    </w:p>
    <w:p w14:paraId="4C1738D1" w14:textId="5082F795" w:rsidR="00A963CC" w:rsidRDefault="00765F3A" w:rsidP="43FD68B5">
      <w:pPr>
        <w:rPr>
          <w:lang w:val="en-GB"/>
        </w:rPr>
      </w:pPr>
      <w:r w:rsidRPr="00633CDF">
        <w:rPr>
          <w:lang w:val="en-GB"/>
        </w:rPr>
        <w:t>This document contains the supplementary figures for the paper</w:t>
      </w:r>
      <w:r w:rsidR="00A963CC">
        <w:rPr>
          <w:lang w:val="en-GB"/>
        </w:rPr>
        <w:t>:</w:t>
      </w:r>
      <w:r w:rsidRPr="00633CDF">
        <w:rPr>
          <w:lang w:val="en-GB"/>
        </w:rPr>
        <w:t xml:space="preserve"> </w:t>
      </w:r>
      <w:r w:rsidR="00F469CE">
        <w:rPr>
          <w:lang w:val="en-GB"/>
        </w:rPr>
        <w:t>“</w:t>
      </w:r>
      <w:r w:rsidR="00A963CC" w:rsidRPr="00A963CC">
        <w:rPr>
          <w:lang w:val="en-GB"/>
        </w:rPr>
        <w:t>Rieder C</w:t>
      </w:r>
      <w:r w:rsidR="0059068E">
        <w:rPr>
          <w:lang w:val="en-GB"/>
        </w:rPr>
        <w:t>.</w:t>
      </w:r>
      <w:r w:rsidR="00A963CC" w:rsidRPr="00A963CC">
        <w:rPr>
          <w:lang w:val="en-GB"/>
        </w:rPr>
        <w:t>, Verrecchia E</w:t>
      </w:r>
      <w:r w:rsidR="0059068E">
        <w:rPr>
          <w:lang w:val="en-GB"/>
        </w:rPr>
        <w:t>.</w:t>
      </w:r>
      <w:r w:rsidR="00A51DF3">
        <w:rPr>
          <w:lang w:val="en-GB"/>
        </w:rPr>
        <w:t xml:space="preserve"> </w:t>
      </w:r>
      <w:r w:rsidR="0059068E">
        <w:rPr>
          <w:lang w:val="en-GB"/>
        </w:rPr>
        <w:t>P.</w:t>
      </w:r>
      <w:r w:rsidR="00A963CC" w:rsidRPr="00A963CC">
        <w:rPr>
          <w:lang w:val="en-GB"/>
        </w:rPr>
        <w:t>, B</w:t>
      </w:r>
      <w:proofErr w:type="spellStart"/>
      <w:r w:rsidR="00A963CC" w:rsidRPr="00A963CC">
        <w:rPr>
          <w:lang w:val="en-GB"/>
        </w:rPr>
        <w:t>indschedler</w:t>
      </w:r>
      <w:proofErr w:type="spellEnd"/>
      <w:r w:rsidR="00A963CC" w:rsidRPr="00A963CC">
        <w:rPr>
          <w:lang w:val="en-GB"/>
        </w:rPr>
        <w:t xml:space="preserve"> S</w:t>
      </w:r>
      <w:r w:rsidR="0059068E">
        <w:rPr>
          <w:lang w:val="en-GB"/>
        </w:rPr>
        <w:t>.</w:t>
      </w:r>
      <w:r w:rsidR="00A963CC" w:rsidRPr="00A963CC">
        <w:rPr>
          <w:lang w:val="en-GB"/>
        </w:rPr>
        <w:t xml:space="preserve">, </w:t>
      </w:r>
      <w:proofErr w:type="spellStart"/>
      <w:r w:rsidR="00A963CC" w:rsidRPr="00DC27BA">
        <w:t>Cailleau</w:t>
      </w:r>
      <w:proofErr w:type="spellEnd"/>
      <w:r w:rsidR="00A963CC">
        <w:t xml:space="preserve"> G</w:t>
      </w:r>
      <w:r w:rsidR="0059068E">
        <w:t>.</w:t>
      </w:r>
      <w:r w:rsidR="00A963CC">
        <w:t xml:space="preserve">, </w:t>
      </w:r>
      <w:r w:rsidR="00A963CC" w:rsidRPr="00DC27BA">
        <w:t>Rozi</w:t>
      </w:r>
      <w:r w:rsidR="00A963CC">
        <w:t>n A</w:t>
      </w:r>
      <w:r w:rsidR="0059068E">
        <w:t>.</w:t>
      </w:r>
      <w:r w:rsidR="00A963CC" w:rsidRPr="00DC27BA">
        <w:t xml:space="preserve">, </w:t>
      </w:r>
      <w:proofErr w:type="spellStart"/>
      <w:r w:rsidR="00A963CC" w:rsidRPr="00DC27BA">
        <w:t>Anbarasha</w:t>
      </w:r>
      <w:r w:rsidR="00A963CC">
        <w:t>n</w:t>
      </w:r>
      <w:proofErr w:type="spellEnd"/>
      <w:r w:rsidR="00A963CC">
        <w:t xml:space="preserve"> M</w:t>
      </w:r>
      <w:r w:rsidR="0059068E">
        <w:t>.</w:t>
      </w:r>
      <w:r w:rsidR="00A963CC" w:rsidRPr="00DC27BA">
        <w:t>, Dasgupt</w:t>
      </w:r>
      <w:r w:rsidR="00A963CC">
        <w:t>a S</w:t>
      </w:r>
      <w:r w:rsidR="0059068E">
        <w:t>.</w:t>
      </w:r>
      <w:r w:rsidR="00A963CC" w:rsidRPr="00DC27BA">
        <w:t xml:space="preserve">, </w:t>
      </w:r>
      <w:proofErr w:type="spellStart"/>
      <w:r w:rsidR="00A963CC" w:rsidRPr="00DC27BA">
        <w:t>Junier</w:t>
      </w:r>
      <w:proofErr w:type="spellEnd"/>
      <w:r w:rsidR="00A963CC">
        <w:rPr>
          <w:vertAlign w:val="superscript"/>
        </w:rPr>
        <w:t xml:space="preserve"> </w:t>
      </w:r>
      <w:r w:rsidR="00A963CC">
        <w:t>T</w:t>
      </w:r>
      <w:r w:rsidR="0059068E">
        <w:t>.</w:t>
      </w:r>
      <w:r w:rsidR="00A963CC" w:rsidRPr="00DC27BA">
        <w:t xml:space="preserve">, </w:t>
      </w:r>
      <w:proofErr w:type="spellStart"/>
      <w:r w:rsidR="00A963CC" w:rsidRPr="00DC27BA">
        <w:t>Roeschl</w:t>
      </w:r>
      <w:r w:rsidR="00A963CC">
        <w:t>i</w:t>
      </w:r>
      <w:proofErr w:type="spellEnd"/>
      <w:r w:rsidR="00A963CC">
        <w:t xml:space="preserve"> N</w:t>
      </w:r>
      <w:r w:rsidR="0059068E">
        <w:t>.</w:t>
      </w:r>
      <w:r w:rsidR="00A963CC" w:rsidRPr="00DC27BA">
        <w:t xml:space="preserve">, </w:t>
      </w:r>
      <w:proofErr w:type="spellStart"/>
      <w:r w:rsidR="00A963CC" w:rsidRPr="00DC27BA">
        <w:t>Vitto</w:t>
      </w:r>
      <w:r w:rsidR="00A963CC">
        <w:t>z</w:t>
      </w:r>
      <w:proofErr w:type="spellEnd"/>
      <w:r w:rsidR="00A963CC">
        <w:t xml:space="preserve"> P</w:t>
      </w:r>
      <w:r w:rsidR="0059068E">
        <w:t>.</w:t>
      </w:r>
      <w:r w:rsidR="00A963CC" w:rsidRPr="00DC27BA">
        <w:t>, Rowle</w:t>
      </w:r>
      <w:r w:rsidR="00A963CC">
        <w:t>y M</w:t>
      </w:r>
      <w:r w:rsidR="0059068E">
        <w:t>.</w:t>
      </w:r>
      <w:r w:rsidR="00A51DF3">
        <w:t xml:space="preserve"> </w:t>
      </w:r>
      <w:r w:rsidR="00A963CC">
        <w:t>C</w:t>
      </w:r>
      <w:r w:rsidR="0059068E">
        <w:t>.</w:t>
      </w:r>
      <w:r w:rsidR="00A51DF3">
        <w:t xml:space="preserve">: </w:t>
      </w:r>
      <w:r w:rsidR="00A963CC" w:rsidRPr="00A963CC">
        <w:rPr>
          <w:lang w:val="en-GB"/>
        </w:rPr>
        <w:t>Novel oxalate-carbonate pathways identified in the tropical dry evergreen forest of Tamil Nadu, India</w:t>
      </w:r>
      <w:r w:rsidR="00A51DF3">
        <w:rPr>
          <w:lang w:val="en-GB"/>
        </w:rPr>
        <w:t>, 2025.</w:t>
      </w:r>
      <w:r w:rsidR="00F469CE">
        <w:rPr>
          <w:lang w:val="en-GB"/>
        </w:rPr>
        <w:t>”</w:t>
      </w:r>
    </w:p>
    <w:p w14:paraId="1C6814E9" w14:textId="19DE907F" w:rsidR="00F469CE" w:rsidRPr="00A026C5" w:rsidRDefault="00F469CE" w:rsidP="43FD68B5">
      <w:r>
        <w:rPr>
          <w:lang w:val="en-GB"/>
        </w:rPr>
        <w:t>Corresponding author: Camille Rieder</w:t>
      </w:r>
      <w:r w:rsidR="00A026C5">
        <w:rPr>
          <w:lang w:val="en-GB"/>
        </w:rPr>
        <w:t xml:space="preserve">, </w:t>
      </w:r>
      <w:r w:rsidR="00A026C5" w:rsidRPr="00DC27BA">
        <w:t>Institute of Earth Surface Dynamics, University of Lausanne, Lausanne, Switzerland</w:t>
      </w:r>
      <w:r w:rsidR="00A026C5">
        <w:t xml:space="preserve">; </w:t>
      </w:r>
      <w:hyperlink r:id="rId8" w:history="1">
        <w:r w:rsidR="00A026C5">
          <w:rPr>
            <w:rStyle w:val="Lienhypertexte"/>
          </w:rPr>
          <w:t>C</w:t>
        </w:r>
        <w:r w:rsidR="00A026C5" w:rsidRPr="0049611F">
          <w:rPr>
            <w:rStyle w:val="Lienhypertexte"/>
          </w:rPr>
          <w:t>amille.</w:t>
        </w:r>
        <w:r w:rsidR="00A026C5">
          <w:rPr>
            <w:rStyle w:val="Lienhypertexte"/>
          </w:rPr>
          <w:t>R</w:t>
        </w:r>
        <w:r w:rsidR="00A026C5" w:rsidRPr="0049611F">
          <w:rPr>
            <w:rStyle w:val="Lienhypertexte"/>
          </w:rPr>
          <w:t>ieder@unil.ch</w:t>
        </w:r>
      </w:hyperlink>
      <w:r w:rsidR="00A026C5">
        <w:t xml:space="preserve"> </w:t>
      </w:r>
      <w:r w:rsidR="00A026C5" w:rsidRPr="00DC27BA">
        <w:t xml:space="preserve"> </w:t>
      </w:r>
    </w:p>
    <w:p w14:paraId="7A266839" w14:textId="1D2C6B25" w:rsidR="08782EA8" w:rsidRDefault="00765F3A" w:rsidP="43FD68B5">
      <w:pPr>
        <w:rPr>
          <w:lang w:val="en-GB"/>
        </w:rPr>
      </w:pPr>
      <w:r w:rsidRPr="00633CDF">
        <w:rPr>
          <w:lang w:val="en-GB"/>
        </w:rPr>
        <w:t>Legends for supplementary tables are provided in the accompanying Excel file, as listed in the supplementary table section.</w:t>
      </w:r>
      <w:r w:rsidR="08782EA8" w:rsidRPr="43FD68B5">
        <w:rPr>
          <w:lang w:val="en-GB"/>
        </w:rPr>
        <w:t xml:space="preserve"> </w:t>
      </w:r>
    </w:p>
    <w:sdt>
      <w:sdtPr>
        <w:rPr>
          <w:rFonts w:eastAsiaTheme="minorEastAsia"/>
          <w:szCs w:val="20"/>
        </w:rPr>
        <w:id w:val="-343631667"/>
        <w:docPartObj>
          <w:docPartGallery w:val="Table of Contents"/>
          <w:docPartUnique/>
        </w:docPartObj>
      </w:sdtPr>
      <w:sdtEndPr>
        <w:rPr>
          <w:b/>
          <w:bCs/>
          <w:noProof/>
        </w:rPr>
      </w:sdtEndPr>
      <w:sdtContent>
        <w:p w14:paraId="38C8BB13" w14:textId="77777777" w:rsidR="00A2364F" w:rsidRPr="00DF7972" w:rsidRDefault="00F630E7" w:rsidP="00EE5134">
          <w:pPr>
            <w:pStyle w:val="TM1"/>
            <w:rPr>
              <w:rStyle w:val="Titre2Car"/>
            </w:rPr>
          </w:pPr>
          <w:r w:rsidRPr="00DF7972">
            <w:rPr>
              <w:rStyle w:val="Titre2Car"/>
            </w:rPr>
            <w:t>Contents</w:t>
          </w:r>
        </w:p>
        <w:p w14:paraId="604FB6DF" w14:textId="65E9DBD7" w:rsidR="00964926" w:rsidRDefault="00F630E7">
          <w:pPr>
            <w:pStyle w:val="TM1"/>
            <w:rPr>
              <w:rFonts w:asciiTheme="minorHAnsi" w:eastAsiaTheme="minorEastAsia" w:hAnsiTheme="minorHAnsi" w:cstheme="minorBidi"/>
              <w:noProof/>
              <w:sz w:val="24"/>
              <w:szCs w:val="24"/>
              <w:lang w:val="fr-CH" w:eastAsia="fr-CH"/>
            </w:rPr>
          </w:pPr>
          <w:r>
            <w:rPr>
              <w:rFonts w:asciiTheme="majorHAnsi" w:eastAsiaTheme="majorEastAsia" w:hAnsiTheme="majorHAnsi" w:cstheme="majorBidi"/>
              <w:color w:val="365F91" w:themeColor="accent1" w:themeShade="BF"/>
              <w:kern w:val="0"/>
              <w:sz w:val="32"/>
              <w:szCs w:val="32"/>
              <w14:ligatures w14:val="none"/>
            </w:rPr>
            <w:fldChar w:fldCharType="begin"/>
          </w:r>
          <w:r>
            <w:instrText xml:space="preserve"> TOC \o "1-3" \h \z \u </w:instrText>
          </w:r>
          <w:r>
            <w:rPr>
              <w:rFonts w:asciiTheme="majorHAnsi" w:eastAsiaTheme="majorEastAsia" w:hAnsiTheme="majorHAnsi" w:cstheme="majorBidi"/>
              <w:color w:val="365F91" w:themeColor="accent1" w:themeShade="BF"/>
              <w:kern w:val="0"/>
              <w:sz w:val="32"/>
              <w:szCs w:val="32"/>
              <w14:ligatures w14:val="none"/>
            </w:rPr>
            <w:fldChar w:fldCharType="separate"/>
          </w:r>
          <w:hyperlink w:anchor="_Toc199759372" w:history="1">
            <w:r w:rsidR="00964926" w:rsidRPr="00B36C85">
              <w:rPr>
                <w:rStyle w:val="Lienhypertexte"/>
                <w:noProof/>
                <w:lang w:val="en-GB"/>
              </w:rPr>
              <w:t>S.Fig.: Supplementary figures</w:t>
            </w:r>
            <w:r w:rsidR="00964926">
              <w:rPr>
                <w:noProof/>
                <w:webHidden/>
              </w:rPr>
              <w:tab/>
            </w:r>
            <w:r w:rsidR="00964926">
              <w:rPr>
                <w:noProof/>
                <w:webHidden/>
              </w:rPr>
              <w:fldChar w:fldCharType="begin"/>
            </w:r>
            <w:r w:rsidR="00964926">
              <w:rPr>
                <w:noProof/>
                <w:webHidden/>
              </w:rPr>
              <w:instrText xml:space="preserve"> PAGEREF _Toc199759372 \h </w:instrText>
            </w:r>
            <w:r w:rsidR="00964926">
              <w:rPr>
                <w:noProof/>
                <w:webHidden/>
              </w:rPr>
            </w:r>
            <w:r w:rsidR="00964926">
              <w:rPr>
                <w:noProof/>
                <w:webHidden/>
              </w:rPr>
              <w:fldChar w:fldCharType="separate"/>
            </w:r>
            <w:r w:rsidR="00964926">
              <w:rPr>
                <w:noProof/>
                <w:webHidden/>
              </w:rPr>
              <w:t>3</w:t>
            </w:r>
            <w:r w:rsidR="00964926">
              <w:rPr>
                <w:noProof/>
                <w:webHidden/>
              </w:rPr>
              <w:fldChar w:fldCharType="end"/>
            </w:r>
          </w:hyperlink>
        </w:p>
        <w:p w14:paraId="6D27792D" w14:textId="6115BEC2" w:rsidR="00964926" w:rsidRDefault="00000000">
          <w:pPr>
            <w:pStyle w:val="TM2"/>
            <w:rPr>
              <w:rFonts w:asciiTheme="minorHAnsi" w:eastAsiaTheme="minorEastAsia" w:hAnsiTheme="minorHAnsi" w:cstheme="minorBidi"/>
              <w:noProof/>
              <w:sz w:val="24"/>
              <w:szCs w:val="24"/>
              <w:lang w:val="fr-CH" w:eastAsia="fr-CH"/>
            </w:rPr>
          </w:pPr>
          <w:hyperlink w:anchor="_Toc199759373" w:history="1">
            <w:r w:rsidR="00964926" w:rsidRPr="00B36C85">
              <w:rPr>
                <w:rStyle w:val="Lienhypertexte"/>
                <w:noProof/>
                <w:lang w:val="en-GB"/>
              </w:rPr>
              <w:t>S.Fig. 1 - 10 % hydrochloric acid effervescence reaction on tree species</w:t>
            </w:r>
            <w:r w:rsidR="00964926">
              <w:rPr>
                <w:noProof/>
                <w:webHidden/>
              </w:rPr>
              <w:tab/>
            </w:r>
            <w:r w:rsidR="00964926">
              <w:rPr>
                <w:noProof/>
                <w:webHidden/>
              </w:rPr>
              <w:fldChar w:fldCharType="begin"/>
            </w:r>
            <w:r w:rsidR="00964926">
              <w:rPr>
                <w:noProof/>
                <w:webHidden/>
              </w:rPr>
              <w:instrText xml:space="preserve"> PAGEREF _Toc199759373 \h </w:instrText>
            </w:r>
            <w:r w:rsidR="00964926">
              <w:rPr>
                <w:noProof/>
                <w:webHidden/>
              </w:rPr>
            </w:r>
            <w:r w:rsidR="00964926">
              <w:rPr>
                <w:noProof/>
                <w:webHidden/>
              </w:rPr>
              <w:fldChar w:fldCharType="separate"/>
            </w:r>
            <w:r w:rsidR="00964926">
              <w:rPr>
                <w:noProof/>
                <w:webHidden/>
              </w:rPr>
              <w:t>3</w:t>
            </w:r>
            <w:r w:rsidR="00964926">
              <w:rPr>
                <w:noProof/>
                <w:webHidden/>
              </w:rPr>
              <w:fldChar w:fldCharType="end"/>
            </w:r>
          </w:hyperlink>
        </w:p>
        <w:p w14:paraId="1E60B055" w14:textId="56E44FCE" w:rsidR="00964926" w:rsidRDefault="00000000">
          <w:pPr>
            <w:pStyle w:val="TM2"/>
            <w:rPr>
              <w:rFonts w:asciiTheme="minorHAnsi" w:eastAsiaTheme="minorEastAsia" w:hAnsiTheme="minorHAnsi" w:cstheme="minorBidi"/>
              <w:noProof/>
              <w:sz w:val="24"/>
              <w:szCs w:val="24"/>
              <w:lang w:val="fr-CH" w:eastAsia="fr-CH"/>
            </w:rPr>
          </w:pPr>
          <w:hyperlink w:anchor="_Toc199759374" w:history="1">
            <w:r w:rsidR="00964926" w:rsidRPr="00B36C85">
              <w:rPr>
                <w:rStyle w:val="Lienhypertexte"/>
                <w:noProof/>
                <w:lang w:val="en-GB"/>
              </w:rPr>
              <w:t>S.Fig. 2 - CaOx scanning electron microscopy and energy dispersive X-ray spectroscopy.</w:t>
            </w:r>
            <w:r w:rsidR="00964926">
              <w:rPr>
                <w:noProof/>
                <w:webHidden/>
              </w:rPr>
              <w:tab/>
            </w:r>
            <w:r w:rsidR="00964926">
              <w:rPr>
                <w:noProof/>
                <w:webHidden/>
              </w:rPr>
              <w:fldChar w:fldCharType="begin"/>
            </w:r>
            <w:r w:rsidR="00964926">
              <w:rPr>
                <w:noProof/>
                <w:webHidden/>
              </w:rPr>
              <w:instrText xml:space="preserve"> PAGEREF _Toc199759374 \h </w:instrText>
            </w:r>
            <w:r w:rsidR="00964926">
              <w:rPr>
                <w:noProof/>
                <w:webHidden/>
              </w:rPr>
            </w:r>
            <w:r w:rsidR="00964926">
              <w:rPr>
                <w:noProof/>
                <w:webHidden/>
              </w:rPr>
              <w:fldChar w:fldCharType="separate"/>
            </w:r>
            <w:r w:rsidR="00964926">
              <w:rPr>
                <w:noProof/>
                <w:webHidden/>
              </w:rPr>
              <w:t>4</w:t>
            </w:r>
            <w:r w:rsidR="00964926">
              <w:rPr>
                <w:noProof/>
                <w:webHidden/>
              </w:rPr>
              <w:fldChar w:fldCharType="end"/>
            </w:r>
          </w:hyperlink>
        </w:p>
        <w:p w14:paraId="7E595F74" w14:textId="3233714D" w:rsidR="00964926" w:rsidRDefault="00000000">
          <w:pPr>
            <w:pStyle w:val="TM2"/>
            <w:rPr>
              <w:rFonts w:asciiTheme="minorHAnsi" w:eastAsiaTheme="minorEastAsia" w:hAnsiTheme="minorHAnsi" w:cstheme="minorBidi"/>
              <w:noProof/>
              <w:sz w:val="24"/>
              <w:szCs w:val="24"/>
              <w:lang w:val="fr-CH" w:eastAsia="fr-CH"/>
            </w:rPr>
          </w:pPr>
          <w:hyperlink w:anchor="_Toc199759375" w:history="1">
            <w:r w:rsidR="00964926" w:rsidRPr="00B36C85">
              <w:rPr>
                <w:rStyle w:val="Lienhypertexte"/>
                <w:noProof/>
                <w:lang w:val="en-GB"/>
              </w:rPr>
              <w:t>S.Fig. 3 – Absolute amounts of calcium oxalate</w:t>
            </w:r>
            <w:r w:rsidR="00964926">
              <w:rPr>
                <w:noProof/>
                <w:webHidden/>
              </w:rPr>
              <w:tab/>
            </w:r>
            <w:r w:rsidR="00964926">
              <w:rPr>
                <w:noProof/>
                <w:webHidden/>
              </w:rPr>
              <w:fldChar w:fldCharType="begin"/>
            </w:r>
            <w:r w:rsidR="00964926">
              <w:rPr>
                <w:noProof/>
                <w:webHidden/>
              </w:rPr>
              <w:instrText xml:space="preserve"> PAGEREF _Toc199759375 \h </w:instrText>
            </w:r>
            <w:r w:rsidR="00964926">
              <w:rPr>
                <w:noProof/>
                <w:webHidden/>
              </w:rPr>
            </w:r>
            <w:r w:rsidR="00964926">
              <w:rPr>
                <w:noProof/>
                <w:webHidden/>
              </w:rPr>
              <w:fldChar w:fldCharType="separate"/>
            </w:r>
            <w:r w:rsidR="00964926">
              <w:rPr>
                <w:noProof/>
                <w:webHidden/>
              </w:rPr>
              <w:t>6</w:t>
            </w:r>
            <w:r w:rsidR="00964926">
              <w:rPr>
                <w:noProof/>
                <w:webHidden/>
              </w:rPr>
              <w:fldChar w:fldCharType="end"/>
            </w:r>
          </w:hyperlink>
        </w:p>
        <w:p w14:paraId="45AFD648" w14:textId="39BFB62B" w:rsidR="00964926" w:rsidRDefault="00000000">
          <w:pPr>
            <w:pStyle w:val="TM2"/>
            <w:rPr>
              <w:rFonts w:asciiTheme="minorHAnsi" w:eastAsiaTheme="minorEastAsia" w:hAnsiTheme="minorHAnsi" w:cstheme="minorBidi"/>
              <w:noProof/>
              <w:sz w:val="24"/>
              <w:szCs w:val="24"/>
              <w:lang w:val="fr-CH" w:eastAsia="fr-CH"/>
            </w:rPr>
          </w:pPr>
          <w:hyperlink w:anchor="_Toc199759376" w:history="1">
            <w:r w:rsidR="00964926" w:rsidRPr="00B36C85">
              <w:rPr>
                <w:rStyle w:val="Lienhypertexte"/>
                <w:noProof/>
              </w:rPr>
              <w:t>S.Fig. 4 – Counts of phylum specific amplicon sequence variants and relative abundance according to tree species.</w:t>
            </w:r>
            <w:r w:rsidR="00964926">
              <w:rPr>
                <w:noProof/>
                <w:webHidden/>
              </w:rPr>
              <w:tab/>
            </w:r>
            <w:r w:rsidR="00964926">
              <w:rPr>
                <w:noProof/>
                <w:webHidden/>
              </w:rPr>
              <w:fldChar w:fldCharType="begin"/>
            </w:r>
            <w:r w:rsidR="00964926">
              <w:rPr>
                <w:noProof/>
                <w:webHidden/>
              </w:rPr>
              <w:instrText xml:space="preserve"> PAGEREF _Toc199759376 \h </w:instrText>
            </w:r>
            <w:r w:rsidR="00964926">
              <w:rPr>
                <w:noProof/>
                <w:webHidden/>
              </w:rPr>
            </w:r>
            <w:r w:rsidR="00964926">
              <w:rPr>
                <w:noProof/>
                <w:webHidden/>
              </w:rPr>
              <w:fldChar w:fldCharType="separate"/>
            </w:r>
            <w:r w:rsidR="00964926">
              <w:rPr>
                <w:noProof/>
                <w:webHidden/>
              </w:rPr>
              <w:t>7</w:t>
            </w:r>
            <w:r w:rsidR="00964926">
              <w:rPr>
                <w:noProof/>
                <w:webHidden/>
              </w:rPr>
              <w:fldChar w:fldCharType="end"/>
            </w:r>
          </w:hyperlink>
        </w:p>
        <w:p w14:paraId="05BC6CCA" w14:textId="34F210EC" w:rsidR="00964926" w:rsidRDefault="00000000">
          <w:pPr>
            <w:pStyle w:val="TM2"/>
            <w:rPr>
              <w:rFonts w:asciiTheme="minorHAnsi" w:eastAsiaTheme="minorEastAsia" w:hAnsiTheme="minorHAnsi" w:cstheme="minorBidi"/>
              <w:noProof/>
              <w:sz w:val="24"/>
              <w:szCs w:val="24"/>
              <w:lang w:val="fr-CH" w:eastAsia="fr-CH"/>
            </w:rPr>
          </w:pPr>
          <w:hyperlink w:anchor="_Toc199759377" w:history="1">
            <w:r w:rsidR="00964926" w:rsidRPr="00B36C85">
              <w:rPr>
                <w:rStyle w:val="Lienhypertexte"/>
                <w:noProof/>
              </w:rPr>
              <w:t>S.Fig. 5 – Count of phylum specific amplicon sequence variants and relative abundance according to organic matter or soil samples</w:t>
            </w:r>
            <w:r w:rsidR="00964926">
              <w:rPr>
                <w:noProof/>
                <w:webHidden/>
              </w:rPr>
              <w:tab/>
            </w:r>
            <w:r w:rsidR="00964926">
              <w:rPr>
                <w:noProof/>
                <w:webHidden/>
              </w:rPr>
              <w:fldChar w:fldCharType="begin"/>
            </w:r>
            <w:r w:rsidR="00964926">
              <w:rPr>
                <w:noProof/>
                <w:webHidden/>
              </w:rPr>
              <w:instrText xml:space="preserve"> PAGEREF _Toc199759377 \h </w:instrText>
            </w:r>
            <w:r w:rsidR="00964926">
              <w:rPr>
                <w:noProof/>
                <w:webHidden/>
              </w:rPr>
            </w:r>
            <w:r w:rsidR="00964926">
              <w:rPr>
                <w:noProof/>
                <w:webHidden/>
              </w:rPr>
              <w:fldChar w:fldCharType="separate"/>
            </w:r>
            <w:r w:rsidR="00964926">
              <w:rPr>
                <w:noProof/>
                <w:webHidden/>
              </w:rPr>
              <w:t>8</w:t>
            </w:r>
            <w:r w:rsidR="00964926">
              <w:rPr>
                <w:noProof/>
                <w:webHidden/>
              </w:rPr>
              <w:fldChar w:fldCharType="end"/>
            </w:r>
          </w:hyperlink>
        </w:p>
        <w:p w14:paraId="28A632B0" w14:textId="344D26F7" w:rsidR="00964926" w:rsidRDefault="00000000">
          <w:pPr>
            <w:pStyle w:val="TM2"/>
            <w:rPr>
              <w:rFonts w:asciiTheme="minorHAnsi" w:eastAsiaTheme="minorEastAsia" w:hAnsiTheme="minorHAnsi" w:cstheme="minorBidi"/>
              <w:noProof/>
              <w:sz w:val="24"/>
              <w:szCs w:val="24"/>
              <w:lang w:val="fr-CH" w:eastAsia="fr-CH"/>
            </w:rPr>
          </w:pPr>
          <w:hyperlink w:anchor="_Toc199759378" w:history="1">
            <w:r w:rsidR="00964926" w:rsidRPr="00B36C85">
              <w:rPr>
                <w:rStyle w:val="Lienhypertexte"/>
                <w:noProof/>
              </w:rPr>
              <w:t>S.Fig. 6 - Genus specific relative abundance according to tree species and sample types</w:t>
            </w:r>
            <w:r w:rsidR="00964926">
              <w:rPr>
                <w:noProof/>
                <w:webHidden/>
              </w:rPr>
              <w:tab/>
            </w:r>
            <w:r w:rsidR="00964926">
              <w:rPr>
                <w:noProof/>
                <w:webHidden/>
              </w:rPr>
              <w:fldChar w:fldCharType="begin"/>
            </w:r>
            <w:r w:rsidR="00964926">
              <w:rPr>
                <w:noProof/>
                <w:webHidden/>
              </w:rPr>
              <w:instrText xml:space="preserve"> PAGEREF _Toc199759378 \h </w:instrText>
            </w:r>
            <w:r w:rsidR="00964926">
              <w:rPr>
                <w:noProof/>
                <w:webHidden/>
              </w:rPr>
            </w:r>
            <w:r w:rsidR="00964926">
              <w:rPr>
                <w:noProof/>
                <w:webHidden/>
              </w:rPr>
              <w:fldChar w:fldCharType="separate"/>
            </w:r>
            <w:r w:rsidR="00964926">
              <w:rPr>
                <w:noProof/>
                <w:webHidden/>
              </w:rPr>
              <w:t>9</w:t>
            </w:r>
            <w:r w:rsidR="00964926">
              <w:rPr>
                <w:noProof/>
                <w:webHidden/>
              </w:rPr>
              <w:fldChar w:fldCharType="end"/>
            </w:r>
          </w:hyperlink>
        </w:p>
        <w:p w14:paraId="0AF35159" w14:textId="7EC3B2E5" w:rsidR="00964926" w:rsidRDefault="00000000">
          <w:pPr>
            <w:pStyle w:val="TM2"/>
            <w:rPr>
              <w:rFonts w:asciiTheme="minorHAnsi" w:eastAsiaTheme="minorEastAsia" w:hAnsiTheme="minorHAnsi" w:cstheme="minorBidi"/>
              <w:noProof/>
              <w:sz w:val="24"/>
              <w:szCs w:val="24"/>
              <w:lang w:val="fr-CH" w:eastAsia="fr-CH"/>
            </w:rPr>
          </w:pPr>
          <w:hyperlink w:anchor="_Toc199759379" w:history="1">
            <w:r w:rsidR="00964926" w:rsidRPr="00B36C85">
              <w:rPr>
                <w:rStyle w:val="Lienhypertexte"/>
                <w:noProof/>
              </w:rPr>
              <w:t>S.Fig. 7 - Alpha diversity metrics</w:t>
            </w:r>
            <w:r w:rsidR="00964926">
              <w:rPr>
                <w:noProof/>
                <w:webHidden/>
              </w:rPr>
              <w:tab/>
            </w:r>
            <w:r w:rsidR="00964926">
              <w:rPr>
                <w:noProof/>
                <w:webHidden/>
              </w:rPr>
              <w:fldChar w:fldCharType="begin"/>
            </w:r>
            <w:r w:rsidR="00964926">
              <w:rPr>
                <w:noProof/>
                <w:webHidden/>
              </w:rPr>
              <w:instrText xml:space="preserve"> PAGEREF _Toc199759379 \h </w:instrText>
            </w:r>
            <w:r w:rsidR="00964926">
              <w:rPr>
                <w:noProof/>
                <w:webHidden/>
              </w:rPr>
            </w:r>
            <w:r w:rsidR="00964926">
              <w:rPr>
                <w:noProof/>
                <w:webHidden/>
              </w:rPr>
              <w:fldChar w:fldCharType="separate"/>
            </w:r>
            <w:r w:rsidR="00964926">
              <w:rPr>
                <w:noProof/>
                <w:webHidden/>
              </w:rPr>
              <w:t>10</w:t>
            </w:r>
            <w:r w:rsidR="00964926">
              <w:rPr>
                <w:noProof/>
                <w:webHidden/>
              </w:rPr>
              <w:fldChar w:fldCharType="end"/>
            </w:r>
          </w:hyperlink>
        </w:p>
        <w:p w14:paraId="33847AC8" w14:textId="321382F4" w:rsidR="00964926" w:rsidRDefault="00000000">
          <w:pPr>
            <w:pStyle w:val="TM2"/>
            <w:rPr>
              <w:rFonts w:asciiTheme="minorHAnsi" w:eastAsiaTheme="minorEastAsia" w:hAnsiTheme="minorHAnsi" w:cstheme="minorBidi"/>
              <w:noProof/>
              <w:sz w:val="24"/>
              <w:szCs w:val="24"/>
              <w:lang w:val="fr-CH" w:eastAsia="fr-CH"/>
            </w:rPr>
          </w:pPr>
          <w:hyperlink w:anchor="_Toc199759380" w:history="1">
            <w:r w:rsidR="00964926" w:rsidRPr="00B36C85">
              <w:rPr>
                <w:rStyle w:val="Lienhypertexte"/>
                <w:noProof/>
              </w:rPr>
              <w:t xml:space="preserve">S.Fig. 8 - </w:t>
            </w:r>
            <w:r w:rsidR="00964926" w:rsidRPr="00B36C85">
              <w:rPr>
                <w:rStyle w:val="Lienhypertexte"/>
                <w:noProof/>
                <w:lang w:val="en-GB"/>
              </w:rPr>
              <w:t>Non-metric multidimensional scaling analysis of the beta diversity between samples of different tree species and different sample types</w:t>
            </w:r>
            <w:r w:rsidR="00964926">
              <w:rPr>
                <w:noProof/>
                <w:webHidden/>
              </w:rPr>
              <w:tab/>
            </w:r>
            <w:r w:rsidR="00964926">
              <w:rPr>
                <w:noProof/>
                <w:webHidden/>
              </w:rPr>
              <w:fldChar w:fldCharType="begin"/>
            </w:r>
            <w:r w:rsidR="00964926">
              <w:rPr>
                <w:noProof/>
                <w:webHidden/>
              </w:rPr>
              <w:instrText xml:space="preserve"> PAGEREF _Toc199759380 \h </w:instrText>
            </w:r>
            <w:r w:rsidR="00964926">
              <w:rPr>
                <w:noProof/>
                <w:webHidden/>
              </w:rPr>
            </w:r>
            <w:r w:rsidR="00964926">
              <w:rPr>
                <w:noProof/>
                <w:webHidden/>
              </w:rPr>
              <w:fldChar w:fldCharType="separate"/>
            </w:r>
            <w:r w:rsidR="00964926">
              <w:rPr>
                <w:noProof/>
                <w:webHidden/>
              </w:rPr>
              <w:t>11</w:t>
            </w:r>
            <w:r w:rsidR="00964926">
              <w:rPr>
                <w:noProof/>
                <w:webHidden/>
              </w:rPr>
              <w:fldChar w:fldCharType="end"/>
            </w:r>
          </w:hyperlink>
        </w:p>
        <w:p w14:paraId="7C670E03" w14:textId="75F251F0" w:rsidR="00964926" w:rsidRDefault="00000000">
          <w:pPr>
            <w:pStyle w:val="TM2"/>
            <w:rPr>
              <w:rFonts w:asciiTheme="minorHAnsi" w:eastAsiaTheme="minorEastAsia" w:hAnsiTheme="minorHAnsi" w:cstheme="minorBidi"/>
              <w:noProof/>
              <w:sz w:val="24"/>
              <w:szCs w:val="24"/>
              <w:lang w:val="fr-CH" w:eastAsia="fr-CH"/>
            </w:rPr>
          </w:pPr>
          <w:hyperlink w:anchor="_Toc199759381" w:history="1">
            <w:r w:rsidR="00964926" w:rsidRPr="00B36C85">
              <w:rPr>
                <w:rStyle w:val="Lienhypertexte"/>
                <w:noProof/>
              </w:rPr>
              <w:t xml:space="preserve">S.Fig. 9 - </w:t>
            </w:r>
            <w:r w:rsidR="00964926" w:rsidRPr="00B36C85">
              <w:rPr>
                <w:rStyle w:val="Lienhypertexte"/>
                <w:noProof/>
                <w:lang w:val="en-GB"/>
              </w:rPr>
              <w:t>Soil pH of the different sampling sites and parent materials</w:t>
            </w:r>
            <w:r w:rsidR="00964926">
              <w:rPr>
                <w:noProof/>
                <w:webHidden/>
              </w:rPr>
              <w:tab/>
            </w:r>
            <w:r w:rsidR="00964926">
              <w:rPr>
                <w:noProof/>
                <w:webHidden/>
              </w:rPr>
              <w:fldChar w:fldCharType="begin"/>
            </w:r>
            <w:r w:rsidR="00964926">
              <w:rPr>
                <w:noProof/>
                <w:webHidden/>
              </w:rPr>
              <w:instrText xml:space="preserve"> PAGEREF _Toc199759381 \h </w:instrText>
            </w:r>
            <w:r w:rsidR="00964926">
              <w:rPr>
                <w:noProof/>
                <w:webHidden/>
              </w:rPr>
            </w:r>
            <w:r w:rsidR="00964926">
              <w:rPr>
                <w:noProof/>
                <w:webHidden/>
              </w:rPr>
              <w:fldChar w:fldCharType="separate"/>
            </w:r>
            <w:r w:rsidR="00964926">
              <w:rPr>
                <w:noProof/>
                <w:webHidden/>
              </w:rPr>
              <w:t>12</w:t>
            </w:r>
            <w:r w:rsidR="00964926">
              <w:rPr>
                <w:noProof/>
                <w:webHidden/>
              </w:rPr>
              <w:fldChar w:fldCharType="end"/>
            </w:r>
          </w:hyperlink>
        </w:p>
        <w:p w14:paraId="1891949C" w14:textId="7685BDEB" w:rsidR="00964926" w:rsidRDefault="00000000">
          <w:pPr>
            <w:pStyle w:val="TM2"/>
            <w:rPr>
              <w:rFonts w:asciiTheme="minorHAnsi" w:eastAsiaTheme="minorEastAsia" w:hAnsiTheme="minorHAnsi" w:cstheme="minorBidi"/>
              <w:noProof/>
              <w:sz w:val="24"/>
              <w:szCs w:val="24"/>
              <w:lang w:val="fr-CH" w:eastAsia="fr-CH"/>
            </w:rPr>
          </w:pPr>
          <w:hyperlink w:anchor="_Toc199759382" w:history="1">
            <w:r w:rsidR="00964926" w:rsidRPr="00B36C85">
              <w:rPr>
                <w:rStyle w:val="Lienhypertexte"/>
                <w:noProof/>
              </w:rPr>
              <w:t xml:space="preserve">S.Fig. 10 - </w:t>
            </w:r>
            <w:r w:rsidR="00964926" w:rsidRPr="00B36C85">
              <w:rPr>
                <w:rStyle w:val="Lienhypertexte"/>
                <w:noProof/>
                <w:lang w:val="en-GB"/>
              </w:rPr>
              <w:t>Principal component analysis on bulk soil variables</w:t>
            </w:r>
            <w:r w:rsidR="00964926">
              <w:rPr>
                <w:noProof/>
                <w:webHidden/>
              </w:rPr>
              <w:tab/>
            </w:r>
            <w:r w:rsidR="00964926">
              <w:rPr>
                <w:noProof/>
                <w:webHidden/>
              </w:rPr>
              <w:fldChar w:fldCharType="begin"/>
            </w:r>
            <w:r w:rsidR="00964926">
              <w:rPr>
                <w:noProof/>
                <w:webHidden/>
              </w:rPr>
              <w:instrText xml:space="preserve"> PAGEREF _Toc199759382 \h </w:instrText>
            </w:r>
            <w:r w:rsidR="00964926">
              <w:rPr>
                <w:noProof/>
                <w:webHidden/>
              </w:rPr>
            </w:r>
            <w:r w:rsidR="00964926">
              <w:rPr>
                <w:noProof/>
                <w:webHidden/>
              </w:rPr>
              <w:fldChar w:fldCharType="separate"/>
            </w:r>
            <w:r w:rsidR="00964926">
              <w:rPr>
                <w:noProof/>
                <w:webHidden/>
              </w:rPr>
              <w:t>13</w:t>
            </w:r>
            <w:r w:rsidR="00964926">
              <w:rPr>
                <w:noProof/>
                <w:webHidden/>
              </w:rPr>
              <w:fldChar w:fldCharType="end"/>
            </w:r>
          </w:hyperlink>
        </w:p>
        <w:p w14:paraId="23FEE08B" w14:textId="0BB26E13" w:rsidR="00964926" w:rsidRDefault="00000000">
          <w:pPr>
            <w:pStyle w:val="TM2"/>
            <w:rPr>
              <w:rFonts w:asciiTheme="minorHAnsi" w:eastAsiaTheme="minorEastAsia" w:hAnsiTheme="minorHAnsi" w:cstheme="minorBidi"/>
              <w:noProof/>
              <w:sz w:val="24"/>
              <w:szCs w:val="24"/>
              <w:lang w:val="fr-CH" w:eastAsia="fr-CH"/>
            </w:rPr>
          </w:pPr>
          <w:hyperlink w:anchor="_Toc199759383" w:history="1">
            <w:r w:rsidR="00964926" w:rsidRPr="00B36C85">
              <w:rPr>
                <w:rStyle w:val="Lienhypertexte"/>
                <w:noProof/>
              </w:rPr>
              <w:t>S.Fig. 11 - X-ray fluorescence of eight major elements by site and parent material</w:t>
            </w:r>
            <w:r w:rsidR="00964926">
              <w:rPr>
                <w:noProof/>
                <w:webHidden/>
              </w:rPr>
              <w:tab/>
            </w:r>
            <w:r w:rsidR="00964926">
              <w:rPr>
                <w:noProof/>
                <w:webHidden/>
              </w:rPr>
              <w:fldChar w:fldCharType="begin"/>
            </w:r>
            <w:r w:rsidR="00964926">
              <w:rPr>
                <w:noProof/>
                <w:webHidden/>
              </w:rPr>
              <w:instrText xml:space="preserve"> PAGEREF _Toc199759383 \h </w:instrText>
            </w:r>
            <w:r w:rsidR="00964926">
              <w:rPr>
                <w:noProof/>
                <w:webHidden/>
              </w:rPr>
            </w:r>
            <w:r w:rsidR="00964926">
              <w:rPr>
                <w:noProof/>
                <w:webHidden/>
              </w:rPr>
              <w:fldChar w:fldCharType="separate"/>
            </w:r>
            <w:r w:rsidR="00964926">
              <w:rPr>
                <w:noProof/>
                <w:webHidden/>
              </w:rPr>
              <w:t>14</w:t>
            </w:r>
            <w:r w:rsidR="00964926">
              <w:rPr>
                <w:noProof/>
                <w:webHidden/>
              </w:rPr>
              <w:fldChar w:fldCharType="end"/>
            </w:r>
          </w:hyperlink>
        </w:p>
        <w:p w14:paraId="03F8ECFF" w14:textId="1EAD7A0B" w:rsidR="00964926" w:rsidRDefault="00000000">
          <w:pPr>
            <w:pStyle w:val="TM1"/>
            <w:rPr>
              <w:rFonts w:asciiTheme="minorHAnsi" w:eastAsiaTheme="minorEastAsia" w:hAnsiTheme="minorHAnsi" w:cstheme="minorBidi"/>
              <w:noProof/>
              <w:sz w:val="24"/>
              <w:szCs w:val="24"/>
              <w:lang w:val="fr-CH" w:eastAsia="fr-CH"/>
            </w:rPr>
          </w:pPr>
          <w:hyperlink w:anchor="_Toc199759384" w:history="1">
            <w:r w:rsidR="00964926" w:rsidRPr="00B36C85">
              <w:rPr>
                <w:rStyle w:val="Lienhypertexte"/>
                <w:noProof/>
              </w:rPr>
              <w:t>S.Table: Supplementary table listing</w:t>
            </w:r>
            <w:r w:rsidR="00964926">
              <w:rPr>
                <w:noProof/>
                <w:webHidden/>
              </w:rPr>
              <w:tab/>
            </w:r>
            <w:r w:rsidR="00964926">
              <w:rPr>
                <w:noProof/>
                <w:webHidden/>
              </w:rPr>
              <w:fldChar w:fldCharType="begin"/>
            </w:r>
            <w:r w:rsidR="00964926">
              <w:rPr>
                <w:noProof/>
                <w:webHidden/>
              </w:rPr>
              <w:instrText xml:space="preserve"> PAGEREF _Toc199759384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7FA8A476" w14:textId="57B458D5" w:rsidR="00964926" w:rsidRDefault="00000000">
          <w:pPr>
            <w:pStyle w:val="TM2"/>
            <w:rPr>
              <w:rFonts w:asciiTheme="minorHAnsi" w:eastAsiaTheme="minorEastAsia" w:hAnsiTheme="minorHAnsi" w:cstheme="minorBidi"/>
              <w:noProof/>
              <w:sz w:val="24"/>
              <w:szCs w:val="24"/>
              <w:lang w:val="fr-CH" w:eastAsia="fr-CH"/>
            </w:rPr>
          </w:pPr>
          <w:hyperlink w:anchor="_Toc199759385" w:history="1">
            <w:r w:rsidR="00964926" w:rsidRPr="00B36C85">
              <w:rPr>
                <w:rStyle w:val="Lienhypertexte"/>
                <w:noProof/>
              </w:rPr>
              <w:t>S.Table 1: list of species</w:t>
            </w:r>
            <w:r w:rsidR="00964926" w:rsidRPr="00B36C85">
              <w:rPr>
                <w:rStyle w:val="Lienhypertexte"/>
                <w:noProof/>
                <w:lang w:val="en-GB"/>
              </w:rPr>
              <w:t xml:space="preserve"> </w:t>
            </w:r>
            <w:r w:rsidR="00964926" w:rsidRPr="00B36C85">
              <w:rPr>
                <w:rStyle w:val="Lienhypertexte"/>
                <w:noProof/>
              </w:rPr>
              <w:t>that have evidence of an active oxalate-carbonate pathways</w:t>
            </w:r>
            <w:r w:rsidR="00964926">
              <w:rPr>
                <w:noProof/>
                <w:webHidden/>
              </w:rPr>
              <w:tab/>
            </w:r>
            <w:r w:rsidR="00964926">
              <w:rPr>
                <w:noProof/>
                <w:webHidden/>
              </w:rPr>
              <w:fldChar w:fldCharType="begin"/>
            </w:r>
            <w:r w:rsidR="00964926">
              <w:rPr>
                <w:noProof/>
                <w:webHidden/>
              </w:rPr>
              <w:instrText xml:space="preserve"> PAGEREF _Toc199759385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03BA3B0E" w14:textId="62AEEC8E" w:rsidR="00964926" w:rsidRDefault="00000000">
          <w:pPr>
            <w:pStyle w:val="TM2"/>
            <w:rPr>
              <w:rFonts w:asciiTheme="minorHAnsi" w:eastAsiaTheme="minorEastAsia" w:hAnsiTheme="minorHAnsi" w:cstheme="minorBidi"/>
              <w:noProof/>
              <w:sz w:val="24"/>
              <w:szCs w:val="24"/>
              <w:lang w:val="fr-CH" w:eastAsia="fr-CH"/>
            </w:rPr>
          </w:pPr>
          <w:hyperlink w:anchor="_Toc199759386" w:history="1">
            <w:r w:rsidR="00964926" w:rsidRPr="00B36C85">
              <w:rPr>
                <w:rStyle w:val="Lienhypertexte"/>
                <w:noProof/>
                <w:lang w:val="en-GB"/>
              </w:rPr>
              <w:t>S.Table 2: Size of sampled individuals and biomass values</w:t>
            </w:r>
            <w:r w:rsidR="00964926">
              <w:rPr>
                <w:noProof/>
                <w:webHidden/>
              </w:rPr>
              <w:tab/>
            </w:r>
            <w:r w:rsidR="00964926">
              <w:rPr>
                <w:noProof/>
                <w:webHidden/>
              </w:rPr>
              <w:fldChar w:fldCharType="begin"/>
            </w:r>
            <w:r w:rsidR="00964926">
              <w:rPr>
                <w:noProof/>
                <w:webHidden/>
              </w:rPr>
              <w:instrText xml:space="preserve"> PAGEREF _Toc199759386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1A78490D" w14:textId="43AAA518" w:rsidR="00964926" w:rsidRDefault="00000000">
          <w:pPr>
            <w:pStyle w:val="TM2"/>
            <w:rPr>
              <w:rFonts w:asciiTheme="minorHAnsi" w:eastAsiaTheme="minorEastAsia" w:hAnsiTheme="minorHAnsi" w:cstheme="minorBidi"/>
              <w:noProof/>
              <w:sz w:val="24"/>
              <w:szCs w:val="24"/>
              <w:lang w:val="fr-CH" w:eastAsia="fr-CH"/>
            </w:rPr>
          </w:pPr>
          <w:hyperlink w:anchor="_Toc199759387" w:history="1">
            <w:r w:rsidR="00964926" w:rsidRPr="00B36C85">
              <w:rPr>
                <w:rStyle w:val="Lienhypertexte"/>
                <w:noProof/>
                <w:lang w:val="en-GB"/>
              </w:rPr>
              <w:t>S.Table 3: PCR results and selection of samples for HTS for all microbial samples</w:t>
            </w:r>
            <w:r w:rsidR="00964926">
              <w:rPr>
                <w:noProof/>
                <w:webHidden/>
              </w:rPr>
              <w:tab/>
            </w:r>
            <w:r w:rsidR="00964926">
              <w:rPr>
                <w:noProof/>
                <w:webHidden/>
              </w:rPr>
              <w:fldChar w:fldCharType="begin"/>
            </w:r>
            <w:r w:rsidR="00964926">
              <w:rPr>
                <w:noProof/>
                <w:webHidden/>
              </w:rPr>
              <w:instrText xml:space="preserve"> PAGEREF _Toc199759387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13973DB5" w14:textId="031D5CAA" w:rsidR="00964926" w:rsidRDefault="00000000">
          <w:pPr>
            <w:pStyle w:val="TM2"/>
            <w:rPr>
              <w:rFonts w:asciiTheme="minorHAnsi" w:eastAsiaTheme="minorEastAsia" w:hAnsiTheme="minorHAnsi" w:cstheme="minorBidi"/>
              <w:noProof/>
              <w:sz w:val="24"/>
              <w:szCs w:val="24"/>
              <w:lang w:val="fr-CH" w:eastAsia="fr-CH"/>
            </w:rPr>
          </w:pPr>
          <w:hyperlink w:anchor="_Toc199759388" w:history="1">
            <w:r w:rsidR="00964926" w:rsidRPr="00B36C85">
              <w:rPr>
                <w:rStyle w:val="Lienhypertexte"/>
                <w:noProof/>
              </w:rPr>
              <w:t>S.Table 4: CaOx identification in 25 species present in Sadhana Forest</w:t>
            </w:r>
            <w:r w:rsidR="00964926">
              <w:rPr>
                <w:noProof/>
                <w:webHidden/>
              </w:rPr>
              <w:tab/>
            </w:r>
            <w:r w:rsidR="00964926">
              <w:rPr>
                <w:noProof/>
                <w:webHidden/>
              </w:rPr>
              <w:fldChar w:fldCharType="begin"/>
            </w:r>
            <w:r w:rsidR="00964926">
              <w:rPr>
                <w:noProof/>
                <w:webHidden/>
              </w:rPr>
              <w:instrText xml:space="preserve"> PAGEREF _Toc199759388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2C271542" w14:textId="58C10A82" w:rsidR="00964926" w:rsidRDefault="00000000">
          <w:pPr>
            <w:pStyle w:val="TM2"/>
            <w:rPr>
              <w:rFonts w:asciiTheme="minorHAnsi" w:eastAsiaTheme="minorEastAsia" w:hAnsiTheme="minorHAnsi" w:cstheme="minorBidi"/>
              <w:noProof/>
              <w:sz w:val="24"/>
              <w:szCs w:val="24"/>
              <w:lang w:val="fr-CH" w:eastAsia="fr-CH"/>
            </w:rPr>
          </w:pPr>
          <w:hyperlink w:anchor="_Toc199759389" w:history="1">
            <w:r w:rsidR="00964926" w:rsidRPr="00B36C85">
              <w:rPr>
                <w:rStyle w:val="Lienhypertexte"/>
                <w:rFonts w:eastAsia="Calibri"/>
                <w:noProof/>
                <w:lang w:val="en-GB"/>
              </w:rPr>
              <w:t>S</w:t>
            </w:r>
            <w:r w:rsidR="00964926" w:rsidRPr="00B36C85">
              <w:rPr>
                <w:rStyle w:val="Lienhypertexte"/>
                <w:noProof/>
                <w:lang w:val="en-GB"/>
              </w:rPr>
              <w:t>.Table 5: CaOx content of the species</w:t>
            </w:r>
            <w:r w:rsidR="00964926">
              <w:rPr>
                <w:noProof/>
                <w:webHidden/>
              </w:rPr>
              <w:tab/>
            </w:r>
            <w:r w:rsidR="00964926">
              <w:rPr>
                <w:noProof/>
                <w:webHidden/>
              </w:rPr>
              <w:fldChar w:fldCharType="begin"/>
            </w:r>
            <w:r w:rsidR="00964926">
              <w:rPr>
                <w:noProof/>
                <w:webHidden/>
              </w:rPr>
              <w:instrText xml:space="preserve"> PAGEREF _Toc199759389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726749E8" w14:textId="2A8C3914" w:rsidR="00964926" w:rsidRDefault="00000000">
          <w:pPr>
            <w:pStyle w:val="TM2"/>
            <w:rPr>
              <w:rFonts w:asciiTheme="minorHAnsi" w:eastAsiaTheme="minorEastAsia" w:hAnsiTheme="minorHAnsi" w:cstheme="minorBidi"/>
              <w:noProof/>
              <w:sz w:val="24"/>
              <w:szCs w:val="24"/>
              <w:lang w:val="fr-CH" w:eastAsia="fr-CH"/>
            </w:rPr>
          </w:pPr>
          <w:hyperlink w:anchor="_Toc199759390" w:history="1">
            <w:r w:rsidR="00964926" w:rsidRPr="00B36C85">
              <w:rPr>
                <w:rStyle w:val="Lienhypertexte"/>
                <w:noProof/>
                <w:lang w:val="en-GB"/>
              </w:rPr>
              <w:t xml:space="preserve">S.Table 6: Adjusted </w:t>
            </w:r>
            <w:r w:rsidR="00964926" w:rsidRPr="00B36C85">
              <w:rPr>
                <w:rStyle w:val="Lienhypertexte"/>
                <w:i/>
                <w:iCs/>
                <w:noProof/>
                <w:lang w:val="en-GB"/>
              </w:rPr>
              <w:t>p-</w:t>
            </w:r>
            <w:r w:rsidR="00964926" w:rsidRPr="00B36C85">
              <w:rPr>
                <w:rStyle w:val="Lienhypertexte"/>
                <w:noProof/>
                <w:lang w:val="en-GB"/>
              </w:rPr>
              <w:t xml:space="preserve">values from the PERMANOVA analysis of the </w:t>
            </w:r>
            <w:r w:rsidR="00964926" w:rsidRPr="00B36C85">
              <w:rPr>
                <w:rStyle w:val="Lienhypertexte"/>
                <w:i/>
                <w:iCs/>
                <w:noProof/>
                <w:lang w:val="en-GB"/>
              </w:rPr>
              <w:t>frc</w:t>
            </w:r>
            <w:r w:rsidR="00964926" w:rsidRPr="00B36C85">
              <w:rPr>
                <w:rStyle w:val="Lienhypertexte"/>
                <w:noProof/>
                <w:lang w:val="en-GB"/>
              </w:rPr>
              <w:t xml:space="preserve"> gene data</w:t>
            </w:r>
            <w:r w:rsidR="00964926">
              <w:rPr>
                <w:noProof/>
                <w:webHidden/>
              </w:rPr>
              <w:tab/>
            </w:r>
            <w:r w:rsidR="00964926">
              <w:rPr>
                <w:noProof/>
                <w:webHidden/>
              </w:rPr>
              <w:fldChar w:fldCharType="begin"/>
            </w:r>
            <w:r w:rsidR="00964926">
              <w:rPr>
                <w:noProof/>
                <w:webHidden/>
              </w:rPr>
              <w:instrText xml:space="preserve"> PAGEREF _Toc199759390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7F8B4DAD" w14:textId="60CD6547" w:rsidR="00964926" w:rsidRDefault="00000000">
          <w:pPr>
            <w:pStyle w:val="TM2"/>
            <w:rPr>
              <w:rFonts w:asciiTheme="minorHAnsi" w:eastAsiaTheme="minorEastAsia" w:hAnsiTheme="minorHAnsi" w:cstheme="minorBidi"/>
              <w:noProof/>
              <w:sz w:val="24"/>
              <w:szCs w:val="24"/>
              <w:lang w:val="fr-CH" w:eastAsia="fr-CH"/>
            </w:rPr>
          </w:pPr>
          <w:hyperlink w:anchor="_Toc199759391" w:history="1">
            <w:r w:rsidR="00964926" w:rsidRPr="00B36C85">
              <w:rPr>
                <w:rStyle w:val="Lienhypertexte"/>
                <w:noProof/>
                <w:lang w:val="en-GB"/>
              </w:rPr>
              <w:t>S.Table 7: Bulk soil properties</w:t>
            </w:r>
            <w:r w:rsidR="00964926">
              <w:rPr>
                <w:noProof/>
                <w:webHidden/>
              </w:rPr>
              <w:tab/>
            </w:r>
            <w:r w:rsidR="00964926">
              <w:rPr>
                <w:noProof/>
                <w:webHidden/>
              </w:rPr>
              <w:fldChar w:fldCharType="begin"/>
            </w:r>
            <w:r w:rsidR="00964926">
              <w:rPr>
                <w:noProof/>
                <w:webHidden/>
              </w:rPr>
              <w:instrText xml:space="preserve"> PAGEREF _Toc199759391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1E2FE48E" w14:textId="02A2761E" w:rsidR="00964926" w:rsidRDefault="00000000">
          <w:pPr>
            <w:pStyle w:val="TM2"/>
            <w:rPr>
              <w:rFonts w:asciiTheme="minorHAnsi" w:eastAsiaTheme="minorEastAsia" w:hAnsiTheme="minorHAnsi" w:cstheme="minorBidi"/>
              <w:noProof/>
              <w:sz w:val="24"/>
              <w:szCs w:val="24"/>
              <w:lang w:val="fr-CH" w:eastAsia="fr-CH"/>
            </w:rPr>
          </w:pPr>
          <w:hyperlink w:anchor="_Toc199759392" w:history="1">
            <w:r w:rsidR="00964926" w:rsidRPr="00B36C85">
              <w:rPr>
                <w:rStyle w:val="Lienhypertexte"/>
                <w:noProof/>
                <w:lang w:val="en-GB"/>
              </w:rPr>
              <w:t>S.Table 8: Concentrations of elements obtained by X-ray fluorescence</w:t>
            </w:r>
            <w:r w:rsidR="00964926">
              <w:rPr>
                <w:noProof/>
                <w:webHidden/>
              </w:rPr>
              <w:tab/>
            </w:r>
            <w:r w:rsidR="00964926">
              <w:rPr>
                <w:noProof/>
                <w:webHidden/>
              </w:rPr>
              <w:fldChar w:fldCharType="begin"/>
            </w:r>
            <w:r w:rsidR="00964926">
              <w:rPr>
                <w:noProof/>
                <w:webHidden/>
              </w:rPr>
              <w:instrText xml:space="preserve"> PAGEREF _Toc199759392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2E5FD50F" w14:textId="10D18473" w:rsidR="00964926" w:rsidRDefault="00000000">
          <w:pPr>
            <w:pStyle w:val="TM2"/>
            <w:rPr>
              <w:rFonts w:asciiTheme="minorHAnsi" w:eastAsiaTheme="minorEastAsia" w:hAnsiTheme="minorHAnsi" w:cstheme="minorBidi"/>
              <w:noProof/>
              <w:sz w:val="24"/>
              <w:szCs w:val="24"/>
              <w:lang w:val="fr-CH" w:eastAsia="fr-CH"/>
            </w:rPr>
          </w:pPr>
          <w:hyperlink w:anchor="_Toc199759393" w:history="1">
            <w:r w:rsidR="00964926" w:rsidRPr="00B36C85">
              <w:rPr>
                <w:rStyle w:val="Lienhypertexte"/>
                <w:noProof/>
                <w:lang w:val="en-GB"/>
              </w:rPr>
              <w:t>S.Table 9: Data of mineral compositions obtained by X-ray diffraction</w:t>
            </w:r>
            <w:r w:rsidR="00964926">
              <w:rPr>
                <w:noProof/>
                <w:webHidden/>
              </w:rPr>
              <w:tab/>
            </w:r>
            <w:r w:rsidR="00964926">
              <w:rPr>
                <w:noProof/>
                <w:webHidden/>
              </w:rPr>
              <w:fldChar w:fldCharType="begin"/>
            </w:r>
            <w:r w:rsidR="00964926">
              <w:rPr>
                <w:noProof/>
                <w:webHidden/>
              </w:rPr>
              <w:instrText xml:space="preserve"> PAGEREF _Toc199759393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2D7D6024" w14:textId="537CC009" w:rsidR="00964926" w:rsidRDefault="00000000">
          <w:pPr>
            <w:pStyle w:val="TM2"/>
            <w:rPr>
              <w:rFonts w:asciiTheme="minorHAnsi" w:eastAsiaTheme="minorEastAsia" w:hAnsiTheme="minorHAnsi" w:cstheme="minorBidi"/>
              <w:noProof/>
              <w:sz w:val="24"/>
              <w:szCs w:val="24"/>
              <w:lang w:val="fr-CH" w:eastAsia="fr-CH"/>
            </w:rPr>
          </w:pPr>
          <w:hyperlink w:anchor="_Toc199759394" w:history="1">
            <w:r w:rsidR="00964926" w:rsidRPr="00B36C85">
              <w:rPr>
                <w:rStyle w:val="Lienhypertexte"/>
                <w:noProof/>
                <w:lang w:val="en-GB"/>
              </w:rPr>
              <w:t>S.Table 10: Identified oxalotrophic communities and whether they are known or unknown</w:t>
            </w:r>
            <w:r w:rsidR="00964926">
              <w:rPr>
                <w:noProof/>
                <w:webHidden/>
              </w:rPr>
              <w:tab/>
            </w:r>
            <w:r w:rsidR="00964926">
              <w:rPr>
                <w:noProof/>
                <w:webHidden/>
              </w:rPr>
              <w:fldChar w:fldCharType="begin"/>
            </w:r>
            <w:r w:rsidR="00964926">
              <w:rPr>
                <w:noProof/>
                <w:webHidden/>
              </w:rPr>
              <w:instrText xml:space="preserve"> PAGEREF _Toc199759394 \h </w:instrText>
            </w:r>
            <w:r w:rsidR="00964926">
              <w:rPr>
                <w:noProof/>
                <w:webHidden/>
              </w:rPr>
            </w:r>
            <w:r w:rsidR="00964926">
              <w:rPr>
                <w:noProof/>
                <w:webHidden/>
              </w:rPr>
              <w:fldChar w:fldCharType="separate"/>
            </w:r>
            <w:r w:rsidR="00964926">
              <w:rPr>
                <w:noProof/>
                <w:webHidden/>
              </w:rPr>
              <w:t>15</w:t>
            </w:r>
            <w:r w:rsidR="00964926">
              <w:rPr>
                <w:noProof/>
                <w:webHidden/>
              </w:rPr>
              <w:fldChar w:fldCharType="end"/>
            </w:r>
          </w:hyperlink>
        </w:p>
        <w:p w14:paraId="3DDE07B1" w14:textId="636CE584" w:rsidR="00964926" w:rsidRDefault="00000000">
          <w:pPr>
            <w:pStyle w:val="TM1"/>
            <w:rPr>
              <w:rFonts w:asciiTheme="minorHAnsi" w:eastAsiaTheme="minorEastAsia" w:hAnsiTheme="minorHAnsi" w:cstheme="minorBidi"/>
              <w:noProof/>
              <w:sz w:val="24"/>
              <w:szCs w:val="24"/>
              <w:lang w:val="fr-CH" w:eastAsia="fr-CH"/>
            </w:rPr>
          </w:pPr>
          <w:hyperlink w:anchor="_Toc199759395" w:history="1">
            <w:r w:rsidR="00964926" w:rsidRPr="00B36C85">
              <w:rPr>
                <w:rStyle w:val="Lienhypertexte"/>
                <w:noProof/>
              </w:rPr>
              <w:t>S.Methods: Supplementary methods</w:t>
            </w:r>
            <w:r w:rsidR="00964926">
              <w:rPr>
                <w:noProof/>
                <w:webHidden/>
              </w:rPr>
              <w:tab/>
            </w:r>
            <w:r w:rsidR="00964926">
              <w:rPr>
                <w:noProof/>
                <w:webHidden/>
              </w:rPr>
              <w:fldChar w:fldCharType="begin"/>
            </w:r>
            <w:r w:rsidR="00964926">
              <w:rPr>
                <w:noProof/>
                <w:webHidden/>
              </w:rPr>
              <w:instrText xml:space="preserve"> PAGEREF _Toc199759395 \h </w:instrText>
            </w:r>
            <w:r w:rsidR="00964926">
              <w:rPr>
                <w:noProof/>
                <w:webHidden/>
              </w:rPr>
            </w:r>
            <w:r w:rsidR="00964926">
              <w:rPr>
                <w:noProof/>
                <w:webHidden/>
              </w:rPr>
              <w:fldChar w:fldCharType="separate"/>
            </w:r>
            <w:r w:rsidR="00964926">
              <w:rPr>
                <w:noProof/>
                <w:webHidden/>
              </w:rPr>
              <w:t>16</w:t>
            </w:r>
            <w:r w:rsidR="00964926">
              <w:rPr>
                <w:noProof/>
                <w:webHidden/>
              </w:rPr>
              <w:fldChar w:fldCharType="end"/>
            </w:r>
          </w:hyperlink>
        </w:p>
        <w:p w14:paraId="09D9D723" w14:textId="5EB6E3D7" w:rsidR="00964926" w:rsidRDefault="00000000">
          <w:pPr>
            <w:pStyle w:val="TM2"/>
            <w:rPr>
              <w:rFonts w:asciiTheme="minorHAnsi" w:eastAsiaTheme="minorEastAsia" w:hAnsiTheme="minorHAnsi" w:cstheme="minorBidi"/>
              <w:noProof/>
              <w:sz w:val="24"/>
              <w:szCs w:val="24"/>
              <w:lang w:val="fr-CH" w:eastAsia="fr-CH"/>
            </w:rPr>
          </w:pPr>
          <w:hyperlink w:anchor="_Toc199759396" w:history="1">
            <w:r w:rsidR="00964926" w:rsidRPr="00B36C85">
              <w:rPr>
                <w:rStyle w:val="Lienhypertexte"/>
                <w:noProof/>
              </w:rPr>
              <w:t>Parent materials</w:t>
            </w:r>
            <w:r w:rsidR="00964926">
              <w:rPr>
                <w:noProof/>
                <w:webHidden/>
              </w:rPr>
              <w:tab/>
            </w:r>
            <w:r w:rsidR="00964926">
              <w:rPr>
                <w:noProof/>
                <w:webHidden/>
              </w:rPr>
              <w:fldChar w:fldCharType="begin"/>
            </w:r>
            <w:r w:rsidR="00964926">
              <w:rPr>
                <w:noProof/>
                <w:webHidden/>
              </w:rPr>
              <w:instrText xml:space="preserve"> PAGEREF _Toc199759396 \h </w:instrText>
            </w:r>
            <w:r w:rsidR="00964926">
              <w:rPr>
                <w:noProof/>
                <w:webHidden/>
              </w:rPr>
            </w:r>
            <w:r w:rsidR="00964926">
              <w:rPr>
                <w:noProof/>
                <w:webHidden/>
              </w:rPr>
              <w:fldChar w:fldCharType="separate"/>
            </w:r>
            <w:r w:rsidR="00964926">
              <w:rPr>
                <w:noProof/>
                <w:webHidden/>
              </w:rPr>
              <w:t>16</w:t>
            </w:r>
            <w:r w:rsidR="00964926">
              <w:rPr>
                <w:noProof/>
                <w:webHidden/>
              </w:rPr>
              <w:fldChar w:fldCharType="end"/>
            </w:r>
          </w:hyperlink>
        </w:p>
        <w:p w14:paraId="051F1849" w14:textId="719D50A6" w:rsidR="00964926" w:rsidRDefault="00000000">
          <w:pPr>
            <w:pStyle w:val="TM2"/>
            <w:rPr>
              <w:rFonts w:asciiTheme="minorHAnsi" w:eastAsiaTheme="minorEastAsia" w:hAnsiTheme="minorHAnsi" w:cstheme="minorBidi"/>
              <w:noProof/>
              <w:sz w:val="24"/>
              <w:szCs w:val="24"/>
              <w:lang w:val="fr-CH" w:eastAsia="fr-CH"/>
            </w:rPr>
          </w:pPr>
          <w:hyperlink w:anchor="_Toc199759397" w:history="1">
            <w:r w:rsidR="00964926" w:rsidRPr="00B36C85">
              <w:rPr>
                <w:rStyle w:val="Lienhypertexte"/>
                <w:noProof/>
                <w:lang w:val="en-GB"/>
              </w:rPr>
              <w:t>Soil analysis method choices</w:t>
            </w:r>
            <w:r w:rsidR="00964926">
              <w:rPr>
                <w:noProof/>
                <w:webHidden/>
              </w:rPr>
              <w:tab/>
            </w:r>
            <w:r w:rsidR="00964926">
              <w:rPr>
                <w:noProof/>
                <w:webHidden/>
              </w:rPr>
              <w:fldChar w:fldCharType="begin"/>
            </w:r>
            <w:r w:rsidR="00964926">
              <w:rPr>
                <w:noProof/>
                <w:webHidden/>
              </w:rPr>
              <w:instrText xml:space="preserve"> PAGEREF _Toc199759397 \h </w:instrText>
            </w:r>
            <w:r w:rsidR="00964926">
              <w:rPr>
                <w:noProof/>
                <w:webHidden/>
              </w:rPr>
            </w:r>
            <w:r w:rsidR="00964926">
              <w:rPr>
                <w:noProof/>
                <w:webHidden/>
              </w:rPr>
              <w:fldChar w:fldCharType="separate"/>
            </w:r>
            <w:r w:rsidR="00964926">
              <w:rPr>
                <w:noProof/>
                <w:webHidden/>
              </w:rPr>
              <w:t>16</w:t>
            </w:r>
            <w:r w:rsidR="00964926">
              <w:rPr>
                <w:noProof/>
                <w:webHidden/>
              </w:rPr>
              <w:fldChar w:fldCharType="end"/>
            </w:r>
          </w:hyperlink>
        </w:p>
        <w:p w14:paraId="14F34F56" w14:textId="06600E5E" w:rsidR="00964926" w:rsidRDefault="00000000">
          <w:pPr>
            <w:pStyle w:val="TM2"/>
            <w:rPr>
              <w:rFonts w:asciiTheme="minorHAnsi" w:eastAsiaTheme="minorEastAsia" w:hAnsiTheme="minorHAnsi" w:cstheme="minorBidi"/>
              <w:noProof/>
              <w:sz w:val="24"/>
              <w:szCs w:val="24"/>
              <w:lang w:val="fr-CH" w:eastAsia="fr-CH"/>
            </w:rPr>
          </w:pPr>
          <w:hyperlink w:anchor="_Toc199759398" w:history="1">
            <w:r w:rsidR="00964926" w:rsidRPr="00B36C85">
              <w:rPr>
                <w:rStyle w:val="Lienhypertexte"/>
                <w:noProof/>
                <w:lang w:val="en-GB"/>
              </w:rPr>
              <w:t>Polymerase chain reaction program</w:t>
            </w:r>
            <w:r w:rsidR="00964926">
              <w:rPr>
                <w:noProof/>
                <w:webHidden/>
              </w:rPr>
              <w:tab/>
            </w:r>
            <w:r w:rsidR="00964926">
              <w:rPr>
                <w:noProof/>
                <w:webHidden/>
              </w:rPr>
              <w:fldChar w:fldCharType="begin"/>
            </w:r>
            <w:r w:rsidR="00964926">
              <w:rPr>
                <w:noProof/>
                <w:webHidden/>
              </w:rPr>
              <w:instrText xml:space="preserve"> PAGEREF _Toc199759398 \h </w:instrText>
            </w:r>
            <w:r w:rsidR="00964926">
              <w:rPr>
                <w:noProof/>
                <w:webHidden/>
              </w:rPr>
            </w:r>
            <w:r w:rsidR="00964926">
              <w:rPr>
                <w:noProof/>
                <w:webHidden/>
              </w:rPr>
              <w:fldChar w:fldCharType="separate"/>
            </w:r>
            <w:r w:rsidR="00964926">
              <w:rPr>
                <w:noProof/>
                <w:webHidden/>
              </w:rPr>
              <w:t>16</w:t>
            </w:r>
            <w:r w:rsidR="00964926">
              <w:rPr>
                <w:noProof/>
                <w:webHidden/>
              </w:rPr>
              <w:fldChar w:fldCharType="end"/>
            </w:r>
          </w:hyperlink>
        </w:p>
        <w:p w14:paraId="55374D2A" w14:textId="72DA9C46" w:rsidR="00964926" w:rsidRDefault="00000000">
          <w:pPr>
            <w:pStyle w:val="TM2"/>
            <w:rPr>
              <w:rFonts w:asciiTheme="minorHAnsi" w:eastAsiaTheme="minorEastAsia" w:hAnsiTheme="minorHAnsi" w:cstheme="minorBidi"/>
              <w:noProof/>
              <w:sz w:val="24"/>
              <w:szCs w:val="24"/>
              <w:lang w:val="fr-CH" w:eastAsia="fr-CH"/>
            </w:rPr>
          </w:pPr>
          <w:hyperlink w:anchor="_Toc199759399" w:history="1">
            <w:r w:rsidR="00964926" w:rsidRPr="00B36C85">
              <w:rPr>
                <w:rStyle w:val="Lienhypertexte"/>
                <w:noProof/>
                <w:lang w:val="en-GB"/>
              </w:rPr>
              <w:t>Primer Sequences</w:t>
            </w:r>
            <w:r w:rsidR="00964926">
              <w:rPr>
                <w:noProof/>
                <w:webHidden/>
              </w:rPr>
              <w:tab/>
            </w:r>
            <w:r w:rsidR="00964926">
              <w:rPr>
                <w:noProof/>
                <w:webHidden/>
              </w:rPr>
              <w:fldChar w:fldCharType="begin"/>
            </w:r>
            <w:r w:rsidR="00964926">
              <w:rPr>
                <w:noProof/>
                <w:webHidden/>
              </w:rPr>
              <w:instrText xml:space="preserve"> PAGEREF _Toc199759399 \h </w:instrText>
            </w:r>
            <w:r w:rsidR="00964926">
              <w:rPr>
                <w:noProof/>
                <w:webHidden/>
              </w:rPr>
            </w:r>
            <w:r w:rsidR="00964926">
              <w:rPr>
                <w:noProof/>
                <w:webHidden/>
              </w:rPr>
              <w:fldChar w:fldCharType="separate"/>
            </w:r>
            <w:r w:rsidR="00964926">
              <w:rPr>
                <w:noProof/>
                <w:webHidden/>
              </w:rPr>
              <w:t>17</w:t>
            </w:r>
            <w:r w:rsidR="00964926">
              <w:rPr>
                <w:noProof/>
                <w:webHidden/>
              </w:rPr>
              <w:fldChar w:fldCharType="end"/>
            </w:r>
          </w:hyperlink>
        </w:p>
        <w:p w14:paraId="45982391" w14:textId="33FD07AC" w:rsidR="00964926" w:rsidRDefault="00000000">
          <w:pPr>
            <w:pStyle w:val="TM2"/>
            <w:rPr>
              <w:rFonts w:asciiTheme="minorHAnsi" w:eastAsiaTheme="minorEastAsia" w:hAnsiTheme="minorHAnsi" w:cstheme="minorBidi"/>
              <w:noProof/>
              <w:sz w:val="24"/>
              <w:szCs w:val="24"/>
              <w:lang w:val="fr-CH" w:eastAsia="fr-CH"/>
            </w:rPr>
          </w:pPr>
          <w:hyperlink w:anchor="_Toc199759400" w:history="1">
            <w:r w:rsidR="00964926" w:rsidRPr="00B36C85">
              <w:rPr>
                <w:rStyle w:val="Lienhypertexte"/>
                <w:noProof/>
                <w:lang w:val="en-GB"/>
              </w:rPr>
              <w:t>Sequence analysis</w:t>
            </w:r>
            <w:r w:rsidR="00964926">
              <w:rPr>
                <w:noProof/>
                <w:webHidden/>
              </w:rPr>
              <w:tab/>
            </w:r>
            <w:r w:rsidR="00964926">
              <w:rPr>
                <w:noProof/>
                <w:webHidden/>
              </w:rPr>
              <w:fldChar w:fldCharType="begin"/>
            </w:r>
            <w:r w:rsidR="00964926">
              <w:rPr>
                <w:noProof/>
                <w:webHidden/>
              </w:rPr>
              <w:instrText xml:space="preserve"> PAGEREF _Toc199759400 \h </w:instrText>
            </w:r>
            <w:r w:rsidR="00964926">
              <w:rPr>
                <w:noProof/>
                <w:webHidden/>
              </w:rPr>
            </w:r>
            <w:r w:rsidR="00964926">
              <w:rPr>
                <w:noProof/>
                <w:webHidden/>
              </w:rPr>
              <w:fldChar w:fldCharType="separate"/>
            </w:r>
            <w:r w:rsidR="00964926">
              <w:rPr>
                <w:noProof/>
                <w:webHidden/>
              </w:rPr>
              <w:t>17</w:t>
            </w:r>
            <w:r w:rsidR="00964926">
              <w:rPr>
                <w:noProof/>
                <w:webHidden/>
              </w:rPr>
              <w:fldChar w:fldCharType="end"/>
            </w:r>
          </w:hyperlink>
        </w:p>
        <w:p w14:paraId="78994D4F" w14:textId="729B6F52" w:rsidR="00964926" w:rsidRDefault="00000000">
          <w:pPr>
            <w:pStyle w:val="TM2"/>
            <w:rPr>
              <w:rFonts w:asciiTheme="minorHAnsi" w:eastAsiaTheme="minorEastAsia" w:hAnsiTheme="minorHAnsi" w:cstheme="minorBidi"/>
              <w:noProof/>
              <w:sz w:val="24"/>
              <w:szCs w:val="24"/>
              <w:lang w:val="fr-CH" w:eastAsia="fr-CH"/>
            </w:rPr>
          </w:pPr>
          <w:hyperlink w:anchor="_Toc199759401" w:history="1">
            <w:r w:rsidR="00964926" w:rsidRPr="00B36C85">
              <w:rPr>
                <w:rStyle w:val="Lienhypertexte"/>
                <w:noProof/>
                <w:lang w:val="en-GB"/>
              </w:rPr>
              <w:t>Alpha and beta diversity statistical analysis</w:t>
            </w:r>
            <w:r w:rsidR="00964926">
              <w:rPr>
                <w:noProof/>
                <w:webHidden/>
              </w:rPr>
              <w:tab/>
            </w:r>
            <w:r w:rsidR="00964926">
              <w:rPr>
                <w:noProof/>
                <w:webHidden/>
              </w:rPr>
              <w:fldChar w:fldCharType="begin"/>
            </w:r>
            <w:r w:rsidR="00964926">
              <w:rPr>
                <w:noProof/>
                <w:webHidden/>
              </w:rPr>
              <w:instrText xml:space="preserve"> PAGEREF _Toc199759401 \h </w:instrText>
            </w:r>
            <w:r w:rsidR="00964926">
              <w:rPr>
                <w:noProof/>
                <w:webHidden/>
              </w:rPr>
            </w:r>
            <w:r w:rsidR="00964926">
              <w:rPr>
                <w:noProof/>
                <w:webHidden/>
              </w:rPr>
              <w:fldChar w:fldCharType="separate"/>
            </w:r>
            <w:r w:rsidR="00964926">
              <w:rPr>
                <w:noProof/>
                <w:webHidden/>
              </w:rPr>
              <w:t>18</w:t>
            </w:r>
            <w:r w:rsidR="00964926">
              <w:rPr>
                <w:noProof/>
                <w:webHidden/>
              </w:rPr>
              <w:fldChar w:fldCharType="end"/>
            </w:r>
          </w:hyperlink>
        </w:p>
        <w:p w14:paraId="2C37D586" w14:textId="39B4ED65" w:rsidR="00964926" w:rsidRDefault="00000000">
          <w:pPr>
            <w:pStyle w:val="TM2"/>
            <w:rPr>
              <w:rFonts w:asciiTheme="minorHAnsi" w:eastAsiaTheme="minorEastAsia" w:hAnsiTheme="minorHAnsi" w:cstheme="minorBidi"/>
              <w:noProof/>
              <w:sz w:val="24"/>
              <w:szCs w:val="24"/>
              <w:lang w:val="fr-CH" w:eastAsia="fr-CH"/>
            </w:rPr>
          </w:pPr>
          <w:hyperlink w:anchor="_Toc199759402" w:history="1">
            <w:r w:rsidR="00964926" w:rsidRPr="00B36C85">
              <w:rPr>
                <w:rStyle w:val="Lienhypertexte"/>
                <w:noProof/>
              </w:rPr>
              <w:t>Principal Component Analysis</w:t>
            </w:r>
            <w:r w:rsidR="00964926">
              <w:rPr>
                <w:noProof/>
                <w:webHidden/>
              </w:rPr>
              <w:tab/>
            </w:r>
            <w:r w:rsidR="00964926">
              <w:rPr>
                <w:noProof/>
                <w:webHidden/>
              </w:rPr>
              <w:fldChar w:fldCharType="begin"/>
            </w:r>
            <w:r w:rsidR="00964926">
              <w:rPr>
                <w:noProof/>
                <w:webHidden/>
              </w:rPr>
              <w:instrText xml:space="preserve"> PAGEREF _Toc199759402 \h </w:instrText>
            </w:r>
            <w:r w:rsidR="00964926">
              <w:rPr>
                <w:noProof/>
                <w:webHidden/>
              </w:rPr>
            </w:r>
            <w:r w:rsidR="00964926">
              <w:rPr>
                <w:noProof/>
                <w:webHidden/>
              </w:rPr>
              <w:fldChar w:fldCharType="separate"/>
            </w:r>
            <w:r w:rsidR="00964926">
              <w:rPr>
                <w:noProof/>
                <w:webHidden/>
              </w:rPr>
              <w:t>18</w:t>
            </w:r>
            <w:r w:rsidR="00964926">
              <w:rPr>
                <w:noProof/>
                <w:webHidden/>
              </w:rPr>
              <w:fldChar w:fldCharType="end"/>
            </w:r>
          </w:hyperlink>
        </w:p>
        <w:p w14:paraId="7507390A" w14:textId="4089CC6D" w:rsidR="00964926" w:rsidRDefault="00000000">
          <w:pPr>
            <w:pStyle w:val="TM1"/>
            <w:rPr>
              <w:rFonts w:asciiTheme="minorHAnsi" w:eastAsiaTheme="minorEastAsia" w:hAnsiTheme="minorHAnsi" w:cstheme="minorBidi"/>
              <w:noProof/>
              <w:sz w:val="24"/>
              <w:szCs w:val="24"/>
              <w:lang w:val="fr-CH" w:eastAsia="fr-CH"/>
            </w:rPr>
          </w:pPr>
          <w:hyperlink w:anchor="_Toc199759403" w:history="1">
            <w:r w:rsidR="00964926" w:rsidRPr="00B36C85">
              <w:rPr>
                <w:rStyle w:val="Lienhypertexte"/>
                <w:noProof/>
                <w:lang w:val="en-GB"/>
              </w:rPr>
              <w:t>S.Eq.: Supplementary equations</w:t>
            </w:r>
            <w:r w:rsidR="00964926">
              <w:rPr>
                <w:noProof/>
                <w:webHidden/>
              </w:rPr>
              <w:tab/>
            </w:r>
            <w:r w:rsidR="00964926">
              <w:rPr>
                <w:noProof/>
                <w:webHidden/>
              </w:rPr>
              <w:fldChar w:fldCharType="begin"/>
            </w:r>
            <w:r w:rsidR="00964926">
              <w:rPr>
                <w:noProof/>
                <w:webHidden/>
              </w:rPr>
              <w:instrText xml:space="preserve"> PAGEREF _Toc199759403 \h </w:instrText>
            </w:r>
            <w:r w:rsidR="00964926">
              <w:rPr>
                <w:noProof/>
                <w:webHidden/>
              </w:rPr>
            </w:r>
            <w:r w:rsidR="00964926">
              <w:rPr>
                <w:noProof/>
                <w:webHidden/>
              </w:rPr>
              <w:fldChar w:fldCharType="separate"/>
            </w:r>
            <w:r w:rsidR="00964926">
              <w:rPr>
                <w:noProof/>
                <w:webHidden/>
              </w:rPr>
              <w:t>20</w:t>
            </w:r>
            <w:r w:rsidR="00964926">
              <w:rPr>
                <w:noProof/>
                <w:webHidden/>
              </w:rPr>
              <w:fldChar w:fldCharType="end"/>
            </w:r>
          </w:hyperlink>
        </w:p>
        <w:p w14:paraId="312419CA" w14:textId="1EED61AE" w:rsidR="00964926" w:rsidRDefault="00000000">
          <w:pPr>
            <w:pStyle w:val="TM1"/>
            <w:rPr>
              <w:rFonts w:asciiTheme="minorHAnsi" w:eastAsiaTheme="minorEastAsia" w:hAnsiTheme="minorHAnsi" w:cstheme="minorBidi"/>
              <w:noProof/>
              <w:sz w:val="24"/>
              <w:szCs w:val="24"/>
              <w:lang w:val="fr-CH" w:eastAsia="fr-CH"/>
            </w:rPr>
          </w:pPr>
          <w:hyperlink w:anchor="_Toc199759404" w:history="1">
            <w:r w:rsidR="00964926" w:rsidRPr="00B36C85">
              <w:rPr>
                <w:rStyle w:val="Lienhypertexte"/>
                <w:noProof/>
                <w:lang w:val="en-GB"/>
              </w:rPr>
              <w:t>References</w:t>
            </w:r>
            <w:r w:rsidR="00964926">
              <w:rPr>
                <w:noProof/>
                <w:webHidden/>
              </w:rPr>
              <w:tab/>
            </w:r>
            <w:r w:rsidR="00964926">
              <w:rPr>
                <w:noProof/>
                <w:webHidden/>
              </w:rPr>
              <w:fldChar w:fldCharType="begin"/>
            </w:r>
            <w:r w:rsidR="00964926">
              <w:rPr>
                <w:noProof/>
                <w:webHidden/>
              </w:rPr>
              <w:instrText xml:space="preserve"> PAGEREF _Toc199759404 \h </w:instrText>
            </w:r>
            <w:r w:rsidR="00964926">
              <w:rPr>
                <w:noProof/>
                <w:webHidden/>
              </w:rPr>
            </w:r>
            <w:r w:rsidR="00964926">
              <w:rPr>
                <w:noProof/>
                <w:webHidden/>
              </w:rPr>
              <w:fldChar w:fldCharType="separate"/>
            </w:r>
            <w:r w:rsidR="00964926">
              <w:rPr>
                <w:noProof/>
                <w:webHidden/>
              </w:rPr>
              <w:t>21</w:t>
            </w:r>
            <w:r w:rsidR="00964926">
              <w:rPr>
                <w:noProof/>
                <w:webHidden/>
              </w:rPr>
              <w:fldChar w:fldCharType="end"/>
            </w:r>
          </w:hyperlink>
        </w:p>
        <w:p w14:paraId="3287A5B4" w14:textId="50FE1640" w:rsidR="00F630E7" w:rsidRDefault="00F630E7">
          <w:r>
            <w:rPr>
              <w:b/>
              <w:bCs/>
              <w:noProof/>
            </w:rPr>
            <w:fldChar w:fldCharType="end"/>
          </w:r>
        </w:p>
      </w:sdtContent>
    </w:sdt>
    <w:p w14:paraId="4A733DB4" w14:textId="47C6AE06" w:rsidR="00EF577A" w:rsidRDefault="00EF577A">
      <w:pPr>
        <w:spacing w:after="200" w:line="276" w:lineRule="auto"/>
        <w:jc w:val="left"/>
        <w:rPr>
          <w:rFonts w:asciiTheme="majorHAnsi" w:eastAsiaTheme="majorEastAsia" w:hAnsiTheme="majorHAnsi" w:cstheme="majorBidi"/>
          <w:color w:val="365F91" w:themeColor="accent1" w:themeShade="BF"/>
          <w:sz w:val="32"/>
          <w:szCs w:val="32"/>
          <w:lang w:val="en-GB"/>
        </w:rPr>
      </w:pPr>
      <w:r>
        <w:rPr>
          <w:lang w:val="en-GB"/>
        </w:rPr>
        <w:br w:type="page"/>
      </w:r>
    </w:p>
    <w:p w14:paraId="414A2666" w14:textId="480597B5" w:rsidR="00DD229B" w:rsidRDefault="005F1711" w:rsidP="006B3E4F">
      <w:pPr>
        <w:pStyle w:val="Titre1"/>
        <w:jc w:val="center"/>
        <w:rPr>
          <w:lang w:val="en-GB"/>
        </w:rPr>
      </w:pPr>
      <w:bookmarkStart w:id="0" w:name="_Toc199759372"/>
      <w:proofErr w:type="spellStart"/>
      <w:r>
        <w:rPr>
          <w:lang w:val="en-GB"/>
        </w:rPr>
        <w:lastRenderedPageBreak/>
        <w:t>S.Fig</w:t>
      </w:r>
      <w:proofErr w:type="spellEnd"/>
      <w:r>
        <w:rPr>
          <w:lang w:val="en-GB"/>
        </w:rPr>
        <w:t xml:space="preserve">.: </w:t>
      </w:r>
      <w:r w:rsidR="00DD229B">
        <w:rPr>
          <w:lang w:val="en-GB"/>
        </w:rPr>
        <w:t>Supplementary figures</w:t>
      </w:r>
      <w:bookmarkEnd w:id="0"/>
    </w:p>
    <w:p w14:paraId="6CD25304" w14:textId="00B6A3A0" w:rsidR="00EF577A" w:rsidRDefault="00EF577A" w:rsidP="006B3E4F">
      <w:pPr>
        <w:pStyle w:val="Titre2"/>
        <w:rPr>
          <w:lang w:val="en-GB"/>
        </w:rPr>
      </w:pPr>
      <w:bookmarkStart w:id="1" w:name="_Toc199759373"/>
      <w:proofErr w:type="spellStart"/>
      <w:r>
        <w:rPr>
          <w:lang w:val="en-GB"/>
        </w:rPr>
        <w:t>S.Fig</w:t>
      </w:r>
      <w:proofErr w:type="spellEnd"/>
      <w:r>
        <w:rPr>
          <w:lang w:val="en-GB"/>
        </w:rPr>
        <w:t>.</w:t>
      </w:r>
      <w:r w:rsidRPr="43FD68B5">
        <w:rPr>
          <w:lang w:val="en-GB"/>
        </w:rPr>
        <w:t xml:space="preserve"> </w:t>
      </w:r>
      <w:r>
        <w:rPr>
          <w:lang w:val="en-GB"/>
        </w:rPr>
        <w:t xml:space="preserve">1 - </w:t>
      </w:r>
      <w:r w:rsidR="00E306F2">
        <w:rPr>
          <w:lang w:val="en-GB"/>
        </w:rPr>
        <w:t xml:space="preserve">10 % </w:t>
      </w:r>
      <w:r w:rsidR="006B3E4F">
        <w:rPr>
          <w:lang w:val="en-GB"/>
        </w:rPr>
        <w:t>hydrochloric acid</w:t>
      </w:r>
      <w:r w:rsidR="00E306F2">
        <w:rPr>
          <w:lang w:val="en-GB"/>
        </w:rPr>
        <w:t xml:space="preserve"> effervescence</w:t>
      </w:r>
      <w:r w:rsidR="006B3E4F">
        <w:rPr>
          <w:lang w:val="en-GB"/>
        </w:rPr>
        <w:t xml:space="preserve"> reaction</w:t>
      </w:r>
      <w:r w:rsidR="00E306F2">
        <w:rPr>
          <w:lang w:val="en-GB"/>
        </w:rPr>
        <w:t xml:space="preserve"> on tree species</w:t>
      </w:r>
      <w:bookmarkEnd w:id="1"/>
    </w:p>
    <w:p w14:paraId="5BC7AD19" w14:textId="4BE01C2A" w:rsidR="00EF577A" w:rsidRDefault="009A6F75" w:rsidP="009A6F75">
      <w:pPr>
        <w:jc w:val="center"/>
        <w:rPr>
          <w:lang w:val="en-GB"/>
        </w:rPr>
      </w:pPr>
      <w:r>
        <w:rPr>
          <w:noProof/>
        </w:rPr>
        <w:drawing>
          <wp:inline distT="0" distB="0" distL="0" distR="0" wp14:anchorId="71F85125" wp14:editId="413D20F6">
            <wp:extent cx="4919527" cy="6381750"/>
            <wp:effectExtent l="0" t="0" r="0" b="0"/>
            <wp:docPr id="3635717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572" t="6584" r="6533" b="8318"/>
                    <a:stretch/>
                  </pic:blipFill>
                  <pic:spPr bwMode="auto">
                    <a:xfrm>
                      <a:off x="0" y="0"/>
                      <a:ext cx="4952200" cy="6424135"/>
                    </a:xfrm>
                    <a:prstGeom prst="rect">
                      <a:avLst/>
                    </a:prstGeom>
                    <a:noFill/>
                    <a:ln>
                      <a:noFill/>
                    </a:ln>
                    <a:extLst>
                      <a:ext uri="{53640926-AAD7-44D8-BBD7-CCE9431645EC}">
                        <a14:shadowObscured xmlns:a14="http://schemas.microsoft.com/office/drawing/2010/main"/>
                      </a:ext>
                    </a:extLst>
                  </pic:spPr>
                </pic:pic>
              </a:graphicData>
            </a:graphic>
          </wp:inline>
        </w:drawing>
      </w:r>
    </w:p>
    <w:p w14:paraId="4EDEA768" w14:textId="005312C4" w:rsidR="00E306F2" w:rsidRPr="0026080D" w:rsidRDefault="00EF577A" w:rsidP="00964926">
      <w:pPr>
        <w:rPr>
          <w:lang w:val="en-GB"/>
        </w:rPr>
      </w:pPr>
      <w:proofErr w:type="spellStart"/>
      <w:r w:rsidRPr="00E306F2">
        <w:rPr>
          <w:b/>
          <w:bCs/>
          <w:lang w:val="en-GB"/>
        </w:rPr>
        <w:t>S.Fig</w:t>
      </w:r>
      <w:proofErr w:type="spellEnd"/>
      <w:r w:rsidRPr="00E306F2">
        <w:rPr>
          <w:b/>
          <w:bCs/>
          <w:lang w:val="en-GB"/>
        </w:rPr>
        <w:t xml:space="preserve">. 1. </w:t>
      </w:r>
      <w:r w:rsidR="00E306F2" w:rsidRPr="00E306F2">
        <w:rPr>
          <w:b/>
          <w:bCs/>
          <w:lang w:val="en-GB"/>
        </w:rPr>
        <w:t xml:space="preserve">Photos </w:t>
      </w:r>
      <w:r w:rsidR="00765F3A">
        <w:rPr>
          <w:b/>
          <w:bCs/>
          <w:lang w:val="en-GB"/>
        </w:rPr>
        <w:t xml:space="preserve">of </w:t>
      </w:r>
      <w:r w:rsidR="00E306F2" w:rsidRPr="00E306F2">
        <w:rPr>
          <w:b/>
          <w:bCs/>
          <w:lang w:val="en-GB"/>
        </w:rPr>
        <w:t>reaction</w:t>
      </w:r>
      <w:r w:rsidR="00765F3A">
        <w:rPr>
          <w:b/>
          <w:bCs/>
          <w:lang w:val="en-GB"/>
        </w:rPr>
        <w:t>s</w:t>
      </w:r>
      <w:r w:rsidR="00E306F2" w:rsidRPr="00E306F2">
        <w:rPr>
          <w:b/>
          <w:bCs/>
          <w:lang w:val="en-GB"/>
        </w:rPr>
        <w:t xml:space="preserve"> </w:t>
      </w:r>
      <w:r w:rsidR="00765F3A">
        <w:rPr>
          <w:b/>
          <w:bCs/>
          <w:lang w:val="en-GB"/>
        </w:rPr>
        <w:t>observed on</w:t>
      </w:r>
      <w:r w:rsidR="00E306F2" w:rsidRPr="00E306F2">
        <w:rPr>
          <w:b/>
          <w:bCs/>
          <w:lang w:val="en-GB"/>
        </w:rPr>
        <w:t xml:space="preserve"> different tree species </w:t>
      </w:r>
      <w:r w:rsidR="00765F3A">
        <w:rPr>
          <w:b/>
          <w:bCs/>
          <w:lang w:val="en-GB"/>
        </w:rPr>
        <w:t xml:space="preserve">with </w:t>
      </w:r>
      <w:r w:rsidR="00E306F2" w:rsidRPr="00E306F2">
        <w:rPr>
          <w:b/>
          <w:bCs/>
          <w:lang w:val="en-GB"/>
        </w:rPr>
        <w:t>10 % hydrochloric acid indicating the presence of calcium carbonat</w:t>
      </w:r>
      <w:r w:rsidR="000C71C7">
        <w:rPr>
          <w:b/>
          <w:bCs/>
          <w:lang w:val="en-GB"/>
        </w:rPr>
        <w:t xml:space="preserve">e (2HCl + </w:t>
      </w:r>
      <w:r w:rsidR="000C71C7" w:rsidRPr="000C71C7">
        <w:rPr>
          <w:b/>
          <w:bCs/>
          <w:lang w:val="en-GB"/>
        </w:rPr>
        <w:t>CaCO</w:t>
      </w:r>
      <w:r w:rsidR="000C71C7" w:rsidRPr="000C71C7">
        <w:rPr>
          <w:b/>
          <w:bCs/>
          <w:vertAlign w:val="subscript"/>
          <w:lang w:val="en-GB"/>
        </w:rPr>
        <w:t>3</w:t>
      </w:r>
      <w:r w:rsidR="000C71C7">
        <w:rPr>
          <w:b/>
          <w:bCs/>
          <w:lang w:val="en-GB"/>
        </w:rPr>
        <w:t xml:space="preserve"> = CaCl</w:t>
      </w:r>
      <w:r w:rsidR="000C71C7" w:rsidRPr="000C71C7">
        <w:rPr>
          <w:b/>
          <w:bCs/>
          <w:vertAlign w:val="subscript"/>
          <w:lang w:val="en-GB"/>
        </w:rPr>
        <w:t>2</w:t>
      </w:r>
      <w:r w:rsidR="000C71C7">
        <w:rPr>
          <w:b/>
          <w:bCs/>
          <w:lang w:val="en-GB"/>
        </w:rPr>
        <w:t xml:space="preserve"> + </w:t>
      </w:r>
      <w:r w:rsidR="000C71C7" w:rsidRPr="000C71C7">
        <w:rPr>
          <w:b/>
          <w:bCs/>
          <w:lang w:val="en-GB"/>
        </w:rPr>
        <w:t>H</w:t>
      </w:r>
      <w:r w:rsidR="000C71C7" w:rsidRPr="000C71C7">
        <w:rPr>
          <w:b/>
          <w:bCs/>
          <w:vertAlign w:val="subscript"/>
          <w:lang w:val="en-GB"/>
        </w:rPr>
        <w:t>2</w:t>
      </w:r>
      <w:r w:rsidR="000C71C7" w:rsidRPr="000C71C7">
        <w:rPr>
          <w:b/>
          <w:bCs/>
          <w:lang w:val="en-GB"/>
        </w:rPr>
        <w:t>O</w:t>
      </w:r>
      <w:r w:rsidR="000C71C7">
        <w:rPr>
          <w:b/>
          <w:bCs/>
          <w:lang w:val="en-GB"/>
        </w:rPr>
        <w:t xml:space="preserve"> + </w:t>
      </w:r>
      <w:r w:rsidR="000C71C7" w:rsidRPr="000C71C7">
        <w:rPr>
          <w:b/>
          <w:bCs/>
          <w:lang w:val="en-GB"/>
        </w:rPr>
        <w:t>CO</w:t>
      </w:r>
      <w:r w:rsidR="000C71C7" w:rsidRPr="000C71C7">
        <w:rPr>
          <w:b/>
          <w:bCs/>
          <w:vertAlign w:val="subscript"/>
          <w:lang w:val="en-GB"/>
        </w:rPr>
        <w:t>2</w:t>
      </w:r>
      <w:r w:rsidR="000C71C7">
        <w:rPr>
          <w:b/>
          <w:bCs/>
          <w:lang w:val="en-GB"/>
        </w:rPr>
        <w:t>)</w:t>
      </w:r>
      <w:r w:rsidR="00E306F2" w:rsidRPr="00E306F2">
        <w:rPr>
          <w:b/>
          <w:bCs/>
          <w:lang w:val="en-GB"/>
        </w:rPr>
        <w:t xml:space="preserve">. </w:t>
      </w:r>
      <w:r w:rsidR="00320449">
        <w:rPr>
          <w:b/>
          <w:bCs/>
          <w:lang w:val="en-GB"/>
        </w:rPr>
        <w:t>(</w:t>
      </w:r>
      <w:r w:rsidR="00E306F2" w:rsidRPr="00E306F2">
        <w:rPr>
          <w:b/>
          <w:bCs/>
          <w:lang w:val="en-GB"/>
        </w:rPr>
        <w:t>A)</w:t>
      </w:r>
      <w:r w:rsidR="00704FD1">
        <w:rPr>
          <w:lang w:val="en-GB"/>
        </w:rPr>
        <w:t xml:space="preserve"> </w:t>
      </w:r>
      <w:proofErr w:type="spellStart"/>
      <w:r w:rsidR="00704FD1" w:rsidRPr="00A63CF0">
        <w:rPr>
          <w:i/>
          <w:iCs/>
          <w:lang w:val="en-GB"/>
        </w:rPr>
        <w:t>Lepisanthes</w:t>
      </w:r>
      <w:proofErr w:type="spellEnd"/>
      <w:r w:rsidR="00704FD1" w:rsidRPr="00A63CF0">
        <w:rPr>
          <w:i/>
          <w:iCs/>
          <w:lang w:val="en-GB"/>
        </w:rPr>
        <w:t xml:space="preserve"> </w:t>
      </w:r>
      <w:proofErr w:type="spellStart"/>
      <w:r w:rsidR="00704FD1" w:rsidRPr="00A63CF0">
        <w:rPr>
          <w:i/>
          <w:iCs/>
          <w:lang w:val="en-GB"/>
        </w:rPr>
        <w:t>tetraphylla</w:t>
      </w:r>
      <w:proofErr w:type="spellEnd"/>
      <w:r w:rsidR="00704FD1">
        <w:rPr>
          <w:lang w:val="en-GB"/>
        </w:rPr>
        <w:t xml:space="preserve"> trunk</w:t>
      </w:r>
      <w:r w:rsidR="00C93EE1">
        <w:rPr>
          <w:lang w:val="en-GB"/>
        </w:rPr>
        <w:t>.</w:t>
      </w:r>
      <w:r w:rsidR="00E306F2">
        <w:rPr>
          <w:b/>
          <w:bCs/>
          <w:lang w:val="en-GB"/>
        </w:rPr>
        <w:t xml:space="preserve"> </w:t>
      </w:r>
      <w:r w:rsidR="00320449">
        <w:rPr>
          <w:b/>
          <w:bCs/>
          <w:lang w:val="en-GB"/>
        </w:rPr>
        <w:t>(</w:t>
      </w:r>
      <w:r w:rsidR="00E306F2">
        <w:rPr>
          <w:b/>
          <w:bCs/>
          <w:lang w:val="en-GB"/>
        </w:rPr>
        <w:t>B)</w:t>
      </w:r>
      <w:r w:rsidR="00C93EE1" w:rsidRPr="00C93EE1">
        <w:rPr>
          <w:lang w:val="en-GB"/>
        </w:rPr>
        <w:t xml:space="preserve"> </w:t>
      </w:r>
      <w:r w:rsidR="00704FD1" w:rsidRPr="00A63CF0">
        <w:rPr>
          <w:i/>
          <w:iCs/>
          <w:lang w:val="en-GB"/>
        </w:rPr>
        <w:t xml:space="preserve">L. </w:t>
      </w:r>
      <w:proofErr w:type="spellStart"/>
      <w:r w:rsidR="00704FD1" w:rsidRPr="00A63CF0">
        <w:rPr>
          <w:i/>
          <w:iCs/>
          <w:lang w:val="en-GB"/>
        </w:rPr>
        <w:t>tetraphylla</w:t>
      </w:r>
      <w:proofErr w:type="spellEnd"/>
      <w:r w:rsidR="00704FD1">
        <w:rPr>
          <w:lang w:val="en-GB"/>
        </w:rPr>
        <w:t xml:space="preserve"> root</w:t>
      </w:r>
      <w:r w:rsidR="00C93EE1">
        <w:rPr>
          <w:lang w:val="en-GB"/>
        </w:rPr>
        <w:t>.</w:t>
      </w:r>
      <w:r w:rsidR="00E306F2">
        <w:rPr>
          <w:b/>
          <w:bCs/>
          <w:lang w:val="en-GB"/>
        </w:rPr>
        <w:t xml:space="preserve"> </w:t>
      </w:r>
      <w:r w:rsidR="00320449">
        <w:rPr>
          <w:b/>
          <w:bCs/>
          <w:lang w:val="en-GB"/>
        </w:rPr>
        <w:t>(</w:t>
      </w:r>
      <w:r w:rsidR="00E306F2">
        <w:rPr>
          <w:b/>
          <w:bCs/>
          <w:lang w:val="en-GB"/>
        </w:rPr>
        <w:t>C)</w:t>
      </w:r>
      <w:r w:rsidR="00C93EE1" w:rsidRPr="00C93EE1">
        <w:rPr>
          <w:lang w:val="en-GB"/>
        </w:rPr>
        <w:t xml:space="preserve"> </w:t>
      </w:r>
      <w:r w:rsidR="008C0EB2" w:rsidRPr="00A63CF0">
        <w:rPr>
          <w:i/>
          <w:iCs/>
          <w:lang w:val="en-GB"/>
        </w:rPr>
        <w:t>Artocarpus heterophyllus</w:t>
      </w:r>
      <w:r w:rsidR="009A6F75">
        <w:rPr>
          <w:i/>
          <w:iCs/>
          <w:lang w:val="en-GB"/>
        </w:rPr>
        <w:t xml:space="preserve"> </w:t>
      </w:r>
      <w:r w:rsidR="009A6F75">
        <w:rPr>
          <w:lang w:val="en-GB"/>
        </w:rPr>
        <w:t>trunk.</w:t>
      </w:r>
      <w:r w:rsidR="008C0EB2">
        <w:rPr>
          <w:lang w:val="en-GB"/>
        </w:rPr>
        <w:t xml:space="preserve"> </w:t>
      </w:r>
      <w:r w:rsidR="00320449">
        <w:rPr>
          <w:lang w:val="en-GB"/>
        </w:rPr>
        <w:t>(</w:t>
      </w:r>
      <w:r w:rsidR="00E306F2">
        <w:rPr>
          <w:b/>
          <w:bCs/>
          <w:lang w:val="en-GB"/>
        </w:rPr>
        <w:t>D)</w:t>
      </w:r>
      <w:r w:rsidR="00C93EE1" w:rsidRPr="00C93EE1">
        <w:rPr>
          <w:lang w:val="en-GB"/>
        </w:rPr>
        <w:t xml:space="preserve"> </w:t>
      </w:r>
      <w:r w:rsidR="008C0EB2" w:rsidRPr="00A63CF0">
        <w:rPr>
          <w:i/>
          <w:iCs/>
          <w:lang w:val="en-GB"/>
        </w:rPr>
        <w:t>A</w:t>
      </w:r>
      <w:r w:rsidR="009A6F75">
        <w:rPr>
          <w:i/>
          <w:iCs/>
          <w:lang w:val="en-GB"/>
        </w:rPr>
        <w:t>.</w:t>
      </w:r>
      <w:r w:rsidR="008C0EB2" w:rsidRPr="00A63CF0">
        <w:rPr>
          <w:i/>
          <w:iCs/>
          <w:lang w:val="en-GB"/>
        </w:rPr>
        <w:t xml:space="preserve"> heterophyllus</w:t>
      </w:r>
      <w:r w:rsidR="008C0EB2">
        <w:rPr>
          <w:lang w:val="en-GB"/>
        </w:rPr>
        <w:t xml:space="preserve"> branches.</w:t>
      </w:r>
      <w:r w:rsidR="008C0EB2">
        <w:rPr>
          <w:b/>
          <w:bCs/>
          <w:lang w:val="en-GB"/>
        </w:rPr>
        <w:t xml:space="preserve"> </w:t>
      </w:r>
      <w:r w:rsidR="00320449">
        <w:rPr>
          <w:b/>
          <w:bCs/>
          <w:lang w:val="en-GB"/>
        </w:rPr>
        <w:t>(</w:t>
      </w:r>
      <w:r w:rsidR="00E306F2">
        <w:rPr>
          <w:b/>
          <w:bCs/>
          <w:lang w:val="en-GB"/>
        </w:rPr>
        <w:t>E)</w:t>
      </w:r>
      <w:r w:rsidR="00C93EE1" w:rsidRPr="00C93EE1">
        <w:rPr>
          <w:lang w:val="en-GB"/>
        </w:rPr>
        <w:t xml:space="preserve"> </w:t>
      </w:r>
      <w:proofErr w:type="spellStart"/>
      <w:r w:rsidR="008C0EB2" w:rsidRPr="00A63CF0">
        <w:rPr>
          <w:i/>
          <w:iCs/>
          <w:lang w:val="en-GB"/>
        </w:rPr>
        <w:t>Sapindus</w:t>
      </w:r>
      <w:proofErr w:type="spellEnd"/>
      <w:r w:rsidR="008C0EB2" w:rsidRPr="00A63CF0">
        <w:rPr>
          <w:i/>
          <w:iCs/>
          <w:lang w:val="en-GB"/>
        </w:rPr>
        <w:t xml:space="preserve"> </w:t>
      </w:r>
      <w:proofErr w:type="spellStart"/>
      <w:r w:rsidR="008C0EB2" w:rsidRPr="00A63CF0">
        <w:rPr>
          <w:i/>
          <w:iCs/>
          <w:lang w:val="en-GB"/>
        </w:rPr>
        <w:t>emarginatus</w:t>
      </w:r>
      <w:proofErr w:type="spellEnd"/>
      <w:r w:rsidR="008C0EB2">
        <w:rPr>
          <w:lang w:val="en-GB"/>
        </w:rPr>
        <w:t xml:space="preserve"> trunk.</w:t>
      </w:r>
      <w:r w:rsidR="008C0EB2">
        <w:rPr>
          <w:b/>
          <w:bCs/>
          <w:lang w:val="en-GB"/>
        </w:rPr>
        <w:t xml:space="preserve"> </w:t>
      </w:r>
      <w:r w:rsidR="00320449">
        <w:rPr>
          <w:b/>
          <w:bCs/>
          <w:lang w:val="en-GB"/>
        </w:rPr>
        <w:t>(</w:t>
      </w:r>
      <w:r w:rsidR="00E306F2">
        <w:rPr>
          <w:b/>
          <w:bCs/>
          <w:lang w:val="en-GB"/>
        </w:rPr>
        <w:t>F)</w:t>
      </w:r>
      <w:r w:rsidR="00C93EE1" w:rsidRPr="00C93EE1">
        <w:rPr>
          <w:lang w:val="en-GB"/>
        </w:rPr>
        <w:t xml:space="preserve"> </w:t>
      </w:r>
      <w:r w:rsidR="008C0EB2" w:rsidRPr="00A63CF0">
        <w:rPr>
          <w:i/>
          <w:iCs/>
          <w:lang w:val="en-GB"/>
        </w:rPr>
        <w:t xml:space="preserve">S. </w:t>
      </w:r>
      <w:proofErr w:type="spellStart"/>
      <w:r w:rsidR="008C0EB2" w:rsidRPr="00A63CF0">
        <w:rPr>
          <w:i/>
          <w:iCs/>
          <w:lang w:val="en-GB"/>
        </w:rPr>
        <w:t>emarginatus</w:t>
      </w:r>
      <w:proofErr w:type="spellEnd"/>
      <w:r w:rsidR="008C0EB2">
        <w:rPr>
          <w:lang w:val="en-GB"/>
        </w:rPr>
        <w:t xml:space="preserve"> branches with traces of </w:t>
      </w:r>
      <w:proofErr w:type="spellStart"/>
      <w:r w:rsidR="008C0EB2">
        <w:rPr>
          <w:lang w:val="en-GB"/>
        </w:rPr>
        <w:t>phyto</w:t>
      </w:r>
      <w:proofErr w:type="spellEnd"/>
      <w:r w:rsidR="008C0EB2">
        <w:rPr>
          <w:lang w:val="en-GB"/>
        </w:rPr>
        <w:t>-predation.</w:t>
      </w:r>
      <w:r w:rsidR="008C0EB2">
        <w:rPr>
          <w:b/>
          <w:bCs/>
          <w:lang w:val="en-GB"/>
        </w:rPr>
        <w:t xml:space="preserve"> </w:t>
      </w:r>
      <w:r w:rsidR="00320449">
        <w:rPr>
          <w:b/>
          <w:bCs/>
          <w:lang w:val="en-GB"/>
        </w:rPr>
        <w:t>(</w:t>
      </w:r>
      <w:r w:rsidR="00E306F2">
        <w:rPr>
          <w:b/>
          <w:bCs/>
          <w:lang w:val="en-GB"/>
        </w:rPr>
        <w:t>G)</w:t>
      </w:r>
      <w:r w:rsidR="00C93EE1" w:rsidRPr="00C93EE1">
        <w:rPr>
          <w:lang w:val="en-GB"/>
        </w:rPr>
        <w:t xml:space="preserve"> </w:t>
      </w:r>
      <w:r w:rsidR="008C0EB2" w:rsidRPr="008C0EB2">
        <w:rPr>
          <w:i/>
          <w:iCs/>
          <w:lang w:val="en-GB"/>
        </w:rPr>
        <w:t>D</w:t>
      </w:r>
      <w:r w:rsidR="00EE5134">
        <w:rPr>
          <w:i/>
          <w:iCs/>
          <w:lang w:val="en-GB"/>
        </w:rPr>
        <w:t>iospyros</w:t>
      </w:r>
      <w:r w:rsidR="008C0EB2" w:rsidRPr="008C0EB2">
        <w:rPr>
          <w:i/>
          <w:iCs/>
          <w:lang w:val="en-GB"/>
        </w:rPr>
        <w:t xml:space="preserve"> ebenum</w:t>
      </w:r>
      <w:r w:rsidR="008C0EB2">
        <w:rPr>
          <w:lang w:val="en-GB"/>
        </w:rPr>
        <w:t xml:space="preserve"> branch.</w:t>
      </w:r>
      <w:r w:rsidR="008C0EB2">
        <w:rPr>
          <w:b/>
          <w:bCs/>
          <w:lang w:val="en-GB"/>
        </w:rPr>
        <w:t xml:space="preserve"> </w:t>
      </w:r>
      <w:r w:rsidR="00320449">
        <w:rPr>
          <w:b/>
          <w:bCs/>
          <w:lang w:val="en-GB"/>
        </w:rPr>
        <w:t>(</w:t>
      </w:r>
      <w:r w:rsidR="00E306F2">
        <w:rPr>
          <w:b/>
          <w:bCs/>
          <w:lang w:val="en-GB"/>
        </w:rPr>
        <w:t xml:space="preserve">H) </w:t>
      </w:r>
      <w:r w:rsidR="008C0EB2" w:rsidRPr="008C0EB2">
        <w:rPr>
          <w:i/>
          <w:iCs/>
          <w:lang w:val="en-GB"/>
        </w:rPr>
        <w:t>D. ebenum</w:t>
      </w:r>
      <w:r w:rsidR="008C0EB2">
        <w:rPr>
          <w:lang w:val="en-GB"/>
        </w:rPr>
        <w:t xml:space="preserve"> trunk.</w:t>
      </w:r>
    </w:p>
    <w:p w14:paraId="761DDD62" w14:textId="52508A18" w:rsidR="008055E9" w:rsidRDefault="008055E9" w:rsidP="006B3E4F">
      <w:pPr>
        <w:pStyle w:val="Titre2"/>
        <w:rPr>
          <w:lang w:val="en-GB"/>
        </w:rPr>
      </w:pPr>
      <w:bookmarkStart w:id="2" w:name="_Toc199759374"/>
      <w:bookmarkStart w:id="3" w:name="_Ref72434824"/>
      <w:bookmarkStart w:id="4" w:name="_Ref72506671"/>
      <w:bookmarkStart w:id="5" w:name="_Toc75191987"/>
      <w:bookmarkStart w:id="6" w:name="_Toc139866460"/>
      <w:bookmarkStart w:id="7" w:name="_Toc181956503"/>
      <w:proofErr w:type="spellStart"/>
      <w:r>
        <w:rPr>
          <w:lang w:val="en-GB"/>
        </w:rPr>
        <w:lastRenderedPageBreak/>
        <w:t>S.</w:t>
      </w:r>
      <w:r w:rsidR="4D7DA34A" w:rsidRPr="221E3605">
        <w:rPr>
          <w:lang w:val="en-GB"/>
        </w:rPr>
        <w:t>Fig</w:t>
      </w:r>
      <w:proofErr w:type="spellEnd"/>
      <w:r w:rsidR="4D7DA34A" w:rsidRPr="221E3605">
        <w:rPr>
          <w:lang w:val="en-GB"/>
        </w:rPr>
        <w:t>.</w:t>
      </w:r>
      <w:r w:rsidR="17DDBD51" w:rsidRPr="221E3605">
        <w:rPr>
          <w:lang w:val="en-GB"/>
        </w:rPr>
        <w:t xml:space="preserve"> </w:t>
      </w:r>
      <w:r w:rsidR="17E6DE6E" w:rsidRPr="221E3605">
        <w:rPr>
          <w:lang w:val="en-GB"/>
        </w:rPr>
        <w:t>2</w:t>
      </w:r>
      <w:r w:rsidR="2E1128E5" w:rsidRPr="221E3605">
        <w:rPr>
          <w:lang w:val="en-GB"/>
        </w:rPr>
        <w:t xml:space="preserve"> - </w:t>
      </w:r>
      <w:proofErr w:type="spellStart"/>
      <w:r w:rsidR="2E1128E5" w:rsidRPr="221E3605">
        <w:rPr>
          <w:lang w:val="en-GB"/>
        </w:rPr>
        <w:t>CaOx</w:t>
      </w:r>
      <w:proofErr w:type="spellEnd"/>
      <w:r w:rsidR="2479E755" w:rsidRPr="221E3605">
        <w:rPr>
          <w:lang w:val="en-GB"/>
        </w:rPr>
        <w:t xml:space="preserve"> </w:t>
      </w:r>
      <w:r w:rsidR="006B3E4F">
        <w:rPr>
          <w:lang w:val="en-GB"/>
        </w:rPr>
        <w:t>scanning electron microscopy</w:t>
      </w:r>
      <w:r w:rsidR="000C71C7">
        <w:rPr>
          <w:lang w:val="en-GB"/>
        </w:rPr>
        <w:t xml:space="preserve"> and </w:t>
      </w:r>
      <w:r w:rsidR="006B3E4F">
        <w:rPr>
          <w:lang w:val="en-GB"/>
        </w:rPr>
        <w:t xml:space="preserve">energy dispersive X-ray </w:t>
      </w:r>
      <w:r w:rsidR="0860DB27" w:rsidRPr="221E3605">
        <w:rPr>
          <w:lang w:val="en-GB"/>
        </w:rPr>
        <w:t>spectroscopy.</w:t>
      </w:r>
      <w:bookmarkEnd w:id="2"/>
    </w:p>
    <w:p w14:paraId="50AFCD28" w14:textId="5B929036" w:rsidR="008055E9" w:rsidRDefault="000C71C7" w:rsidP="008055E9">
      <w:pPr>
        <w:jc w:val="center"/>
        <w:rPr>
          <w:lang w:val="en-GB"/>
        </w:rPr>
      </w:pPr>
      <w:r>
        <w:rPr>
          <w:noProof/>
        </w:rPr>
        <w:drawing>
          <wp:inline distT="0" distB="0" distL="0" distR="0" wp14:anchorId="0AC9858C" wp14:editId="6CB9797E">
            <wp:extent cx="5829300" cy="7138404"/>
            <wp:effectExtent l="0" t="0" r="0" b="5715"/>
            <wp:docPr id="3714564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31386" cy="7140958"/>
                    </a:xfrm>
                    <a:prstGeom prst="rect">
                      <a:avLst/>
                    </a:prstGeom>
                  </pic:spPr>
                </pic:pic>
              </a:graphicData>
            </a:graphic>
          </wp:inline>
        </w:drawing>
      </w:r>
    </w:p>
    <w:p w14:paraId="78869695" w14:textId="79ABD8F9" w:rsidR="009B2538" w:rsidRDefault="000C71C7" w:rsidP="008055E9">
      <w:pPr>
        <w:jc w:val="center"/>
        <w:rPr>
          <w:lang w:val="en-GB"/>
        </w:rPr>
      </w:pPr>
      <w:r>
        <w:rPr>
          <w:noProof/>
        </w:rPr>
        <w:lastRenderedPageBreak/>
        <w:drawing>
          <wp:inline distT="0" distB="0" distL="0" distR="0" wp14:anchorId="70150BC5" wp14:editId="53D5E24B">
            <wp:extent cx="5238750" cy="7392638"/>
            <wp:effectExtent l="0" t="0" r="0" b="0"/>
            <wp:docPr id="7056199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43618" cy="7399508"/>
                    </a:xfrm>
                    <a:prstGeom prst="rect">
                      <a:avLst/>
                    </a:prstGeom>
                    <a:noFill/>
                    <a:ln>
                      <a:noFill/>
                    </a:ln>
                  </pic:spPr>
                </pic:pic>
              </a:graphicData>
            </a:graphic>
          </wp:inline>
        </w:drawing>
      </w:r>
    </w:p>
    <w:p w14:paraId="061CF4F3" w14:textId="08B3D6CB" w:rsidR="009B2538" w:rsidRDefault="3BA0720B" w:rsidP="221E3605">
      <w:pPr>
        <w:rPr>
          <w:lang w:val="en-GB"/>
        </w:rPr>
      </w:pPr>
      <w:proofErr w:type="spellStart"/>
      <w:r w:rsidRPr="000C71C7">
        <w:rPr>
          <w:b/>
          <w:bCs/>
          <w:lang w:val="en-GB"/>
        </w:rPr>
        <w:t>S.Fig</w:t>
      </w:r>
      <w:proofErr w:type="spellEnd"/>
      <w:r w:rsidRPr="000C71C7">
        <w:rPr>
          <w:b/>
          <w:bCs/>
          <w:lang w:val="en-GB"/>
        </w:rPr>
        <w:t>. 2.</w:t>
      </w:r>
      <w:r w:rsidR="000C71C7" w:rsidRPr="000C71C7">
        <w:rPr>
          <w:b/>
          <w:bCs/>
          <w:lang w:val="en-GB"/>
        </w:rPr>
        <w:t xml:space="preserve"> </w:t>
      </w:r>
      <w:proofErr w:type="spellStart"/>
      <w:r w:rsidR="00E41C65">
        <w:rPr>
          <w:b/>
          <w:bCs/>
          <w:lang w:val="en-GB"/>
        </w:rPr>
        <w:t>CaOx</w:t>
      </w:r>
      <w:proofErr w:type="spellEnd"/>
      <w:r w:rsidR="00E41C65">
        <w:rPr>
          <w:b/>
          <w:bCs/>
          <w:lang w:val="en-GB"/>
        </w:rPr>
        <w:t xml:space="preserve"> SEM and EDX spectroscopy. </w:t>
      </w:r>
      <w:r w:rsidR="00320449">
        <w:rPr>
          <w:b/>
          <w:bCs/>
          <w:lang w:val="en-GB"/>
        </w:rPr>
        <w:t>(</w:t>
      </w:r>
      <w:r w:rsidR="00E41C65">
        <w:rPr>
          <w:b/>
          <w:bCs/>
          <w:lang w:val="en-GB"/>
        </w:rPr>
        <w:t xml:space="preserve">A) </w:t>
      </w:r>
      <w:r w:rsidR="00114CFF" w:rsidRPr="4C2EB26E">
        <w:t>ED</w:t>
      </w:r>
      <w:r w:rsidR="00EE5134">
        <w:t>X</w:t>
      </w:r>
      <w:r w:rsidR="00114CFF" w:rsidRPr="4C2EB26E">
        <w:t>-</w:t>
      </w:r>
      <w:r w:rsidR="00EE5134">
        <w:t>s</w:t>
      </w:r>
      <w:r w:rsidR="00114CFF" w:rsidRPr="4C2EB26E">
        <w:t xml:space="preserve">pectra from two druses type, showing Calcium and Oxygen peaks. Sample from litter (leaves) of </w:t>
      </w:r>
      <w:r w:rsidR="00114CFF" w:rsidRPr="4C2EB26E">
        <w:rPr>
          <w:i/>
        </w:rPr>
        <w:t>A. heterophyllus</w:t>
      </w:r>
      <w:r w:rsidR="00114CFF" w:rsidRPr="4C2EB26E">
        <w:t xml:space="preserve"> A4</w:t>
      </w:r>
      <w:r w:rsidR="00E41C65">
        <w:t>;</w:t>
      </w:r>
      <w:r w:rsidR="000C71C7">
        <w:rPr>
          <w:lang w:val="en-GB"/>
        </w:rPr>
        <w:t xml:space="preserve"> </w:t>
      </w:r>
      <w:r w:rsidR="00320449">
        <w:rPr>
          <w:lang w:val="en-GB"/>
        </w:rPr>
        <w:t>(</w:t>
      </w:r>
      <w:r w:rsidRPr="000C71C7">
        <w:rPr>
          <w:b/>
          <w:bCs/>
          <w:lang w:val="en-GB"/>
        </w:rPr>
        <w:t>B</w:t>
      </w:r>
      <w:r w:rsidR="000C71C7" w:rsidRPr="000C71C7">
        <w:rPr>
          <w:b/>
          <w:bCs/>
          <w:lang w:val="en-GB"/>
        </w:rPr>
        <w:t>)</w:t>
      </w:r>
      <w:r w:rsidRPr="221E3605">
        <w:rPr>
          <w:lang w:val="en-GB"/>
        </w:rPr>
        <w:t xml:space="preserve"> </w:t>
      </w:r>
      <w:r w:rsidR="00EE5134">
        <w:rPr>
          <w:lang w:val="en-GB"/>
        </w:rPr>
        <w:t>EDX-spectra</w:t>
      </w:r>
      <w:r w:rsidR="000C71C7">
        <w:rPr>
          <w:lang w:val="en-GB"/>
        </w:rPr>
        <w:t xml:space="preserve"> of prismatic crystals</w:t>
      </w:r>
      <w:r w:rsidRPr="221E3605">
        <w:rPr>
          <w:lang w:val="en-GB"/>
        </w:rPr>
        <w:t xml:space="preserve"> with micrite</w:t>
      </w:r>
      <w:r w:rsidR="000C71C7">
        <w:rPr>
          <w:lang w:val="en-GB"/>
        </w:rPr>
        <w:t xml:space="preserve"> (</w:t>
      </w:r>
      <w:r w:rsidR="000C71C7" w:rsidRPr="000C71C7">
        <w:rPr>
          <w:lang w:val="en-GB"/>
        </w:rPr>
        <w:t>CaCO</w:t>
      </w:r>
      <w:r w:rsidR="000C71C7" w:rsidRPr="000C71C7">
        <w:rPr>
          <w:vertAlign w:val="subscript"/>
          <w:lang w:val="en-GB"/>
        </w:rPr>
        <w:t>3</w:t>
      </w:r>
      <w:r w:rsidR="000C71C7">
        <w:rPr>
          <w:lang w:val="en-GB"/>
        </w:rPr>
        <w:t>)</w:t>
      </w:r>
      <w:r w:rsidRPr="221E3605">
        <w:rPr>
          <w:lang w:val="en-GB"/>
        </w:rPr>
        <w:t xml:space="preserve"> </w:t>
      </w:r>
      <w:r w:rsidR="00220A55">
        <w:rPr>
          <w:lang w:val="en-GB"/>
        </w:rPr>
        <w:t>coatings</w:t>
      </w:r>
      <w:r w:rsidR="00D976A2">
        <w:rPr>
          <w:lang w:val="en-GB"/>
        </w:rPr>
        <w:t xml:space="preserve"> from </w:t>
      </w:r>
      <w:r w:rsidR="00EE5134" w:rsidRPr="00D34316">
        <w:rPr>
          <w:i/>
          <w:iCs/>
          <w:lang w:val="en-GB"/>
        </w:rPr>
        <w:t xml:space="preserve">S. </w:t>
      </w:r>
      <w:proofErr w:type="spellStart"/>
      <w:r w:rsidR="00EE5134" w:rsidRPr="00D34316">
        <w:rPr>
          <w:i/>
          <w:iCs/>
          <w:lang w:val="en-GB"/>
        </w:rPr>
        <w:t>emarginatus</w:t>
      </w:r>
      <w:proofErr w:type="spellEnd"/>
      <w:r w:rsidR="00EE5134">
        <w:rPr>
          <w:lang w:val="en-GB"/>
        </w:rPr>
        <w:t xml:space="preserve"> </w:t>
      </w:r>
      <w:r w:rsidR="00D976A2">
        <w:rPr>
          <w:lang w:val="en-GB"/>
        </w:rPr>
        <w:t>S3</w:t>
      </w:r>
      <w:r w:rsidR="000C71C7">
        <w:rPr>
          <w:lang w:val="en-GB"/>
        </w:rPr>
        <w:t xml:space="preserve">. </w:t>
      </w:r>
    </w:p>
    <w:p w14:paraId="544491AA" w14:textId="699F0301" w:rsidR="009B2538" w:rsidRDefault="1C318612" w:rsidP="221E3605">
      <w:r>
        <w:br w:type="page"/>
      </w:r>
    </w:p>
    <w:p w14:paraId="110ABBED" w14:textId="7CED8DA1" w:rsidR="009B2538" w:rsidRPr="00E41C65" w:rsidRDefault="008055E9" w:rsidP="006B3E4F">
      <w:pPr>
        <w:pStyle w:val="Titre2"/>
        <w:rPr>
          <w:lang w:val="en-GB"/>
        </w:rPr>
      </w:pPr>
      <w:bookmarkStart w:id="8" w:name="_Toc199759375"/>
      <w:proofErr w:type="spellStart"/>
      <w:r w:rsidRPr="00E41C65">
        <w:rPr>
          <w:lang w:val="en-GB"/>
        </w:rPr>
        <w:lastRenderedPageBreak/>
        <w:t>S.</w:t>
      </w:r>
      <w:r w:rsidR="05F870E3" w:rsidRPr="00E41C65">
        <w:rPr>
          <w:lang w:val="en-GB"/>
        </w:rPr>
        <w:t>Fig</w:t>
      </w:r>
      <w:proofErr w:type="spellEnd"/>
      <w:r w:rsidR="05F870E3" w:rsidRPr="00E41C65">
        <w:rPr>
          <w:lang w:val="en-GB"/>
        </w:rPr>
        <w:t xml:space="preserve">. </w:t>
      </w:r>
      <w:r w:rsidR="17E6DE6E" w:rsidRPr="00E41C65">
        <w:rPr>
          <w:lang w:val="en-GB"/>
        </w:rPr>
        <w:t>3</w:t>
      </w:r>
      <w:r w:rsidR="05F870E3" w:rsidRPr="00E41C65">
        <w:rPr>
          <w:lang w:val="en-GB"/>
        </w:rPr>
        <w:t xml:space="preserve"> </w:t>
      </w:r>
      <w:r w:rsidR="00E41C65" w:rsidRPr="00E41C65">
        <w:rPr>
          <w:lang w:val="en-GB"/>
        </w:rPr>
        <w:t>–</w:t>
      </w:r>
      <w:r w:rsidR="006B3E4F">
        <w:rPr>
          <w:lang w:val="en-GB"/>
        </w:rPr>
        <w:t xml:space="preserve"> A</w:t>
      </w:r>
      <w:r w:rsidR="00220A55" w:rsidRPr="00E41C65">
        <w:rPr>
          <w:lang w:val="en-GB"/>
        </w:rPr>
        <w:t xml:space="preserve">bsolute </w:t>
      </w:r>
      <w:r w:rsidR="00E41C65">
        <w:rPr>
          <w:lang w:val="en-GB"/>
        </w:rPr>
        <w:t>amounts</w:t>
      </w:r>
      <w:r w:rsidR="006B3E4F">
        <w:rPr>
          <w:lang w:val="en-GB"/>
        </w:rPr>
        <w:t xml:space="preserve"> of calcium oxalate</w:t>
      </w:r>
      <w:bookmarkEnd w:id="8"/>
    </w:p>
    <w:p w14:paraId="7F203128" w14:textId="6D4F490C" w:rsidR="009B2538" w:rsidRDefault="5D8B2974" w:rsidP="00220A55">
      <w:pPr>
        <w:rPr>
          <w:lang w:val="en-GB"/>
        </w:rPr>
      </w:pPr>
      <w:r>
        <w:rPr>
          <w:noProof/>
        </w:rPr>
        <w:drawing>
          <wp:inline distT="0" distB="0" distL="0" distR="0" wp14:anchorId="2D200565" wp14:editId="74A0BE10">
            <wp:extent cx="5724524" cy="3162300"/>
            <wp:effectExtent l="0" t="0" r="0" b="0"/>
            <wp:docPr id="1068551332" name="Picture 106855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24524" cy="3162300"/>
                    </a:xfrm>
                    <a:prstGeom prst="rect">
                      <a:avLst/>
                    </a:prstGeom>
                  </pic:spPr>
                </pic:pic>
              </a:graphicData>
            </a:graphic>
          </wp:inline>
        </w:drawing>
      </w:r>
      <w:proofErr w:type="spellStart"/>
      <w:r w:rsidR="00220A55">
        <w:rPr>
          <w:b/>
          <w:bCs/>
          <w:lang w:val="en-GB"/>
        </w:rPr>
        <w:t>S.</w:t>
      </w:r>
      <w:r w:rsidR="3C73E35A" w:rsidRPr="00220A55">
        <w:rPr>
          <w:b/>
          <w:bCs/>
          <w:lang w:val="en-GB"/>
        </w:rPr>
        <w:t>Fig</w:t>
      </w:r>
      <w:proofErr w:type="spellEnd"/>
      <w:r w:rsidR="3C73E35A" w:rsidRPr="00220A55">
        <w:rPr>
          <w:b/>
          <w:bCs/>
          <w:lang w:val="en-GB"/>
        </w:rPr>
        <w:t xml:space="preserve">. </w:t>
      </w:r>
      <w:r w:rsidR="17E6DE6E" w:rsidRPr="00220A55">
        <w:rPr>
          <w:b/>
          <w:bCs/>
          <w:lang w:val="en-GB"/>
        </w:rPr>
        <w:t>3</w:t>
      </w:r>
      <w:r w:rsidR="00220A55">
        <w:rPr>
          <w:b/>
          <w:bCs/>
          <w:lang w:val="en-GB"/>
        </w:rPr>
        <w:t>.</w:t>
      </w:r>
      <w:r w:rsidR="3C73E35A" w:rsidRPr="221E3605">
        <w:rPr>
          <w:lang w:val="en-GB"/>
        </w:rPr>
        <w:t xml:space="preserve"> </w:t>
      </w:r>
      <w:r w:rsidR="002921D0" w:rsidRPr="002921D0">
        <w:rPr>
          <w:b/>
          <w:bCs/>
          <w:lang w:val="en-GB"/>
        </w:rPr>
        <w:t xml:space="preserve">Boxplots of </w:t>
      </w:r>
      <w:proofErr w:type="spellStart"/>
      <w:r w:rsidR="002921D0" w:rsidRPr="002921D0">
        <w:rPr>
          <w:b/>
          <w:bCs/>
          <w:lang w:val="en-GB"/>
        </w:rPr>
        <w:t>CaOx</w:t>
      </w:r>
      <w:proofErr w:type="spellEnd"/>
      <w:r w:rsidR="002921D0" w:rsidRPr="002921D0">
        <w:rPr>
          <w:b/>
          <w:bCs/>
          <w:lang w:val="en-GB"/>
        </w:rPr>
        <w:t xml:space="preserve"> </w:t>
      </w:r>
      <w:proofErr w:type="spellStart"/>
      <w:r w:rsidR="002921D0" w:rsidRPr="002921D0">
        <w:rPr>
          <w:b/>
          <w:bCs/>
          <w:lang w:val="en-GB"/>
        </w:rPr>
        <w:t>absolut</w:t>
      </w:r>
      <w:proofErr w:type="spellEnd"/>
      <w:r w:rsidR="002921D0" w:rsidRPr="002921D0">
        <w:rPr>
          <w:b/>
          <w:bCs/>
          <w:lang w:val="en-GB"/>
        </w:rPr>
        <w:t xml:space="preserve"> amounts. </w:t>
      </w:r>
      <w:r w:rsidR="003F3B09">
        <w:rPr>
          <w:lang w:val="en-GB"/>
        </w:rPr>
        <w:t>Absolute quantities of c</w:t>
      </w:r>
      <w:r w:rsidR="00220A55">
        <w:rPr>
          <w:lang w:val="en-GB"/>
        </w:rPr>
        <w:t xml:space="preserve">alcium oxalate monohydrate </w:t>
      </w:r>
      <w:r w:rsidR="00DD229B">
        <w:rPr>
          <w:lang w:val="en-GB"/>
        </w:rPr>
        <w:t>within trees</w:t>
      </w:r>
      <w:r w:rsidR="003F3B09">
        <w:rPr>
          <w:lang w:val="en-GB"/>
        </w:rPr>
        <w:t>,</w:t>
      </w:r>
      <w:r w:rsidR="00DD229B">
        <w:rPr>
          <w:lang w:val="en-GB"/>
        </w:rPr>
        <w:t xml:space="preserve"> adjusted for the biomass of individuals</w:t>
      </w:r>
      <w:r w:rsidR="002921D0">
        <w:rPr>
          <w:lang w:val="en-GB"/>
        </w:rPr>
        <w:t xml:space="preserve"> and</w:t>
      </w:r>
      <w:r w:rsidR="00DD229B">
        <w:rPr>
          <w:lang w:val="en-GB"/>
        </w:rPr>
        <w:t xml:space="preserve"> plotted as </w:t>
      </w:r>
      <w:r w:rsidR="00220A55">
        <w:rPr>
          <w:lang w:val="en-GB"/>
        </w:rPr>
        <w:t>both an average</w:t>
      </w:r>
      <w:r w:rsidR="00DD229B">
        <w:rPr>
          <w:lang w:val="en-GB"/>
        </w:rPr>
        <w:t xml:space="preserve"> of</w:t>
      </w:r>
      <w:r w:rsidR="00EE5134">
        <w:rPr>
          <w:lang w:val="en-GB"/>
        </w:rPr>
        <w:t xml:space="preserve"> </w:t>
      </w:r>
      <w:r w:rsidR="00320449">
        <w:rPr>
          <w:lang w:val="en-GB"/>
        </w:rPr>
        <w:t>(</w:t>
      </w:r>
      <w:r w:rsidR="00EE5134" w:rsidRPr="0026080D">
        <w:rPr>
          <w:b/>
          <w:bCs/>
          <w:lang w:val="en-GB"/>
        </w:rPr>
        <w:t>A</w:t>
      </w:r>
      <w:r w:rsidR="00EE5134">
        <w:rPr>
          <w:b/>
          <w:bCs/>
          <w:lang w:val="en-GB"/>
        </w:rPr>
        <w:t>)</w:t>
      </w:r>
      <w:r w:rsidR="00DD229B">
        <w:rPr>
          <w:lang w:val="en-GB"/>
        </w:rPr>
        <w:t xml:space="preserve"> all tree species and</w:t>
      </w:r>
      <w:r w:rsidR="00220A55">
        <w:rPr>
          <w:lang w:val="en-GB"/>
        </w:rPr>
        <w:t xml:space="preserve"> </w:t>
      </w:r>
      <w:r w:rsidR="00320449">
        <w:rPr>
          <w:lang w:val="en-GB"/>
        </w:rPr>
        <w:t>(</w:t>
      </w:r>
      <w:r w:rsidR="00EE5134" w:rsidRPr="0026080D">
        <w:rPr>
          <w:b/>
          <w:bCs/>
          <w:lang w:val="en-GB"/>
        </w:rPr>
        <w:t>B</w:t>
      </w:r>
      <w:r w:rsidR="00EE5134">
        <w:rPr>
          <w:b/>
          <w:bCs/>
          <w:lang w:val="en-GB"/>
        </w:rPr>
        <w:t>)</w:t>
      </w:r>
      <w:r w:rsidR="00EE5134">
        <w:rPr>
          <w:lang w:val="en-GB"/>
        </w:rPr>
        <w:t xml:space="preserve"> </w:t>
      </w:r>
      <w:r w:rsidR="00220A55">
        <w:rPr>
          <w:lang w:val="en-GB"/>
        </w:rPr>
        <w:t xml:space="preserve">per tree species </w:t>
      </w:r>
      <w:r w:rsidR="3C73E35A" w:rsidRPr="221E3605">
        <w:rPr>
          <w:lang w:val="en-GB"/>
        </w:rPr>
        <w:t>for each organic matter type.</w:t>
      </w:r>
    </w:p>
    <w:p w14:paraId="68AC38AB" w14:textId="77777777" w:rsidR="000A73F2" w:rsidRDefault="000A73F2" w:rsidP="009B2538">
      <w:pPr>
        <w:rPr>
          <w:lang w:val="en-GB"/>
        </w:rPr>
      </w:pPr>
    </w:p>
    <w:p w14:paraId="10148F6D" w14:textId="77777777" w:rsidR="00BA29CB" w:rsidRDefault="00BA29CB">
      <w:pPr>
        <w:spacing w:after="200" w:line="276" w:lineRule="auto"/>
        <w:jc w:val="left"/>
        <w:rPr>
          <w:rFonts w:asciiTheme="majorHAnsi" w:eastAsiaTheme="majorEastAsia" w:hAnsiTheme="majorHAnsi" w:cstheme="majorBidi"/>
          <w:color w:val="365F91" w:themeColor="accent1" w:themeShade="BF"/>
          <w:sz w:val="32"/>
          <w:szCs w:val="32"/>
        </w:rPr>
      </w:pPr>
      <w:r>
        <w:br w:type="page"/>
      </w:r>
    </w:p>
    <w:p w14:paraId="527E0788" w14:textId="620C7C33" w:rsidR="000A73F2" w:rsidRDefault="008055E9" w:rsidP="006B3E4F">
      <w:pPr>
        <w:pStyle w:val="Titre2"/>
      </w:pPr>
      <w:bookmarkStart w:id="9" w:name="_Toc199759376"/>
      <w:proofErr w:type="spellStart"/>
      <w:r>
        <w:lastRenderedPageBreak/>
        <w:t>S.</w:t>
      </w:r>
      <w:r w:rsidR="000A73F2" w:rsidRPr="5EB2F6C4">
        <w:t>Fig</w:t>
      </w:r>
      <w:proofErr w:type="spellEnd"/>
      <w:r w:rsidR="000A73F2" w:rsidRPr="5EB2F6C4">
        <w:t xml:space="preserve">. </w:t>
      </w:r>
      <w:r w:rsidR="00EF577A">
        <w:t>4</w:t>
      </w:r>
      <w:r w:rsidR="000A73F2" w:rsidRPr="5EB2F6C4">
        <w:t xml:space="preserve"> </w:t>
      </w:r>
      <w:r w:rsidR="002921D0">
        <w:t>–</w:t>
      </w:r>
      <w:r w:rsidR="000A73F2" w:rsidRPr="5EB2F6C4">
        <w:t xml:space="preserve"> </w:t>
      </w:r>
      <w:r w:rsidR="002921D0">
        <w:t>Counts of p</w:t>
      </w:r>
      <w:r w:rsidR="00BA29CB">
        <w:t xml:space="preserve">hylum specific </w:t>
      </w:r>
      <w:r w:rsidR="00CE3255">
        <w:t xml:space="preserve">amplicon sequence variants and </w:t>
      </w:r>
      <w:r w:rsidR="00BA29CB">
        <w:t xml:space="preserve">relative abundance </w:t>
      </w:r>
      <w:r w:rsidR="00347215">
        <w:t>according to</w:t>
      </w:r>
      <w:r w:rsidR="00BA29CB">
        <w:t xml:space="preserve"> tree species.</w:t>
      </w:r>
      <w:bookmarkEnd w:id="9"/>
    </w:p>
    <w:p w14:paraId="43F98771" w14:textId="60C502F2" w:rsidR="00BA29CB" w:rsidRPr="00BA29CB" w:rsidRDefault="00BA29CB" w:rsidP="00DC1054">
      <w:pPr>
        <w:jc w:val="center"/>
      </w:pPr>
      <w:r>
        <w:rPr>
          <w:noProof/>
          <w:lang w:val="en-GB"/>
        </w:rPr>
        <w:drawing>
          <wp:inline distT="0" distB="0" distL="0" distR="0" wp14:anchorId="010EFAC0" wp14:editId="67E542D6">
            <wp:extent cx="5117989" cy="6467475"/>
            <wp:effectExtent l="0" t="0" r="6985" b="0"/>
            <wp:docPr id="2759648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60840" cy="6521625"/>
                    </a:xfrm>
                    <a:prstGeom prst="rect">
                      <a:avLst/>
                    </a:prstGeom>
                    <a:noFill/>
                    <a:ln>
                      <a:noFill/>
                    </a:ln>
                  </pic:spPr>
                </pic:pic>
              </a:graphicData>
            </a:graphic>
          </wp:inline>
        </w:drawing>
      </w:r>
    </w:p>
    <w:p w14:paraId="269233D2" w14:textId="6141FD8E" w:rsidR="000A73F2" w:rsidRDefault="00BA29CB" w:rsidP="009B2538">
      <w:pPr>
        <w:rPr>
          <w:lang w:val="en-GB"/>
        </w:rPr>
      </w:pPr>
      <w:proofErr w:type="spellStart"/>
      <w:r w:rsidRPr="00BA29CB">
        <w:rPr>
          <w:b/>
          <w:bCs/>
          <w:lang w:val="en-GB"/>
        </w:rPr>
        <w:t>S.</w:t>
      </w:r>
      <w:r w:rsidR="000A73F2" w:rsidRPr="00BA29CB">
        <w:rPr>
          <w:b/>
          <w:bCs/>
          <w:lang w:val="en-GB"/>
        </w:rPr>
        <w:t>Fig</w:t>
      </w:r>
      <w:proofErr w:type="spellEnd"/>
      <w:r w:rsidR="000A73F2" w:rsidRPr="00BA29CB">
        <w:rPr>
          <w:b/>
          <w:bCs/>
          <w:lang w:val="en-GB"/>
        </w:rPr>
        <w:t xml:space="preserve">. </w:t>
      </w:r>
      <w:r w:rsidR="00EF577A">
        <w:rPr>
          <w:b/>
          <w:bCs/>
          <w:lang w:val="en-GB"/>
        </w:rPr>
        <w:t>4</w:t>
      </w:r>
      <w:r w:rsidR="00BD705C">
        <w:rPr>
          <w:b/>
          <w:bCs/>
          <w:lang w:val="en-GB"/>
        </w:rPr>
        <w:t>.</w:t>
      </w:r>
      <w:r w:rsidR="000A73F2">
        <w:rPr>
          <w:lang w:val="en-GB"/>
        </w:rPr>
        <w:t xml:space="preserve"> </w:t>
      </w:r>
      <w:r w:rsidR="002921D0">
        <w:rPr>
          <w:b/>
          <w:bCs/>
        </w:rPr>
        <w:t>Counts of p</w:t>
      </w:r>
      <w:r w:rsidR="00BD705C" w:rsidRPr="00BA29CB">
        <w:rPr>
          <w:b/>
          <w:bCs/>
        </w:rPr>
        <w:t xml:space="preserve">hylum specific amplicon sequence variants </w:t>
      </w:r>
      <w:r w:rsidR="00BD705C">
        <w:rPr>
          <w:b/>
          <w:bCs/>
        </w:rPr>
        <w:t>(ASV)</w:t>
      </w:r>
      <w:r w:rsidR="00BD705C" w:rsidRPr="00BA29CB">
        <w:rPr>
          <w:b/>
          <w:bCs/>
        </w:rPr>
        <w:t xml:space="preserve"> and </w:t>
      </w:r>
      <w:r w:rsidR="002921D0">
        <w:rPr>
          <w:b/>
          <w:bCs/>
        </w:rPr>
        <w:t xml:space="preserve">their </w:t>
      </w:r>
      <w:r w:rsidR="00BD705C" w:rsidRPr="00BA29CB">
        <w:rPr>
          <w:b/>
          <w:bCs/>
        </w:rPr>
        <w:t xml:space="preserve">relative abundance </w:t>
      </w:r>
      <w:r w:rsidR="00BD705C">
        <w:rPr>
          <w:b/>
          <w:bCs/>
        </w:rPr>
        <w:t xml:space="preserve">(%) </w:t>
      </w:r>
      <w:r w:rsidR="00347215">
        <w:rPr>
          <w:b/>
          <w:bCs/>
        </w:rPr>
        <w:t>according to</w:t>
      </w:r>
      <w:r w:rsidR="00BD705C" w:rsidRPr="00BA29CB">
        <w:rPr>
          <w:b/>
          <w:bCs/>
        </w:rPr>
        <w:t xml:space="preserve"> </w:t>
      </w:r>
      <w:r w:rsidR="00BD705C">
        <w:rPr>
          <w:b/>
          <w:bCs/>
        </w:rPr>
        <w:t>tree species</w:t>
      </w:r>
      <w:r w:rsidR="00BD705C" w:rsidRPr="00BA29CB">
        <w:rPr>
          <w:b/>
          <w:bCs/>
        </w:rPr>
        <w:t>.</w:t>
      </w:r>
      <w:r w:rsidR="00BD705C">
        <w:rPr>
          <w:b/>
          <w:bCs/>
        </w:rPr>
        <w:t xml:space="preserve"> </w:t>
      </w:r>
      <w:r w:rsidR="00EE5134">
        <w:t>Samples are listed with the tree sampled (D</w:t>
      </w:r>
      <w:r w:rsidR="00292EF5">
        <w:t xml:space="preserve"> - </w:t>
      </w:r>
      <w:r w:rsidR="00EE5134" w:rsidRPr="004D460C">
        <w:rPr>
          <w:i/>
          <w:iCs/>
        </w:rPr>
        <w:t>Diospyros ebenum</w:t>
      </w:r>
      <w:r w:rsidR="00EE5134">
        <w:t>; L</w:t>
      </w:r>
      <w:r w:rsidR="00292EF5">
        <w:t xml:space="preserve"> </w:t>
      </w:r>
      <w:proofErr w:type="gramStart"/>
      <w:r w:rsidR="00292EF5">
        <w:t xml:space="preserve">- </w:t>
      </w:r>
      <w:r w:rsidR="00EE5134">
        <w:t xml:space="preserve"> </w:t>
      </w:r>
      <w:proofErr w:type="spellStart"/>
      <w:r w:rsidR="00EE5134" w:rsidRPr="007B1E0A">
        <w:rPr>
          <w:i/>
          <w:iCs/>
          <w:lang w:val="en-GB"/>
        </w:rPr>
        <w:t>Lepisanthes</w:t>
      </w:r>
      <w:proofErr w:type="spellEnd"/>
      <w:proofErr w:type="gramEnd"/>
      <w:r w:rsidR="00EE5134" w:rsidRPr="007B1E0A">
        <w:rPr>
          <w:i/>
          <w:iCs/>
          <w:lang w:val="en-GB"/>
        </w:rPr>
        <w:t xml:space="preserve"> </w:t>
      </w:r>
      <w:proofErr w:type="spellStart"/>
      <w:r w:rsidR="00EE5134" w:rsidRPr="007B1E0A">
        <w:rPr>
          <w:i/>
          <w:iCs/>
          <w:lang w:val="en-GB"/>
        </w:rPr>
        <w:t>tetraphylla</w:t>
      </w:r>
      <w:proofErr w:type="spellEnd"/>
      <w:r w:rsidR="00EE5134">
        <w:t>; S</w:t>
      </w:r>
      <w:r w:rsidR="00292EF5">
        <w:t xml:space="preserve"> - </w:t>
      </w:r>
      <w:proofErr w:type="spellStart"/>
      <w:r w:rsidR="00EE5134" w:rsidRPr="007B1E0A">
        <w:rPr>
          <w:i/>
          <w:iCs/>
          <w:lang w:val="en-GB"/>
        </w:rPr>
        <w:t>Sapindus</w:t>
      </w:r>
      <w:proofErr w:type="spellEnd"/>
      <w:r w:rsidR="00EE5134" w:rsidRPr="007B1E0A">
        <w:rPr>
          <w:i/>
          <w:iCs/>
          <w:lang w:val="en-GB"/>
        </w:rPr>
        <w:t xml:space="preserve"> </w:t>
      </w:r>
      <w:proofErr w:type="spellStart"/>
      <w:r w:rsidR="00EE5134" w:rsidRPr="007B1E0A">
        <w:rPr>
          <w:i/>
          <w:iCs/>
          <w:lang w:val="en-GB"/>
        </w:rPr>
        <w:t>emarginatus</w:t>
      </w:r>
      <w:proofErr w:type="spellEnd"/>
      <w:r w:rsidR="00EE5134">
        <w:rPr>
          <w:lang w:val="en-GB"/>
        </w:rPr>
        <w:t>)</w:t>
      </w:r>
      <w:r w:rsidR="00EE5134">
        <w:t xml:space="preserve"> and then the sample type</w:t>
      </w:r>
      <w:r w:rsidR="00292EF5">
        <w:t xml:space="preserve"> (SC - control soil; L - litter; R - roots; SA - adjacent soil; SR - rhizosphere soil)</w:t>
      </w:r>
      <w:r w:rsidR="00EE5134">
        <w:t>.</w:t>
      </w:r>
    </w:p>
    <w:p w14:paraId="56CBE805" w14:textId="17193005" w:rsidR="00BA29CB" w:rsidRDefault="008055E9" w:rsidP="006B3E4F">
      <w:pPr>
        <w:pStyle w:val="Titre2"/>
      </w:pPr>
      <w:bookmarkStart w:id="10" w:name="_Toc199759377"/>
      <w:proofErr w:type="spellStart"/>
      <w:r>
        <w:lastRenderedPageBreak/>
        <w:t>S.</w:t>
      </w:r>
      <w:r w:rsidR="00BA29CB" w:rsidRPr="5EB2F6C4">
        <w:t>Fig</w:t>
      </w:r>
      <w:proofErr w:type="spellEnd"/>
      <w:r w:rsidR="00BA29CB" w:rsidRPr="5EB2F6C4">
        <w:t xml:space="preserve">. </w:t>
      </w:r>
      <w:r w:rsidR="009A6F75">
        <w:t>5</w:t>
      </w:r>
      <w:r w:rsidR="00BA29CB" w:rsidRPr="5EB2F6C4">
        <w:t xml:space="preserve"> </w:t>
      </w:r>
      <w:r w:rsidR="002921D0">
        <w:t>–</w:t>
      </w:r>
      <w:r w:rsidR="00BA29CB" w:rsidRPr="5EB2F6C4">
        <w:t xml:space="preserve"> </w:t>
      </w:r>
      <w:r w:rsidR="002921D0">
        <w:t>Count of p</w:t>
      </w:r>
      <w:r w:rsidR="00BA29CB">
        <w:t xml:space="preserve">hylum specific amplicon sequence variants and relative abundance </w:t>
      </w:r>
      <w:r w:rsidR="00347215">
        <w:t>according to</w:t>
      </w:r>
      <w:r w:rsidR="00BA29CB">
        <w:t xml:space="preserve"> </w:t>
      </w:r>
      <w:r w:rsidR="006B3E4F">
        <w:t xml:space="preserve">organic matter or soil </w:t>
      </w:r>
      <w:r w:rsidR="0065583C">
        <w:t>samples</w:t>
      </w:r>
      <w:bookmarkEnd w:id="10"/>
    </w:p>
    <w:p w14:paraId="3CC61E19" w14:textId="25B632A1" w:rsidR="00DD6DFE" w:rsidRDefault="009D0437" w:rsidP="00DC1054">
      <w:pPr>
        <w:jc w:val="center"/>
        <w:rPr>
          <w:lang w:val="en-GB"/>
        </w:rPr>
      </w:pPr>
      <w:r>
        <w:rPr>
          <w:noProof/>
          <w:lang w:val="en-GB"/>
        </w:rPr>
        <w:drawing>
          <wp:inline distT="0" distB="0" distL="0" distR="0" wp14:anchorId="2D471FB4" wp14:editId="7936ED4E">
            <wp:extent cx="5091393" cy="6562725"/>
            <wp:effectExtent l="0" t="0" r="0" b="0"/>
            <wp:docPr id="14105637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9383" cy="6573024"/>
                    </a:xfrm>
                    <a:prstGeom prst="rect">
                      <a:avLst/>
                    </a:prstGeom>
                    <a:noFill/>
                    <a:ln>
                      <a:noFill/>
                    </a:ln>
                  </pic:spPr>
                </pic:pic>
              </a:graphicData>
            </a:graphic>
          </wp:inline>
        </w:drawing>
      </w:r>
    </w:p>
    <w:p w14:paraId="5ACFC32C" w14:textId="7F724164" w:rsidR="00BA29CB" w:rsidRPr="00F042A6" w:rsidRDefault="00BA29CB" w:rsidP="00BA29CB">
      <w:pPr>
        <w:rPr>
          <w:lang w:val="en-GB"/>
        </w:rPr>
      </w:pPr>
      <w:proofErr w:type="spellStart"/>
      <w:r w:rsidRPr="00BA29CB">
        <w:rPr>
          <w:b/>
          <w:bCs/>
          <w:lang w:val="en-GB"/>
        </w:rPr>
        <w:t>S.Fig</w:t>
      </w:r>
      <w:proofErr w:type="spellEnd"/>
      <w:r w:rsidRPr="00BA29CB">
        <w:rPr>
          <w:b/>
          <w:bCs/>
          <w:lang w:val="en-GB"/>
        </w:rPr>
        <w:t xml:space="preserve">. </w:t>
      </w:r>
      <w:r w:rsidR="009A6F75">
        <w:rPr>
          <w:b/>
          <w:bCs/>
          <w:lang w:val="en-GB"/>
        </w:rPr>
        <w:t>5</w:t>
      </w:r>
      <w:r>
        <w:rPr>
          <w:b/>
          <w:bCs/>
          <w:lang w:val="en-GB"/>
        </w:rPr>
        <w:t>.</w:t>
      </w:r>
      <w:r w:rsidR="002921D0">
        <w:rPr>
          <w:lang w:val="en-GB"/>
        </w:rPr>
        <w:t xml:space="preserve"> </w:t>
      </w:r>
      <w:r w:rsidR="002921D0" w:rsidRPr="002921D0">
        <w:rPr>
          <w:b/>
          <w:bCs/>
          <w:lang w:val="en-GB"/>
        </w:rPr>
        <w:t>Counts of</w:t>
      </w:r>
      <w:r w:rsidR="002921D0">
        <w:rPr>
          <w:lang w:val="en-GB"/>
        </w:rPr>
        <w:t xml:space="preserve"> </w:t>
      </w:r>
      <w:r w:rsidR="0026080D" w:rsidRPr="00BA29CB">
        <w:rPr>
          <w:b/>
          <w:bCs/>
        </w:rPr>
        <w:t>phylum</w:t>
      </w:r>
      <w:r w:rsidRPr="00BA29CB">
        <w:rPr>
          <w:b/>
          <w:bCs/>
        </w:rPr>
        <w:t xml:space="preserve"> specific amplicon sequence variants </w:t>
      </w:r>
      <w:r>
        <w:rPr>
          <w:b/>
          <w:bCs/>
        </w:rPr>
        <w:t>(ASV)</w:t>
      </w:r>
      <w:r w:rsidRPr="00BA29CB">
        <w:rPr>
          <w:b/>
          <w:bCs/>
        </w:rPr>
        <w:t xml:space="preserve"> and relative abundance </w:t>
      </w:r>
      <w:r>
        <w:rPr>
          <w:b/>
          <w:bCs/>
        </w:rPr>
        <w:t xml:space="preserve">(%) </w:t>
      </w:r>
      <w:r w:rsidR="00347215">
        <w:rPr>
          <w:b/>
          <w:bCs/>
        </w:rPr>
        <w:t>according to</w:t>
      </w:r>
      <w:r w:rsidRPr="00BA29CB">
        <w:rPr>
          <w:b/>
          <w:bCs/>
        </w:rPr>
        <w:t xml:space="preserve"> </w:t>
      </w:r>
      <w:r>
        <w:rPr>
          <w:b/>
          <w:bCs/>
        </w:rPr>
        <w:t>sample type</w:t>
      </w:r>
      <w:r w:rsidR="00347215">
        <w:rPr>
          <w:b/>
          <w:bCs/>
        </w:rPr>
        <w:t>s</w:t>
      </w:r>
      <w:r w:rsidRPr="00BA29CB">
        <w:rPr>
          <w:b/>
          <w:bCs/>
        </w:rPr>
        <w:t>.</w:t>
      </w:r>
      <w:r w:rsidR="00F042A6">
        <w:rPr>
          <w:b/>
          <w:bCs/>
        </w:rPr>
        <w:t xml:space="preserve"> </w:t>
      </w:r>
      <w:r w:rsidR="00EE5134" w:rsidRPr="0026080D">
        <w:t xml:space="preserve">Symbols as in </w:t>
      </w:r>
      <w:proofErr w:type="spellStart"/>
      <w:r w:rsidR="00EE5134" w:rsidRPr="0026080D">
        <w:t>S.Fig</w:t>
      </w:r>
      <w:proofErr w:type="spellEnd"/>
      <w:r w:rsidR="00EE5134" w:rsidRPr="0026080D">
        <w:t>. 4.</w:t>
      </w:r>
    </w:p>
    <w:p w14:paraId="59BAE0C2" w14:textId="77777777" w:rsidR="00BA29CB" w:rsidRPr="00DD6DFE" w:rsidRDefault="00BA29CB" w:rsidP="00DD6DFE">
      <w:pPr>
        <w:rPr>
          <w:lang w:val="en-GB"/>
        </w:rPr>
      </w:pPr>
    </w:p>
    <w:bookmarkEnd w:id="3"/>
    <w:bookmarkEnd w:id="4"/>
    <w:bookmarkEnd w:id="5"/>
    <w:bookmarkEnd w:id="6"/>
    <w:bookmarkEnd w:id="7"/>
    <w:p w14:paraId="1DAFBC3F" w14:textId="77777777" w:rsidR="00DC6154" w:rsidRDefault="00DC6154" w:rsidP="221E3605">
      <w:pPr>
        <w:pStyle w:val="Titre1"/>
        <w:rPr>
          <w:lang w:val="en-GB"/>
        </w:rPr>
        <w:sectPr w:rsidR="00DC6154" w:rsidSect="00BA29CB">
          <w:footerReference w:type="default" r:id="rId15"/>
          <w:pgSz w:w="11906" w:h="16838"/>
          <w:pgMar w:top="1440" w:right="1440" w:bottom="1440" w:left="1440" w:header="708" w:footer="708" w:gutter="0"/>
          <w:cols w:space="708"/>
          <w:docGrid w:linePitch="360"/>
        </w:sectPr>
      </w:pPr>
    </w:p>
    <w:p w14:paraId="1F0DC0F1" w14:textId="06D0B0F1" w:rsidR="00F134D0" w:rsidRPr="00F134D0" w:rsidRDefault="008055E9" w:rsidP="0065583C">
      <w:pPr>
        <w:pStyle w:val="Titre2"/>
      </w:pPr>
      <w:bookmarkStart w:id="11" w:name="_Toc199759378"/>
      <w:proofErr w:type="spellStart"/>
      <w:r>
        <w:lastRenderedPageBreak/>
        <w:t>S.</w:t>
      </w:r>
      <w:r w:rsidR="00F134D0" w:rsidRPr="5EB2F6C4">
        <w:t>Fig</w:t>
      </w:r>
      <w:proofErr w:type="spellEnd"/>
      <w:r w:rsidR="00F134D0" w:rsidRPr="5EB2F6C4">
        <w:t xml:space="preserve">. </w:t>
      </w:r>
      <w:r w:rsidR="009A6F75">
        <w:t>6</w:t>
      </w:r>
      <w:r w:rsidR="00F134D0" w:rsidRPr="5EB2F6C4">
        <w:t xml:space="preserve"> - </w:t>
      </w:r>
      <w:r w:rsidR="00F134D0">
        <w:t xml:space="preserve">Genus specific relative abundance </w:t>
      </w:r>
      <w:r w:rsidR="00347215">
        <w:t>according to</w:t>
      </w:r>
      <w:r w:rsidR="00F134D0">
        <w:t xml:space="preserve"> tree species and sample type</w:t>
      </w:r>
      <w:r w:rsidR="00347215">
        <w:t>s</w:t>
      </w:r>
      <w:bookmarkEnd w:id="11"/>
    </w:p>
    <w:p w14:paraId="4CF4A17B" w14:textId="12E31451" w:rsidR="00BA29CB" w:rsidRDefault="002F12F2" w:rsidP="00DC1054">
      <w:pPr>
        <w:jc w:val="center"/>
        <w:rPr>
          <w:lang w:val="en-GB"/>
        </w:rPr>
      </w:pPr>
      <w:r>
        <w:rPr>
          <w:noProof/>
        </w:rPr>
        <w:drawing>
          <wp:inline distT="0" distB="0" distL="0" distR="0" wp14:anchorId="5ADAA862" wp14:editId="2C714057">
            <wp:extent cx="7523162" cy="4829175"/>
            <wp:effectExtent l="0" t="0" r="1905" b="0"/>
            <wp:docPr id="13205433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553098" cy="4848391"/>
                    </a:xfrm>
                    <a:prstGeom prst="rect">
                      <a:avLst/>
                    </a:prstGeom>
                    <a:noFill/>
                    <a:ln>
                      <a:noFill/>
                    </a:ln>
                  </pic:spPr>
                </pic:pic>
              </a:graphicData>
            </a:graphic>
          </wp:inline>
        </w:drawing>
      </w:r>
    </w:p>
    <w:p w14:paraId="127CD766" w14:textId="23197857" w:rsidR="00F134D0" w:rsidRPr="00F042A6" w:rsidRDefault="00F134D0" w:rsidP="00F134D0">
      <w:pPr>
        <w:rPr>
          <w:lang w:val="en-GB"/>
        </w:rPr>
      </w:pPr>
      <w:proofErr w:type="spellStart"/>
      <w:r w:rsidRPr="00BA29CB">
        <w:rPr>
          <w:b/>
          <w:bCs/>
          <w:lang w:val="en-GB"/>
        </w:rPr>
        <w:t>S.Fig</w:t>
      </w:r>
      <w:proofErr w:type="spellEnd"/>
      <w:r w:rsidRPr="00BA29CB">
        <w:rPr>
          <w:b/>
          <w:bCs/>
          <w:lang w:val="en-GB"/>
        </w:rPr>
        <w:t xml:space="preserve">. </w:t>
      </w:r>
      <w:r w:rsidR="009A6F75">
        <w:rPr>
          <w:b/>
          <w:bCs/>
          <w:lang w:val="en-GB"/>
        </w:rPr>
        <w:t>6</w:t>
      </w:r>
      <w:r>
        <w:rPr>
          <w:b/>
          <w:bCs/>
          <w:lang w:val="en-GB"/>
        </w:rPr>
        <w:t>.</w:t>
      </w:r>
      <w:r>
        <w:rPr>
          <w:lang w:val="en-GB"/>
        </w:rPr>
        <w:t xml:space="preserve"> </w:t>
      </w:r>
      <w:r w:rsidRPr="00F134D0">
        <w:rPr>
          <w:b/>
          <w:bCs/>
        </w:rPr>
        <w:t xml:space="preserve">Genus specific relative abundance (%) </w:t>
      </w:r>
      <w:r w:rsidR="00347215">
        <w:rPr>
          <w:b/>
          <w:bCs/>
        </w:rPr>
        <w:t>according to</w:t>
      </w:r>
      <w:r w:rsidRPr="00F134D0">
        <w:rPr>
          <w:b/>
          <w:bCs/>
        </w:rPr>
        <w:t xml:space="preserve"> tree species and sample type</w:t>
      </w:r>
      <w:r w:rsidR="00347215">
        <w:rPr>
          <w:b/>
          <w:bCs/>
        </w:rPr>
        <w:t>s</w:t>
      </w:r>
      <w:r w:rsidRPr="00F134D0">
        <w:rPr>
          <w:b/>
          <w:bCs/>
        </w:rPr>
        <w:t>.</w:t>
      </w:r>
      <w:r>
        <w:rPr>
          <w:b/>
          <w:bCs/>
        </w:rPr>
        <w:t xml:space="preserve"> </w:t>
      </w:r>
      <w:r w:rsidR="00292EF5">
        <w:t xml:space="preserve">Symbols as in </w:t>
      </w:r>
      <w:proofErr w:type="spellStart"/>
      <w:r w:rsidR="00292EF5">
        <w:t>S.Fig</w:t>
      </w:r>
      <w:proofErr w:type="spellEnd"/>
      <w:r w:rsidR="00292EF5">
        <w:t>. 4</w:t>
      </w:r>
      <w:r w:rsidR="00347215">
        <w:t>.</w:t>
      </w:r>
      <w:r>
        <w:t xml:space="preserve"> </w:t>
      </w:r>
    </w:p>
    <w:p w14:paraId="7A20F976" w14:textId="77777777" w:rsidR="00DC1054" w:rsidRDefault="00DC1054" w:rsidP="00DC1054">
      <w:pPr>
        <w:pStyle w:val="Titre1"/>
        <w:sectPr w:rsidR="00DC1054" w:rsidSect="00DC6154">
          <w:headerReference w:type="default" r:id="rId17"/>
          <w:footerReference w:type="default" r:id="rId18"/>
          <w:pgSz w:w="16838" w:h="11906" w:orient="landscape"/>
          <w:pgMar w:top="1440" w:right="1440" w:bottom="1440" w:left="1440" w:header="708" w:footer="708" w:gutter="0"/>
          <w:cols w:space="708"/>
          <w:docGrid w:linePitch="360"/>
        </w:sectPr>
      </w:pPr>
    </w:p>
    <w:p w14:paraId="26CE4C8B" w14:textId="42EA1A20" w:rsidR="00DC1054" w:rsidRPr="0065583C" w:rsidRDefault="008055E9" w:rsidP="0065583C">
      <w:pPr>
        <w:pStyle w:val="Titre2"/>
      </w:pPr>
      <w:bookmarkStart w:id="12" w:name="_Toc199759379"/>
      <w:proofErr w:type="spellStart"/>
      <w:r>
        <w:lastRenderedPageBreak/>
        <w:t>S.</w:t>
      </w:r>
      <w:r w:rsidR="00DC1054" w:rsidRPr="0001395F">
        <w:t>Fig</w:t>
      </w:r>
      <w:proofErr w:type="spellEnd"/>
      <w:r w:rsidR="00DC1054" w:rsidRPr="0001395F">
        <w:t xml:space="preserve">. </w:t>
      </w:r>
      <w:r w:rsidR="009A6F75">
        <w:t>7</w:t>
      </w:r>
      <w:r w:rsidR="00DC1054" w:rsidRPr="0001395F">
        <w:t xml:space="preserve"> - Alpha diversity metrics</w:t>
      </w:r>
      <w:bookmarkEnd w:id="12"/>
    </w:p>
    <w:p w14:paraId="1EA6D565" w14:textId="7091234A" w:rsidR="001D01C2" w:rsidRDefault="00A856DD" w:rsidP="00A856DD">
      <w:pPr>
        <w:jc w:val="center"/>
        <w:rPr>
          <w:lang w:val="en-GB"/>
        </w:rPr>
      </w:pPr>
      <w:r>
        <w:rPr>
          <w:noProof/>
        </w:rPr>
        <w:drawing>
          <wp:inline distT="0" distB="0" distL="0" distR="0" wp14:anchorId="7989B3E1" wp14:editId="769DF4AA">
            <wp:extent cx="5172075" cy="6649905"/>
            <wp:effectExtent l="0" t="0" r="0" b="0"/>
            <wp:docPr id="10550056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74106" cy="6652516"/>
                    </a:xfrm>
                    <a:prstGeom prst="rect">
                      <a:avLst/>
                    </a:prstGeom>
                    <a:noFill/>
                    <a:ln>
                      <a:noFill/>
                    </a:ln>
                  </pic:spPr>
                </pic:pic>
              </a:graphicData>
            </a:graphic>
          </wp:inline>
        </w:drawing>
      </w:r>
    </w:p>
    <w:p w14:paraId="7B30FABD" w14:textId="6E54AADA" w:rsidR="001E309F" w:rsidRPr="00F042A6" w:rsidRDefault="001E309F" w:rsidP="001E309F">
      <w:pPr>
        <w:rPr>
          <w:lang w:val="en-GB"/>
        </w:rPr>
      </w:pPr>
      <w:proofErr w:type="spellStart"/>
      <w:r w:rsidRPr="00BA29CB">
        <w:rPr>
          <w:b/>
          <w:bCs/>
          <w:lang w:val="en-GB"/>
        </w:rPr>
        <w:t>S.Fig</w:t>
      </w:r>
      <w:proofErr w:type="spellEnd"/>
      <w:r w:rsidRPr="00BA29CB">
        <w:rPr>
          <w:b/>
          <w:bCs/>
          <w:lang w:val="en-GB"/>
        </w:rPr>
        <w:t xml:space="preserve">. </w:t>
      </w:r>
      <w:r w:rsidR="009A6F75">
        <w:rPr>
          <w:b/>
          <w:bCs/>
          <w:lang w:val="en-GB"/>
        </w:rPr>
        <w:t>7</w:t>
      </w:r>
      <w:r>
        <w:rPr>
          <w:b/>
          <w:bCs/>
          <w:lang w:val="en-GB"/>
        </w:rPr>
        <w:t>.</w:t>
      </w:r>
      <w:r>
        <w:rPr>
          <w:lang w:val="en-GB"/>
        </w:rPr>
        <w:t xml:space="preserve"> </w:t>
      </w:r>
      <w:r>
        <w:rPr>
          <w:b/>
          <w:bCs/>
        </w:rPr>
        <w:t>Alpha diversity metrics</w:t>
      </w:r>
      <w:r w:rsidR="004C2022">
        <w:rPr>
          <w:b/>
          <w:bCs/>
        </w:rPr>
        <w:t xml:space="preserve"> including</w:t>
      </w:r>
      <w:r w:rsidR="00B60B3B">
        <w:rPr>
          <w:b/>
          <w:bCs/>
        </w:rPr>
        <w:t xml:space="preserve"> amplicon sequence variants </w:t>
      </w:r>
      <w:r w:rsidR="00320449">
        <w:rPr>
          <w:b/>
          <w:bCs/>
        </w:rPr>
        <w:t>(</w:t>
      </w:r>
      <w:r w:rsidR="00292EF5">
        <w:rPr>
          <w:b/>
          <w:bCs/>
        </w:rPr>
        <w:t xml:space="preserve">A) </w:t>
      </w:r>
      <w:r w:rsidR="00B60B3B">
        <w:rPr>
          <w:b/>
          <w:bCs/>
        </w:rPr>
        <w:t xml:space="preserve">richness, </w:t>
      </w:r>
      <w:r w:rsidR="00320449">
        <w:rPr>
          <w:b/>
          <w:bCs/>
        </w:rPr>
        <w:t>(</w:t>
      </w:r>
      <w:r w:rsidR="00292EF5">
        <w:rPr>
          <w:b/>
          <w:bCs/>
        </w:rPr>
        <w:t xml:space="preserve">B) </w:t>
      </w:r>
      <w:r w:rsidR="0057183F">
        <w:rPr>
          <w:b/>
          <w:bCs/>
        </w:rPr>
        <w:t>Shannon</w:t>
      </w:r>
      <w:r w:rsidR="006D7710">
        <w:rPr>
          <w:b/>
          <w:bCs/>
        </w:rPr>
        <w:t xml:space="preserve">, and </w:t>
      </w:r>
      <w:r w:rsidR="00320449">
        <w:rPr>
          <w:b/>
          <w:bCs/>
        </w:rPr>
        <w:t>(</w:t>
      </w:r>
      <w:r w:rsidR="00292EF5">
        <w:rPr>
          <w:b/>
          <w:bCs/>
        </w:rPr>
        <w:t xml:space="preserve">C) </w:t>
      </w:r>
      <w:r w:rsidR="006D7710">
        <w:rPr>
          <w:b/>
          <w:bCs/>
        </w:rPr>
        <w:t>Simpson</w:t>
      </w:r>
      <w:r w:rsidR="0057183F">
        <w:rPr>
          <w:b/>
          <w:bCs/>
        </w:rPr>
        <w:t xml:space="preserve"> diversity ind</w:t>
      </w:r>
      <w:r w:rsidR="004D460C">
        <w:rPr>
          <w:b/>
          <w:bCs/>
        </w:rPr>
        <w:t>i</w:t>
      </w:r>
      <w:r w:rsidR="00C53F38">
        <w:rPr>
          <w:b/>
          <w:bCs/>
        </w:rPr>
        <w:t>ces</w:t>
      </w:r>
      <w:r w:rsidR="006D7710">
        <w:rPr>
          <w:b/>
          <w:bCs/>
        </w:rPr>
        <w:t xml:space="preserve"> </w:t>
      </w:r>
      <w:r w:rsidR="00C53F38">
        <w:rPr>
          <w:b/>
          <w:bCs/>
        </w:rPr>
        <w:t>according to</w:t>
      </w:r>
      <w:r>
        <w:rPr>
          <w:b/>
          <w:bCs/>
        </w:rPr>
        <w:t xml:space="preserve"> sample type</w:t>
      </w:r>
      <w:r w:rsidR="00C53F38">
        <w:rPr>
          <w:b/>
          <w:bCs/>
        </w:rPr>
        <w:t>s</w:t>
      </w:r>
      <w:r w:rsidRPr="00F134D0">
        <w:rPr>
          <w:b/>
          <w:bCs/>
        </w:rPr>
        <w:t>.</w:t>
      </w:r>
      <w:r w:rsidR="006B3C71" w:rsidRPr="006B3C71">
        <w:rPr>
          <w:lang w:val="en-GB"/>
        </w:rPr>
        <w:t xml:space="preserve"> </w:t>
      </w:r>
      <w:r w:rsidR="006B3C71" w:rsidRPr="003A51CD">
        <w:rPr>
          <w:lang w:val="en-GB"/>
        </w:rPr>
        <w:t>The midline in the box plot represents the median, box extents are the 1</w:t>
      </w:r>
      <w:r w:rsidR="006B3C71" w:rsidRPr="003A51CD">
        <w:rPr>
          <w:vertAlign w:val="superscript"/>
          <w:lang w:val="en-GB"/>
        </w:rPr>
        <w:t>st</w:t>
      </w:r>
      <w:r w:rsidR="006B3C71" w:rsidRPr="003A51CD">
        <w:rPr>
          <w:lang w:val="en-GB"/>
        </w:rPr>
        <w:t xml:space="preserve"> and 3</w:t>
      </w:r>
      <w:r w:rsidR="006B3C71" w:rsidRPr="003A51CD">
        <w:rPr>
          <w:vertAlign w:val="superscript"/>
          <w:lang w:val="en-GB"/>
        </w:rPr>
        <w:t>rd</w:t>
      </w:r>
      <w:r w:rsidR="006B3C71" w:rsidRPr="003A51CD">
        <w:rPr>
          <w:lang w:val="en-GB"/>
        </w:rPr>
        <w:t xml:space="preserve"> quartiles, and whiskers reach 1.5 times the inter-quartile range, while the dots represent outliers, outside of this range.</w:t>
      </w:r>
    </w:p>
    <w:p w14:paraId="36E104E0" w14:textId="77777777" w:rsidR="00DC1054" w:rsidRDefault="00DC1054" w:rsidP="001D01C2">
      <w:pPr>
        <w:rPr>
          <w:lang w:val="en-GB"/>
        </w:rPr>
      </w:pPr>
    </w:p>
    <w:p w14:paraId="1648B03D" w14:textId="77777777" w:rsidR="0001395F" w:rsidRDefault="0001395F" w:rsidP="0001395F">
      <w:pPr>
        <w:pStyle w:val="Titre1"/>
        <w:sectPr w:rsidR="0001395F" w:rsidSect="00DC1054">
          <w:headerReference w:type="default" r:id="rId20"/>
          <w:footerReference w:type="default" r:id="rId21"/>
          <w:pgSz w:w="11906" w:h="16838"/>
          <w:pgMar w:top="1440" w:right="1440" w:bottom="1440" w:left="1440" w:header="708" w:footer="708" w:gutter="0"/>
          <w:cols w:space="708"/>
          <w:docGrid w:linePitch="360"/>
        </w:sectPr>
      </w:pPr>
    </w:p>
    <w:p w14:paraId="3543D2D6" w14:textId="531756BE" w:rsidR="007F2AFA" w:rsidRDefault="008055E9" w:rsidP="0065583C">
      <w:pPr>
        <w:pStyle w:val="Titre2"/>
        <w:rPr>
          <w:lang w:val="en-GB"/>
        </w:rPr>
      </w:pPr>
      <w:bookmarkStart w:id="13" w:name="_Toc199759380"/>
      <w:proofErr w:type="spellStart"/>
      <w:r>
        <w:lastRenderedPageBreak/>
        <w:t>S.</w:t>
      </w:r>
      <w:r w:rsidR="0001395F" w:rsidRPr="00F93D3D">
        <w:t>Fig</w:t>
      </w:r>
      <w:proofErr w:type="spellEnd"/>
      <w:r w:rsidR="0001395F" w:rsidRPr="00F93D3D">
        <w:t xml:space="preserve">. </w:t>
      </w:r>
      <w:r w:rsidR="009A6F75">
        <w:t>8</w:t>
      </w:r>
      <w:r w:rsidR="0001395F" w:rsidRPr="00F93D3D">
        <w:t xml:space="preserve"> - </w:t>
      </w:r>
      <w:r w:rsidR="0035269F" w:rsidRPr="003A51CD">
        <w:rPr>
          <w:lang w:val="en-GB"/>
        </w:rPr>
        <w:t xml:space="preserve">Non-metric </w:t>
      </w:r>
      <w:r w:rsidR="001D7261">
        <w:rPr>
          <w:lang w:val="en-GB"/>
        </w:rPr>
        <w:t>m</w:t>
      </w:r>
      <w:r w:rsidR="0035269F" w:rsidRPr="003A51CD">
        <w:rPr>
          <w:lang w:val="en-GB"/>
        </w:rPr>
        <w:t xml:space="preserve">ultidimensional </w:t>
      </w:r>
      <w:r w:rsidR="001D7261">
        <w:rPr>
          <w:lang w:val="en-GB"/>
        </w:rPr>
        <w:t>s</w:t>
      </w:r>
      <w:r w:rsidR="0035269F" w:rsidRPr="003A51CD">
        <w:rPr>
          <w:lang w:val="en-GB"/>
        </w:rPr>
        <w:t xml:space="preserve">caling </w:t>
      </w:r>
      <w:r w:rsidR="0035269F">
        <w:rPr>
          <w:lang w:val="en-GB"/>
        </w:rPr>
        <w:t xml:space="preserve">analysis </w:t>
      </w:r>
      <w:r w:rsidR="00F93D3D">
        <w:rPr>
          <w:lang w:val="en-GB"/>
        </w:rPr>
        <w:t>of</w:t>
      </w:r>
      <w:r w:rsidR="001D7261">
        <w:rPr>
          <w:lang w:val="en-GB"/>
        </w:rPr>
        <w:t xml:space="preserve"> the</w:t>
      </w:r>
      <w:r w:rsidR="00F93D3D">
        <w:rPr>
          <w:lang w:val="en-GB"/>
        </w:rPr>
        <w:t xml:space="preserve"> beta diversi</w:t>
      </w:r>
      <w:r w:rsidR="002A46E0">
        <w:rPr>
          <w:lang w:val="en-GB"/>
        </w:rPr>
        <w:t>ty between samples of different tree species and different sample types</w:t>
      </w:r>
      <w:bookmarkEnd w:id="13"/>
    </w:p>
    <w:p w14:paraId="6E782EFC" w14:textId="05FC2CE5" w:rsidR="009D0437" w:rsidRPr="00F93D3D" w:rsidRDefault="009D0437" w:rsidP="007F2AFA">
      <w:pPr>
        <w:jc w:val="center"/>
        <w:rPr>
          <w:lang w:val="en-GB"/>
        </w:rPr>
      </w:pPr>
      <w:r w:rsidRPr="00F93D3D">
        <w:rPr>
          <w:noProof/>
          <w:lang w:val="en-GB"/>
        </w:rPr>
        <w:drawing>
          <wp:inline distT="0" distB="0" distL="0" distR="0" wp14:anchorId="517BEF27" wp14:editId="548B625E">
            <wp:extent cx="6581775" cy="3869863"/>
            <wp:effectExtent l="0" t="0" r="0" b="0"/>
            <wp:docPr id="19675079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618549" cy="3891485"/>
                    </a:xfrm>
                    <a:prstGeom prst="rect">
                      <a:avLst/>
                    </a:prstGeom>
                    <a:noFill/>
                    <a:ln>
                      <a:noFill/>
                    </a:ln>
                  </pic:spPr>
                </pic:pic>
              </a:graphicData>
            </a:graphic>
          </wp:inline>
        </w:drawing>
      </w:r>
    </w:p>
    <w:p w14:paraId="428460C7" w14:textId="6B8177E6" w:rsidR="00696007" w:rsidRDefault="0001395F" w:rsidP="0001395F">
      <w:pPr>
        <w:sectPr w:rsidR="00696007" w:rsidSect="0001395F">
          <w:headerReference w:type="default" r:id="rId23"/>
          <w:footerReference w:type="default" r:id="rId24"/>
          <w:pgSz w:w="16838" w:h="11906" w:orient="landscape"/>
          <w:pgMar w:top="1440" w:right="1440" w:bottom="1440" w:left="1440" w:header="708" w:footer="708" w:gutter="0"/>
          <w:cols w:space="708"/>
          <w:docGrid w:linePitch="360"/>
        </w:sectPr>
      </w:pPr>
      <w:proofErr w:type="spellStart"/>
      <w:r w:rsidRPr="4C2EB26E">
        <w:rPr>
          <w:b/>
        </w:rPr>
        <w:t>S.Fig</w:t>
      </w:r>
      <w:proofErr w:type="spellEnd"/>
      <w:r w:rsidRPr="4C2EB26E">
        <w:rPr>
          <w:b/>
        </w:rPr>
        <w:t xml:space="preserve">. </w:t>
      </w:r>
      <w:r w:rsidR="009A6F75" w:rsidRPr="4C2EB26E">
        <w:rPr>
          <w:b/>
        </w:rPr>
        <w:t>8</w:t>
      </w:r>
      <w:r w:rsidRPr="4C2EB26E">
        <w:rPr>
          <w:b/>
        </w:rPr>
        <w:t>.</w:t>
      </w:r>
      <w:r w:rsidRPr="4C2EB26E">
        <w:t xml:space="preserve"> </w:t>
      </w:r>
      <w:r w:rsidR="002A46E0" w:rsidRPr="4C2EB26E">
        <w:rPr>
          <w:b/>
        </w:rPr>
        <w:t xml:space="preserve">Non-metric </w:t>
      </w:r>
      <w:r w:rsidR="001D7261" w:rsidRPr="4C2EB26E">
        <w:rPr>
          <w:b/>
        </w:rPr>
        <w:t>m</w:t>
      </w:r>
      <w:r w:rsidR="002A46E0" w:rsidRPr="4C2EB26E">
        <w:rPr>
          <w:b/>
        </w:rPr>
        <w:t xml:space="preserve">ultidimensional </w:t>
      </w:r>
      <w:r w:rsidR="001D7261" w:rsidRPr="4C2EB26E">
        <w:rPr>
          <w:b/>
        </w:rPr>
        <w:t>s</w:t>
      </w:r>
      <w:r w:rsidR="002A46E0" w:rsidRPr="4C2EB26E">
        <w:rPr>
          <w:b/>
        </w:rPr>
        <w:t xml:space="preserve">caling analysis </w:t>
      </w:r>
      <w:r w:rsidR="00C53F38">
        <w:rPr>
          <w:b/>
        </w:rPr>
        <w:t xml:space="preserve">based on </w:t>
      </w:r>
      <w:r w:rsidR="007A4982">
        <w:rPr>
          <w:b/>
        </w:rPr>
        <w:t>microbial</w:t>
      </w:r>
      <w:r w:rsidR="00C53F38">
        <w:rPr>
          <w:b/>
        </w:rPr>
        <w:t xml:space="preserve"> communities</w:t>
      </w:r>
      <w:r w:rsidR="002A46E0" w:rsidRPr="4C2EB26E">
        <w:rPr>
          <w:b/>
        </w:rPr>
        <w:t xml:space="preserve"> </w:t>
      </w:r>
      <w:r w:rsidR="00C53F38">
        <w:rPr>
          <w:b/>
        </w:rPr>
        <w:t>in</w:t>
      </w:r>
      <w:r w:rsidR="00C53F38" w:rsidRPr="4C2EB26E">
        <w:rPr>
          <w:b/>
        </w:rPr>
        <w:t xml:space="preserve"> </w:t>
      </w:r>
      <w:r w:rsidR="002A46E0" w:rsidRPr="4C2EB26E">
        <w:rPr>
          <w:b/>
        </w:rPr>
        <w:t>samples of different tree species and different sample types</w:t>
      </w:r>
      <w:r w:rsidR="002A46E0" w:rsidRPr="4C2EB26E">
        <w:t>.</w:t>
      </w:r>
      <w:r w:rsidR="009A6F75" w:rsidRPr="4C2EB26E">
        <w:t xml:space="preserve"> The ellipses represent the 95 % confidence interval </w:t>
      </w:r>
      <w:r w:rsidR="00D74406" w:rsidRPr="4C2EB26E">
        <w:t xml:space="preserve">of the </w:t>
      </w:r>
      <w:r w:rsidR="007A4982">
        <w:t>mean</w:t>
      </w:r>
      <w:r w:rsidR="00D74406" w:rsidRPr="4C2EB26E">
        <w:t xml:space="preserve"> values</w:t>
      </w:r>
      <w:r w:rsidR="001D7261" w:rsidRPr="4C2EB26E">
        <w:t xml:space="preserve"> for each group, being either species or sample type</w:t>
      </w:r>
      <w:r w:rsidR="00D74406" w:rsidRPr="4C2EB26E">
        <w:t>.</w:t>
      </w:r>
      <w:r w:rsidR="00BD10D8">
        <w:t xml:space="preserve"> </w:t>
      </w:r>
      <w:r w:rsidR="002215BE">
        <w:t>L</w:t>
      </w:r>
      <w:r w:rsidR="00BD10D8">
        <w:t>arge dot</w:t>
      </w:r>
      <w:r w:rsidR="00C53F38">
        <w:t>s</w:t>
      </w:r>
      <w:r w:rsidR="00BD10D8">
        <w:t xml:space="preserve"> localize the center of the ellipses.</w:t>
      </w:r>
      <w:r w:rsidR="00D74406" w:rsidRPr="4C2EB26E">
        <w:t xml:space="preserve"> </w:t>
      </w:r>
    </w:p>
    <w:p w14:paraId="141EA4FA" w14:textId="4C98FBC2" w:rsidR="007F2AFA" w:rsidRDefault="008055E9" w:rsidP="0065583C">
      <w:pPr>
        <w:pStyle w:val="Titre2"/>
        <w:rPr>
          <w:lang w:val="en-GB"/>
        </w:rPr>
      </w:pPr>
      <w:bookmarkStart w:id="14" w:name="_Toc199759381"/>
      <w:proofErr w:type="spellStart"/>
      <w:r>
        <w:lastRenderedPageBreak/>
        <w:t>S.</w:t>
      </w:r>
      <w:r w:rsidR="007F2AFA" w:rsidRPr="00F93D3D">
        <w:t>Fig</w:t>
      </w:r>
      <w:proofErr w:type="spellEnd"/>
      <w:r w:rsidR="007F2AFA" w:rsidRPr="00F93D3D">
        <w:t xml:space="preserve">. </w:t>
      </w:r>
      <w:r w:rsidR="00D74406">
        <w:t>9</w:t>
      </w:r>
      <w:r w:rsidR="007F2AFA" w:rsidRPr="00F93D3D">
        <w:t xml:space="preserve"> - </w:t>
      </w:r>
      <w:r w:rsidR="007F2AFA">
        <w:rPr>
          <w:lang w:val="en-GB"/>
        </w:rPr>
        <w:t xml:space="preserve">Soil pH </w:t>
      </w:r>
      <w:r w:rsidR="0065583C">
        <w:rPr>
          <w:lang w:val="en-GB"/>
        </w:rPr>
        <w:t xml:space="preserve">of the different sampling </w:t>
      </w:r>
      <w:r w:rsidR="00CB67BA">
        <w:rPr>
          <w:lang w:val="en-GB"/>
        </w:rPr>
        <w:t>sites</w:t>
      </w:r>
      <w:r w:rsidR="0023276B">
        <w:rPr>
          <w:lang w:val="en-GB"/>
        </w:rPr>
        <w:t xml:space="preserve"> and parent material</w:t>
      </w:r>
      <w:r w:rsidR="00CB67BA">
        <w:rPr>
          <w:lang w:val="en-GB"/>
        </w:rPr>
        <w:t>s</w:t>
      </w:r>
      <w:bookmarkEnd w:id="14"/>
    </w:p>
    <w:p w14:paraId="4D7FC99A" w14:textId="7B797E79" w:rsidR="007F2AFA" w:rsidRPr="007F2AFA" w:rsidRDefault="00B57C5B" w:rsidP="1395FB11">
      <w:pPr>
        <w:jc w:val="center"/>
        <w:rPr>
          <w:lang w:val="en-GB"/>
        </w:rPr>
      </w:pPr>
      <w:r>
        <w:rPr>
          <w:noProof/>
          <w:lang w:val="en-GB"/>
        </w:rPr>
        <w:drawing>
          <wp:inline distT="0" distB="0" distL="0" distR="0" wp14:anchorId="6C56152A" wp14:editId="4E362AC4">
            <wp:extent cx="3530167" cy="3343275"/>
            <wp:effectExtent l="0" t="0" r="0" b="0"/>
            <wp:docPr id="7494237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40107" cy="3352688"/>
                    </a:xfrm>
                    <a:prstGeom prst="rect">
                      <a:avLst/>
                    </a:prstGeom>
                    <a:noFill/>
                    <a:ln>
                      <a:noFill/>
                    </a:ln>
                  </pic:spPr>
                </pic:pic>
              </a:graphicData>
            </a:graphic>
          </wp:inline>
        </w:drawing>
      </w:r>
    </w:p>
    <w:p w14:paraId="2CE6A3E9" w14:textId="272AF843" w:rsidR="00696007" w:rsidRDefault="007F2AFA" w:rsidP="00696007">
      <w:pPr>
        <w:jc w:val="center"/>
        <w:rPr>
          <w:rFonts w:eastAsia="Times New Roman"/>
          <w:b/>
          <w:bCs/>
          <w:color w:val="000000" w:themeColor="text1"/>
          <w:szCs w:val="20"/>
          <w:lang w:val="en-GB"/>
        </w:rPr>
        <w:sectPr w:rsidR="00696007" w:rsidSect="00696007">
          <w:pgSz w:w="11906" w:h="16838"/>
          <w:pgMar w:top="1440" w:right="1440" w:bottom="1440" w:left="1440" w:header="708" w:footer="708" w:gutter="0"/>
          <w:cols w:space="708"/>
          <w:docGrid w:linePitch="360"/>
        </w:sectPr>
      </w:pPr>
      <w:proofErr w:type="spellStart"/>
      <w:r w:rsidRPr="1395FB11">
        <w:rPr>
          <w:b/>
          <w:bCs/>
          <w:lang w:val="en-GB"/>
        </w:rPr>
        <w:t>S.Fig</w:t>
      </w:r>
      <w:proofErr w:type="spellEnd"/>
      <w:r w:rsidRPr="1395FB11">
        <w:rPr>
          <w:b/>
          <w:bCs/>
          <w:lang w:val="en-GB"/>
        </w:rPr>
        <w:t xml:space="preserve">. </w:t>
      </w:r>
      <w:r w:rsidR="00D74406" w:rsidRPr="1395FB11">
        <w:rPr>
          <w:b/>
          <w:bCs/>
          <w:lang w:val="en-GB"/>
        </w:rPr>
        <w:t>9</w:t>
      </w:r>
      <w:r w:rsidRPr="1395FB11">
        <w:rPr>
          <w:b/>
          <w:bCs/>
          <w:lang w:val="en-GB"/>
        </w:rPr>
        <w:t xml:space="preserve">. </w:t>
      </w:r>
      <w:r w:rsidR="6747E987" w:rsidRPr="1395FB11">
        <w:rPr>
          <w:rFonts w:eastAsia="Times New Roman"/>
          <w:b/>
          <w:bCs/>
          <w:color w:val="000000" w:themeColor="text1"/>
          <w:szCs w:val="20"/>
          <w:lang w:val="en-GB"/>
        </w:rPr>
        <w:t>Soil pH measured in 1</w:t>
      </w:r>
      <w:r w:rsidR="6747E987" w:rsidRPr="1395FB11">
        <w:rPr>
          <w:rFonts w:eastAsia="Times New Roman"/>
          <w:b/>
          <w:bCs/>
          <w:i/>
          <w:iCs/>
          <w:color w:val="000000" w:themeColor="text1"/>
          <w:szCs w:val="20"/>
          <w:lang w:val="en-GB"/>
        </w:rPr>
        <w:t xml:space="preserve"> M </w:t>
      </w:r>
      <w:r w:rsidR="6747E987" w:rsidRPr="1395FB11">
        <w:rPr>
          <w:rFonts w:eastAsia="Times New Roman"/>
          <w:b/>
          <w:bCs/>
          <w:color w:val="000000" w:themeColor="text1"/>
          <w:szCs w:val="20"/>
          <w:lang w:val="en-GB"/>
        </w:rPr>
        <w:t xml:space="preserve">potassium chloride by site and by parent material (red = </w:t>
      </w:r>
      <w:proofErr w:type="spellStart"/>
      <w:r w:rsidR="6747E987" w:rsidRPr="1395FB11">
        <w:rPr>
          <w:rFonts w:eastAsia="Times New Roman"/>
          <w:b/>
          <w:bCs/>
          <w:color w:val="000000" w:themeColor="text1"/>
          <w:szCs w:val="20"/>
          <w:lang w:val="en-GB"/>
        </w:rPr>
        <w:t>Cuddalore</w:t>
      </w:r>
      <w:proofErr w:type="spellEnd"/>
      <w:r w:rsidR="6747E987" w:rsidRPr="1395FB11">
        <w:rPr>
          <w:rFonts w:eastAsia="Times New Roman"/>
          <w:b/>
          <w:bCs/>
          <w:color w:val="000000" w:themeColor="text1"/>
          <w:szCs w:val="20"/>
          <w:lang w:val="en-GB"/>
        </w:rPr>
        <w:t xml:space="preserve"> </w:t>
      </w:r>
      <w:r w:rsidR="00292EF5">
        <w:rPr>
          <w:rFonts w:eastAsia="Times New Roman"/>
          <w:b/>
          <w:bCs/>
          <w:color w:val="000000" w:themeColor="text1"/>
          <w:szCs w:val="20"/>
          <w:lang w:val="en-GB"/>
        </w:rPr>
        <w:t>s</w:t>
      </w:r>
      <w:r w:rsidR="6747E987" w:rsidRPr="1395FB11">
        <w:rPr>
          <w:rFonts w:eastAsia="Times New Roman"/>
          <w:b/>
          <w:bCs/>
          <w:color w:val="000000" w:themeColor="text1"/>
          <w:szCs w:val="20"/>
          <w:lang w:val="en-GB"/>
        </w:rPr>
        <w:t>andstone; brown = Alluvium).</w:t>
      </w:r>
    </w:p>
    <w:p w14:paraId="0B88D79E" w14:textId="25F159BC" w:rsidR="007F2AFA" w:rsidRDefault="008055E9" w:rsidP="0065583C">
      <w:pPr>
        <w:pStyle w:val="Titre2"/>
        <w:rPr>
          <w:lang w:val="en-GB"/>
        </w:rPr>
      </w:pPr>
      <w:bookmarkStart w:id="15" w:name="_Toc199759382"/>
      <w:proofErr w:type="spellStart"/>
      <w:r>
        <w:lastRenderedPageBreak/>
        <w:t>S.</w:t>
      </w:r>
      <w:r w:rsidR="007F2AFA" w:rsidRPr="00F93D3D">
        <w:t>Fig</w:t>
      </w:r>
      <w:proofErr w:type="spellEnd"/>
      <w:r w:rsidR="007F2AFA" w:rsidRPr="00F93D3D">
        <w:t xml:space="preserve">. </w:t>
      </w:r>
      <w:r w:rsidR="00D74406">
        <w:t>10</w:t>
      </w:r>
      <w:r w:rsidR="007F2AFA" w:rsidRPr="00F93D3D">
        <w:t xml:space="preserve"> - </w:t>
      </w:r>
      <w:r w:rsidR="0023276B">
        <w:rPr>
          <w:lang w:val="en-GB"/>
        </w:rPr>
        <w:t>Principal component analysis o</w:t>
      </w:r>
      <w:r w:rsidR="00460488">
        <w:rPr>
          <w:lang w:val="en-GB"/>
        </w:rPr>
        <w:t>n</w:t>
      </w:r>
      <w:r w:rsidR="0023276B">
        <w:rPr>
          <w:lang w:val="en-GB"/>
        </w:rPr>
        <w:t xml:space="preserve"> bulk soil </w:t>
      </w:r>
      <w:r w:rsidR="00460488">
        <w:rPr>
          <w:lang w:val="en-GB"/>
        </w:rPr>
        <w:t>variables</w:t>
      </w:r>
      <w:bookmarkEnd w:id="15"/>
    </w:p>
    <w:p w14:paraId="0232495E" w14:textId="77777777" w:rsidR="009A4B42" w:rsidRDefault="009A4B42" w:rsidP="009A4B42">
      <w:pPr>
        <w:jc w:val="center"/>
        <w:rPr>
          <w:b/>
          <w:bCs/>
          <w:lang w:val="en-GB"/>
        </w:rPr>
      </w:pPr>
      <w:r>
        <w:rPr>
          <w:noProof/>
        </w:rPr>
        <w:drawing>
          <wp:inline distT="0" distB="0" distL="0" distR="0" wp14:anchorId="2AEA9FF9" wp14:editId="06763854">
            <wp:extent cx="6360289" cy="3763342"/>
            <wp:effectExtent l="0" t="0" r="2540" b="8890"/>
            <wp:docPr id="16629549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386513" cy="3778858"/>
                    </a:xfrm>
                    <a:prstGeom prst="rect">
                      <a:avLst/>
                    </a:prstGeom>
                    <a:noFill/>
                    <a:ln>
                      <a:noFill/>
                    </a:ln>
                  </pic:spPr>
                </pic:pic>
              </a:graphicData>
            </a:graphic>
          </wp:inline>
        </w:drawing>
      </w:r>
    </w:p>
    <w:p w14:paraId="47D891AD" w14:textId="754227D2" w:rsidR="1395FB11" w:rsidRPr="008807ED" w:rsidRDefault="007F2AFA">
      <w:pPr>
        <w:rPr>
          <w:lang w:val="en-GB"/>
        </w:rPr>
      </w:pPr>
      <w:proofErr w:type="spellStart"/>
      <w:r w:rsidRPr="00F93D3D">
        <w:rPr>
          <w:b/>
          <w:bCs/>
          <w:lang w:val="en-GB"/>
        </w:rPr>
        <w:t>S.Fig</w:t>
      </w:r>
      <w:proofErr w:type="spellEnd"/>
      <w:r w:rsidRPr="00F93D3D">
        <w:rPr>
          <w:b/>
          <w:bCs/>
          <w:lang w:val="en-GB"/>
        </w:rPr>
        <w:t xml:space="preserve">. </w:t>
      </w:r>
      <w:r w:rsidR="00D74406">
        <w:rPr>
          <w:b/>
          <w:bCs/>
          <w:lang w:val="en-GB"/>
        </w:rPr>
        <w:t>10</w:t>
      </w:r>
      <w:r w:rsidRPr="00F93D3D">
        <w:rPr>
          <w:b/>
          <w:bCs/>
          <w:lang w:val="en-GB"/>
        </w:rPr>
        <w:t>.</w:t>
      </w:r>
      <w:r w:rsidRPr="00F93D3D">
        <w:rPr>
          <w:lang w:val="en-GB"/>
        </w:rPr>
        <w:t xml:space="preserve"> </w:t>
      </w:r>
      <w:r w:rsidR="00B57C5B">
        <w:rPr>
          <w:b/>
          <w:bCs/>
          <w:lang w:val="en-GB"/>
        </w:rPr>
        <w:t>Principal</w:t>
      </w:r>
      <w:r w:rsidR="00656ED0">
        <w:rPr>
          <w:b/>
          <w:bCs/>
          <w:lang w:val="en-GB"/>
        </w:rPr>
        <w:t xml:space="preserve"> component analysis </w:t>
      </w:r>
      <w:r w:rsidR="00ED2152">
        <w:rPr>
          <w:b/>
          <w:bCs/>
          <w:lang w:val="en-GB"/>
        </w:rPr>
        <w:t xml:space="preserve">(PCA) </w:t>
      </w:r>
      <w:r w:rsidR="00656ED0">
        <w:rPr>
          <w:b/>
          <w:bCs/>
          <w:lang w:val="en-GB"/>
        </w:rPr>
        <w:t xml:space="preserve">on the </w:t>
      </w:r>
      <w:r w:rsidR="00B57C5B">
        <w:rPr>
          <w:b/>
          <w:bCs/>
          <w:lang w:val="en-GB"/>
        </w:rPr>
        <w:t xml:space="preserve">correlation matrix </w:t>
      </w:r>
      <w:r w:rsidR="00CB67BA">
        <w:rPr>
          <w:b/>
          <w:bCs/>
          <w:lang w:val="en-GB"/>
        </w:rPr>
        <w:t>highlightin</w:t>
      </w:r>
      <w:r w:rsidR="00B57C5B">
        <w:rPr>
          <w:b/>
          <w:bCs/>
          <w:lang w:val="en-GB"/>
        </w:rPr>
        <w:t xml:space="preserve">g the similarities </w:t>
      </w:r>
      <w:r w:rsidR="00CB67BA">
        <w:rPr>
          <w:b/>
          <w:bCs/>
          <w:lang w:val="en-GB"/>
        </w:rPr>
        <w:t>among</w:t>
      </w:r>
      <w:r w:rsidR="00B57C5B">
        <w:rPr>
          <w:b/>
          <w:bCs/>
          <w:lang w:val="en-GB"/>
        </w:rPr>
        <w:t xml:space="preserve"> parent materials </w:t>
      </w:r>
      <w:r w:rsidR="00CB67BA">
        <w:rPr>
          <w:b/>
          <w:bCs/>
          <w:lang w:val="en-GB"/>
        </w:rPr>
        <w:t>based on</w:t>
      </w:r>
      <w:r w:rsidR="00B57C5B">
        <w:rPr>
          <w:b/>
          <w:bCs/>
          <w:lang w:val="en-GB"/>
        </w:rPr>
        <w:t xml:space="preserve"> soil </w:t>
      </w:r>
      <w:r w:rsidR="000C2845">
        <w:rPr>
          <w:b/>
          <w:bCs/>
          <w:lang w:val="en-GB"/>
        </w:rPr>
        <w:t>variables</w:t>
      </w:r>
      <w:r w:rsidR="00B57C5B">
        <w:rPr>
          <w:b/>
          <w:bCs/>
          <w:lang w:val="en-GB"/>
        </w:rPr>
        <w:t xml:space="preserve">. </w:t>
      </w:r>
      <w:bookmarkStart w:id="16" w:name="OLE_LINK7"/>
      <w:bookmarkStart w:id="17" w:name="OLE_LINK8"/>
      <w:r w:rsidR="007D4DD9">
        <w:rPr>
          <w:b/>
          <w:bCs/>
          <w:lang w:val="en-GB"/>
        </w:rPr>
        <w:t xml:space="preserve">Left: </w:t>
      </w:r>
      <w:r w:rsidR="007D4DD9">
        <w:rPr>
          <w:lang w:val="en-GB"/>
        </w:rPr>
        <w:t xml:space="preserve">ellipses indicate regions where the probability that sample distributions differ within the Euclidian space is statistically significant at </w:t>
      </w:r>
      <w:r w:rsidR="007D4DD9" w:rsidRPr="007D4DD9">
        <w:rPr>
          <w:i/>
          <w:iCs/>
          <w:lang w:val="en-GB"/>
        </w:rPr>
        <w:t>α</w:t>
      </w:r>
      <w:r w:rsidR="007D4DD9">
        <w:rPr>
          <w:lang w:val="en-GB"/>
        </w:rPr>
        <w:t>=0.05.</w:t>
      </w:r>
      <w:bookmarkEnd w:id="16"/>
      <w:bookmarkEnd w:id="17"/>
      <w:r w:rsidR="007D4DD9">
        <w:rPr>
          <w:lang w:val="en-GB"/>
        </w:rPr>
        <w:t xml:space="preserve"> </w:t>
      </w:r>
      <w:r w:rsidR="007D4DD9" w:rsidRPr="003446B2">
        <w:rPr>
          <w:b/>
          <w:bCs/>
          <w:lang w:val="en-GB"/>
        </w:rPr>
        <w:t>Right:</w:t>
      </w:r>
      <w:r w:rsidR="007D4DD9">
        <w:rPr>
          <w:lang w:val="en-GB"/>
        </w:rPr>
        <w:t xml:space="preserve"> circle of correlations of variables with principal components 1 and 2. </w:t>
      </w:r>
      <w:r w:rsidR="00ED2152">
        <w:rPr>
          <w:lang w:val="en-GB"/>
        </w:rPr>
        <w:t xml:space="preserve">See </w:t>
      </w:r>
      <w:proofErr w:type="spellStart"/>
      <w:proofErr w:type="gramStart"/>
      <w:r w:rsidR="00ED2152">
        <w:rPr>
          <w:lang w:val="en-GB"/>
        </w:rPr>
        <w:t>S.Methods</w:t>
      </w:r>
      <w:proofErr w:type="spellEnd"/>
      <w:proofErr w:type="gramEnd"/>
      <w:r w:rsidR="00ED2152">
        <w:rPr>
          <w:lang w:val="en-GB"/>
        </w:rPr>
        <w:t xml:space="preserve"> section for more details on the PCA analysis.</w:t>
      </w:r>
      <w:r w:rsidR="009A4B42">
        <w:rPr>
          <w:lang w:val="en-GB"/>
        </w:rPr>
        <w:t xml:space="preserve"> CaCO</w:t>
      </w:r>
      <w:r w:rsidR="009A4B42" w:rsidRPr="009A4B42">
        <w:rPr>
          <w:vertAlign w:val="subscript"/>
          <w:lang w:val="en-GB"/>
        </w:rPr>
        <w:t xml:space="preserve">3 </w:t>
      </w:r>
      <w:r w:rsidR="009A4B42">
        <w:rPr>
          <w:lang w:val="en-GB"/>
        </w:rPr>
        <w:t>– calcium carbonate; Exch Al – Exchangeable aluminium; Exch Ca – Exchangeable calcium; Exch K – Exchangeable potassium; Exch Mg – Exchangeable magnesium; pH; SOC – soil organic carbon; Tot Al – Tot aluminium; Tot Ca – Total calcium; Tot K – Total potassium; Tot Mg – Total magnesium; Tot N – Total nitrogen; Tot P – Total potassium; Tot Si – Total silicon.</w:t>
      </w:r>
    </w:p>
    <w:p w14:paraId="2FD316DB" w14:textId="3B9EFF8C" w:rsidR="71F28DED" w:rsidRDefault="71F28DED" w:rsidP="0065583C">
      <w:pPr>
        <w:pStyle w:val="Titre2"/>
      </w:pPr>
      <w:bookmarkStart w:id="18" w:name="_Toc199759383"/>
      <w:proofErr w:type="spellStart"/>
      <w:r>
        <w:lastRenderedPageBreak/>
        <w:t>S.Fig</w:t>
      </w:r>
      <w:proofErr w:type="spellEnd"/>
      <w:r>
        <w:t xml:space="preserve">. 11 - </w:t>
      </w:r>
      <w:r w:rsidR="3680D48D">
        <w:t>X-ray fluorescence</w:t>
      </w:r>
      <w:r>
        <w:t xml:space="preserve"> </w:t>
      </w:r>
      <w:r w:rsidR="0F904304">
        <w:t xml:space="preserve">of </w:t>
      </w:r>
      <w:r w:rsidR="007D4DD9">
        <w:t>eight major</w:t>
      </w:r>
      <w:r w:rsidR="0F904304">
        <w:t xml:space="preserve"> elements by site and parent material</w:t>
      </w:r>
      <w:bookmarkEnd w:id="18"/>
    </w:p>
    <w:p w14:paraId="53A33423" w14:textId="3C9BDFFF" w:rsidR="007F2AFA" w:rsidRDefault="008807ED" w:rsidP="001A7C60">
      <w:pPr>
        <w:spacing w:after="200" w:line="276" w:lineRule="auto"/>
        <w:jc w:val="center"/>
        <w:rPr>
          <w:lang w:val="en-GB"/>
        </w:rPr>
      </w:pPr>
      <w:r>
        <w:rPr>
          <w:noProof/>
          <w:lang w:val="en-GB"/>
        </w:rPr>
        <w:drawing>
          <wp:inline distT="0" distB="0" distL="0" distR="0" wp14:anchorId="7F3C7925" wp14:editId="128163BB">
            <wp:extent cx="8849995" cy="3808592"/>
            <wp:effectExtent l="0" t="0" r="8255" b="1905"/>
            <wp:docPr id="118339711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2045"/>
                    <a:stretch/>
                  </pic:blipFill>
                  <pic:spPr bwMode="auto">
                    <a:xfrm>
                      <a:off x="0" y="0"/>
                      <a:ext cx="8849995" cy="3808592"/>
                    </a:xfrm>
                    <a:prstGeom prst="rect">
                      <a:avLst/>
                    </a:prstGeom>
                    <a:noFill/>
                    <a:ln>
                      <a:noFill/>
                    </a:ln>
                    <a:extLst>
                      <a:ext uri="{53640926-AAD7-44D8-BBD7-CCE9431645EC}">
                        <a14:shadowObscured xmlns:a14="http://schemas.microsoft.com/office/drawing/2010/main"/>
                      </a:ext>
                    </a:extLst>
                  </pic:spPr>
                </pic:pic>
              </a:graphicData>
            </a:graphic>
          </wp:inline>
        </w:drawing>
      </w:r>
    </w:p>
    <w:p w14:paraId="25C71CDA" w14:textId="2A291E25" w:rsidR="5AD96C64" w:rsidRDefault="3366D1EE" w:rsidP="00315331">
      <w:proofErr w:type="spellStart"/>
      <w:r w:rsidRPr="1395FB11">
        <w:rPr>
          <w:b/>
          <w:bCs/>
          <w:lang w:val="en-GB"/>
        </w:rPr>
        <w:t>S.Fig</w:t>
      </w:r>
      <w:proofErr w:type="spellEnd"/>
      <w:r w:rsidRPr="1395FB11">
        <w:rPr>
          <w:b/>
          <w:bCs/>
          <w:lang w:val="en-GB"/>
        </w:rPr>
        <w:t>. 11.</w:t>
      </w:r>
      <w:r w:rsidR="007D4DD9" w:rsidRPr="007D4DD9">
        <w:rPr>
          <w:b/>
          <w:bCs/>
          <w:lang w:val="en-GB"/>
        </w:rPr>
        <w:t xml:space="preserve"> </w:t>
      </w:r>
      <w:r w:rsidR="007D4DD9">
        <w:rPr>
          <w:b/>
          <w:bCs/>
          <w:lang w:val="en-GB"/>
        </w:rPr>
        <w:t xml:space="preserve">Concentrations in height </w:t>
      </w:r>
      <w:r w:rsidR="007D4DD9" w:rsidRPr="00655A1D">
        <w:rPr>
          <w:b/>
          <w:bCs/>
          <w:lang w:val="en-GB"/>
        </w:rPr>
        <w:t>major elements</w:t>
      </w:r>
      <w:r w:rsidR="007D4DD9">
        <w:rPr>
          <w:b/>
          <w:bCs/>
          <w:lang w:val="en-GB"/>
        </w:rPr>
        <w:t xml:space="preserve"> (measured using </w:t>
      </w:r>
      <w:r w:rsidR="007D4DD9" w:rsidRPr="00655A1D">
        <w:rPr>
          <w:b/>
          <w:bCs/>
          <w:lang w:val="en-GB"/>
        </w:rPr>
        <w:t>X-ray fluorescence</w:t>
      </w:r>
      <w:r w:rsidR="007D4DD9" w:rsidRPr="007D4DD9">
        <w:rPr>
          <w:b/>
          <w:bCs/>
          <w:lang w:val="en-GB"/>
        </w:rPr>
        <w:t xml:space="preserve">) by </w:t>
      </w:r>
      <w:r w:rsidR="0BFB8A48" w:rsidRPr="007D4DD9">
        <w:rPr>
          <w:rFonts w:eastAsia="Times New Roman"/>
          <w:b/>
          <w:bCs/>
          <w:color w:val="000000" w:themeColor="text1"/>
          <w:lang w:val="en-GB"/>
        </w:rPr>
        <w:t>site</w:t>
      </w:r>
      <w:r w:rsidR="0BFB8A48" w:rsidRPr="00655A1D">
        <w:rPr>
          <w:rFonts w:eastAsia="Times New Roman"/>
          <w:b/>
          <w:bCs/>
          <w:color w:val="000000" w:themeColor="text1"/>
          <w:lang w:val="en-GB"/>
        </w:rPr>
        <w:t xml:space="preserve"> and by parent material</w:t>
      </w:r>
      <w:r w:rsidR="0BFB8A48" w:rsidRPr="5DE1374E">
        <w:rPr>
          <w:rFonts w:eastAsia="Times New Roman"/>
          <w:color w:val="000000" w:themeColor="text1"/>
          <w:lang w:val="en-GB"/>
        </w:rPr>
        <w:t xml:space="preserve"> (red = </w:t>
      </w:r>
      <w:proofErr w:type="spellStart"/>
      <w:r w:rsidR="0BFB8A48" w:rsidRPr="5DE1374E">
        <w:rPr>
          <w:rFonts w:eastAsia="Times New Roman"/>
          <w:color w:val="000000" w:themeColor="text1"/>
          <w:lang w:val="en-GB"/>
        </w:rPr>
        <w:t>Cuddalore</w:t>
      </w:r>
      <w:proofErr w:type="spellEnd"/>
      <w:r w:rsidR="0BFB8A48" w:rsidRPr="5DE1374E">
        <w:rPr>
          <w:rFonts w:eastAsia="Times New Roman"/>
          <w:color w:val="000000" w:themeColor="text1"/>
          <w:lang w:val="en-GB"/>
        </w:rPr>
        <w:t xml:space="preserve"> </w:t>
      </w:r>
      <w:r w:rsidR="0026080D">
        <w:rPr>
          <w:rFonts w:eastAsia="Times New Roman"/>
          <w:color w:val="000000" w:themeColor="text1"/>
          <w:lang w:val="en-GB"/>
        </w:rPr>
        <w:t>s</w:t>
      </w:r>
      <w:r w:rsidR="0BFB8A48" w:rsidRPr="5DE1374E">
        <w:rPr>
          <w:rFonts w:eastAsia="Times New Roman"/>
          <w:color w:val="000000" w:themeColor="text1"/>
          <w:lang w:val="en-GB"/>
        </w:rPr>
        <w:t>andstone; brown = Alluvium)</w:t>
      </w:r>
      <w:r w:rsidRPr="1395FB11">
        <w:rPr>
          <w:lang w:val="en-GB"/>
        </w:rPr>
        <w:t xml:space="preserve">. </w:t>
      </w:r>
      <w:r w:rsidR="00320449" w:rsidRPr="00320449">
        <w:rPr>
          <w:b/>
          <w:bCs/>
          <w:lang w:val="it-IT"/>
        </w:rPr>
        <w:t>(</w:t>
      </w:r>
      <w:r w:rsidR="46A5FCEF" w:rsidRPr="00320449">
        <w:rPr>
          <w:b/>
          <w:bCs/>
          <w:lang w:val="it-IT"/>
        </w:rPr>
        <w:t>A)</w:t>
      </w:r>
      <w:r w:rsidR="46A5FCEF" w:rsidRPr="00320449">
        <w:rPr>
          <w:lang w:val="it-IT"/>
        </w:rPr>
        <w:t xml:space="preserve"> </w:t>
      </w:r>
      <w:proofErr w:type="spellStart"/>
      <w:r w:rsidR="46A5FCEF" w:rsidRPr="00320449">
        <w:rPr>
          <w:lang w:val="it-IT"/>
        </w:rPr>
        <w:t>Calcium</w:t>
      </w:r>
      <w:proofErr w:type="spellEnd"/>
      <w:r w:rsidR="46A5FCEF" w:rsidRPr="00320449">
        <w:rPr>
          <w:lang w:val="it-IT"/>
        </w:rPr>
        <w:t xml:space="preserve">, </w:t>
      </w:r>
      <w:r w:rsidR="00320449" w:rsidRPr="00320449">
        <w:rPr>
          <w:b/>
          <w:bCs/>
          <w:lang w:val="it-IT"/>
        </w:rPr>
        <w:t>(</w:t>
      </w:r>
      <w:r w:rsidR="46A5FCEF" w:rsidRPr="00320449">
        <w:rPr>
          <w:b/>
          <w:bCs/>
          <w:lang w:val="it-IT"/>
        </w:rPr>
        <w:t>B)</w:t>
      </w:r>
      <w:r w:rsidR="46A5FCEF" w:rsidRPr="00320449">
        <w:rPr>
          <w:lang w:val="it-IT"/>
        </w:rPr>
        <w:t xml:space="preserve"> </w:t>
      </w:r>
      <w:proofErr w:type="spellStart"/>
      <w:r w:rsidR="46A5FCEF" w:rsidRPr="00320449">
        <w:rPr>
          <w:lang w:val="it-IT"/>
        </w:rPr>
        <w:t>Potassium</w:t>
      </w:r>
      <w:proofErr w:type="spellEnd"/>
      <w:r w:rsidR="46A5FCEF" w:rsidRPr="00320449">
        <w:rPr>
          <w:lang w:val="it-IT"/>
        </w:rPr>
        <w:t xml:space="preserve">, </w:t>
      </w:r>
      <w:r w:rsidR="00320449" w:rsidRPr="00320449">
        <w:rPr>
          <w:b/>
          <w:bCs/>
          <w:lang w:val="it-IT"/>
        </w:rPr>
        <w:t>(</w:t>
      </w:r>
      <w:r w:rsidR="46A5FCEF" w:rsidRPr="00320449">
        <w:rPr>
          <w:b/>
          <w:bCs/>
          <w:lang w:val="it-IT"/>
        </w:rPr>
        <w:t>C)</w:t>
      </w:r>
      <w:r w:rsidR="46A5FCEF" w:rsidRPr="00320449">
        <w:rPr>
          <w:lang w:val="it-IT"/>
        </w:rPr>
        <w:t xml:space="preserve"> </w:t>
      </w:r>
      <w:proofErr w:type="spellStart"/>
      <w:r w:rsidR="46A5FCEF" w:rsidRPr="00320449">
        <w:rPr>
          <w:lang w:val="it-IT"/>
        </w:rPr>
        <w:t>Magnesium</w:t>
      </w:r>
      <w:proofErr w:type="spellEnd"/>
      <w:r w:rsidR="46A5FCEF" w:rsidRPr="00320449">
        <w:rPr>
          <w:lang w:val="it-IT"/>
        </w:rPr>
        <w:t xml:space="preserve">, </w:t>
      </w:r>
      <w:r w:rsidR="00320449" w:rsidRPr="00320449">
        <w:rPr>
          <w:b/>
          <w:bCs/>
          <w:lang w:val="it-IT"/>
        </w:rPr>
        <w:t>(</w:t>
      </w:r>
      <w:r w:rsidR="46A5FCEF" w:rsidRPr="00320449">
        <w:rPr>
          <w:b/>
          <w:bCs/>
          <w:lang w:val="it-IT"/>
        </w:rPr>
        <w:t>D)</w:t>
      </w:r>
      <w:r w:rsidR="46A5FCEF" w:rsidRPr="00320449">
        <w:rPr>
          <w:lang w:val="it-IT"/>
        </w:rPr>
        <w:t xml:space="preserve"> </w:t>
      </w:r>
      <w:proofErr w:type="spellStart"/>
      <w:r w:rsidR="46A5FCEF" w:rsidRPr="00320449">
        <w:rPr>
          <w:lang w:val="it-IT"/>
        </w:rPr>
        <w:t>Sodium</w:t>
      </w:r>
      <w:proofErr w:type="spellEnd"/>
      <w:r w:rsidR="00315331" w:rsidRPr="00320449">
        <w:rPr>
          <w:lang w:val="it-IT"/>
        </w:rPr>
        <w:t xml:space="preserve">, </w:t>
      </w:r>
      <w:r w:rsidR="00320449" w:rsidRPr="00320449">
        <w:rPr>
          <w:b/>
          <w:bCs/>
          <w:lang w:val="it-IT"/>
        </w:rPr>
        <w:t>(</w:t>
      </w:r>
      <w:r w:rsidR="00315331" w:rsidRPr="00320449">
        <w:rPr>
          <w:b/>
          <w:bCs/>
          <w:lang w:val="it-IT"/>
        </w:rPr>
        <w:t>E)</w:t>
      </w:r>
      <w:r w:rsidR="00315331" w:rsidRPr="00320449">
        <w:rPr>
          <w:lang w:val="it-IT"/>
        </w:rPr>
        <w:t xml:space="preserve"> Aluminium, </w:t>
      </w:r>
      <w:r w:rsidR="00320449" w:rsidRPr="00320449">
        <w:rPr>
          <w:b/>
          <w:bCs/>
          <w:lang w:val="it-IT"/>
        </w:rPr>
        <w:t>(</w:t>
      </w:r>
      <w:r w:rsidR="00315331" w:rsidRPr="00320449">
        <w:rPr>
          <w:b/>
          <w:bCs/>
          <w:lang w:val="it-IT"/>
        </w:rPr>
        <w:t>F)</w:t>
      </w:r>
      <w:r w:rsidR="00315331" w:rsidRPr="00320449">
        <w:rPr>
          <w:lang w:val="it-IT"/>
        </w:rPr>
        <w:t xml:space="preserve"> </w:t>
      </w:r>
      <w:proofErr w:type="spellStart"/>
      <w:r w:rsidR="00315331" w:rsidRPr="00320449">
        <w:rPr>
          <w:lang w:val="it-IT"/>
        </w:rPr>
        <w:t>Iron</w:t>
      </w:r>
      <w:proofErr w:type="spellEnd"/>
      <w:r w:rsidR="00315331" w:rsidRPr="00320449">
        <w:rPr>
          <w:lang w:val="it-IT"/>
        </w:rPr>
        <w:t xml:space="preserve">, </w:t>
      </w:r>
      <w:r w:rsidR="00320449" w:rsidRPr="00320449">
        <w:rPr>
          <w:b/>
          <w:bCs/>
          <w:lang w:val="it-IT"/>
        </w:rPr>
        <w:t>(</w:t>
      </w:r>
      <w:r w:rsidR="00315331" w:rsidRPr="00320449">
        <w:rPr>
          <w:b/>
          <w:bCs/>
          <w:lang w:val="it-IT"/>
        </w:rPr>
        <w:t>G)</w:t>
      </w:r>
      <w:r w:rsidR="00315331" w:rsidRPr="00320449">
        <w:rPr>
          <w:lang w:val="it-IT"/>
        </w:rPr>
        <w:t xml:space="preserve"> Manganese, </w:t>
      </w:r>
      <w:r w:rsidR="00320449" w:rsidRPr="00320449">
        <w:rPr>
          <w:b/>
          <w:bCs/>
          <w:lang w:val="it-IT"/>
        </w:rPr>
        <w:t>(</w:t>
      </w:r>
      <w:r w:rsidR="00315331" w:rsidRPr="00320449">
        <w:rPr>
          <w:b/>
          <w:bCs/>
          <w:lang w:val="it-IT"/>
        </w:rPr>
        <w:t>H)</w:t>
      </w:r>
      <w:r w:rsidR="00315331" w:rsidRPr="00320449">
        <w:rPr>
          <w:lang w:val="it-IT"/>
        </w:rPr>
        <w:t xml:space="preserve"> Silicon.</w:t>
      </w:r>
      <w:r w:rsidR="007D4DD9" w:rsidRPr="00320449">
        <w:rPr>
          <w:lang w:val="it-IT"/>
        </w:rPr>
        <w:t xml:space="preserve"> </w:t>
      </w:r>
      <w:r w:rsidR="46A5FCEF" w:rsidRPr="1395FB11">
        <w:rPr>
          <w:lang w:val="en-GB"/>
        </w:rPr>
        <w:t xml:space="preserve">Horizontal bars represent significant adjusted </w:t>
      </w:r>
      <w:r w:rsidR="46A5FCEF" w:rsidRPr="00570423">
        <w:rPr>
          <w:i/>
          <w:iCs/>
          <w:lang w:val="en-GB"/>
        </w:rPr>
        <w:t>p</w:t>
      </w:r>
      <w:r w:rsidR="46A5FCEF" w:rsidRPr="1395FB11">
        <w:rPr>
          <w:lang w:val="en-GB"/>
        </w:rPr>
        <w:t xml:space="preserve">-value </w:t>
      </w:r>
      <w:r w:rsidR="09B574D5" w:rsidRPr="1395FB11">
        <w:rPr>
          <w:lang w:val="en-GB"/>
        </w:rPr>
        <w:t xml:space="preserve">(&lt; 0.05) </w:t>
      </w:r>
      <w:r w:rsidR="46A5FCEF" w:rsidRPr="1395FB11">
        <w:rPr>
          <w:lang w:val="en-GB"/>
        </w:rPr>
        <w:t xml:space="preserve">after a Wilcoxon </w:t>
      </w:r>
      <w:r w:rsidR="43DC0508" w:rsidRPr="1395FB11">
        <w:rPr>
          <w:lang w:val="en-GB"/>
        </w:rPr>
        <w:t>signed-rank t</w:t>
      </w:r>
      <w:r w:rsidR="46A5FCEF" w:rsidRPr="1395FB11">
        <w:rPr>
          <w:lang w:val="en-GB"/>
        </w:rPr>
        <w:t>est</w:t>
      </w:r>
      <w:r w:rsidR="4D22B82F" w:rsidRPr="1395FB11">
        <w:rPr>
          <w:lang w:val="en-GB"/>
        </w:rPr>
        <w:t>.</w:t>
      </w:r>
    </w:p>
    <w:p w14:paraId="6137EFC9" w14:textId="43C27973" w:rsidR="1395FB11" w:rsidRDefault="1395FB11" w:rsidP="00192402">
      <w:pPr>
        <w:jc w:val="center"/>
      </w:pPr>
    </w:p>
    <w:p w14:paraId="5A164FF0" w14:textId="77777777" w:rsidR="00DC6154" w:rsidRDefault="00DC6154" w:rsidP="00F05544">
      <w:pPr>
        <w:pStyle w:val="Titre1"/>
        <w:sectPr w:rsidR="00DC6154" w:rsidSect="0001395F">
          <w:pgSz w:w="16838" w:h="11906" w:orient="landscape"/>
          <w:pgMar w:top="1440" w:right="1440" w:bottom="1440" w:left="1440" w:header="708" w:footer="708" w:gutter="0"/>
          <w:cols w:space="708"/>
          <w:docGrid w:linePitch="360"/>
        </w:sectPr>
      </w:pPr>
    </w:p>
    <w:p w14:paraId="6E39686F" w14:textId="2256DAC6" w:rsidR="00F47F47" w:rsidRDefault="005F1711" w:rsidP="0065583C">
      <w:pPr>
        <w:pStyle w:val="Titre1"/>
        <w:jc w:val="center"/>
      </w:pPr>
      <w:bookmarkStart w:id="19" w:name="_Toc199759384"/>
      <w:proofErr w:type="spellStart"/>
      <w:proofErr w:type="gramStart"/>
      <w:r>
        <w:lastRenderedPageBreak/>
        <w:t>S.Table</w:t>
      </w:r>
      <w:proofErr w:type="spellEnd"/>
      <w:proofErr w:type="gramEnd"/>
      <w:r>
        <w:t xml:space="preserve">: </w:t>
      </w:r>
      <w:r w:rsidR="00F47F47">
        <w:t>Supplementary table listing</w:t>
      </w:r>
      <w:bookmarkEnd w:id="19"/>
    </w:p>
    <w:p w14:paraId="6B371D5C" w14:textId="1D168390" w:rsidR="008055E9" w:rsidRDefault="00F47F47" w:rsidP="00C35BD6">
      <w:r>
        <w:t xml:space="preserve">Please refer to the separate xlsx file for the supplementary tables. </w:t>
      </w:r>
      <w:r w:rsidR="00C35BD6">
        <w:t xml:space="preserve">In order: </w:t>
      </w:r>
    </w:p>
    <w:p w14:paraId="65BADE36" w14:textId="5CA70B40" w:rsidR="008055E9" w:rsidRPr="008055E9" w:rsidRDefault="008055E9" w:rsidP="0065583C">
      <w:pPr>
        <w:pStyle w:val="Titre2"/>
      </w:pPr>
      <w:bookmarkStart w:id="20" w:name="_Toc199759385"/>
      <w:proofErr w:type="spellStart"/>
      <w:proofErr w:type="gramStart"/>
      <w:r>
        <w:rPr>
          <w:rStyle w:val="Titre2Car"/>
        </w:rPr>
        <w:t>S.</w:t>
      </w:r>
      <w:r w:rsidR="00C35BD6" w:rsidRPr="008055E9">
        <w:rPr>
          <w:rStyle w:val="Titre2Car"/>
        </w:rPr>
        <w:t>Table</w:t>
      </w:r>
      <w:proofErr w:type="spellEnd"/>
      <w:proofErr w:type="gramEnd"/>
      <w:r>
        <w:rPr>
          <w:rStyle w:val="Titre2Car"/>
        </w:rPr>
        <w:t xml:space="preserve"> </w:t>
      </w:r>
      <w:r w:rsidR="00C35BD6" w:rsidRPr="008055E9">
        <w:rPr>
          <w:rStyle w:val="Titre2Car"/>
        </w:rPr>
        <w:t>1: list of species</w:t>
      </w:r>
      <w:r w:rsidR="00C35BD6" w:rsidRPr="4D50C2EF">
        <w:rPr>
          <w:lang w:val="en-GB"/>
        </w:rPr>
        <w:t xml:space="preserve"> </w:t>
      </w:r>
      <w:r w:rsidR="00C35BD6" w:rsidRPr="008055E9">
        <w:rPr>
          <w:rStyle w:val="Titre2Car"/>
        </w:rPr>
        <w:t xml:space="preserve">that </w:t>
      </w:r>
      <w:r w:rsidRPr="008055E9">
        <w:rPr>
          <w:rStyle w:val="Titre2Car"/>
        </w:rPr>
        <w:t xml:space="preserve">have evidence of </w:t>
      </w:r>
      <w:r w:rsidR="00C35BD6" w:rsidRPr="008055E9">
        <w:rPr>
          <w:rStyle w:val="Titre2Car"/>
        </w:rPr>
        <w:t xml:space="preserve">an active </w:t>
      </w:r>
      <w:r w:rsidRPr="008055E9">
        <w:rPr>
          <w:rStyle w:val="Titre2Car"/>
        </w:rPr>
        <w:t>o</w:t>
      </w:r>
      <w:r w:rsidR="00C35BD6" w:rsidRPr="008055E9">
        <w:rPr>
          <w:rStyle w:val="Titre2Car"/>
        </w:rPr>
        <w:t>xalate-</w:t>
      </w:r>
      <w:r w:rsidRPr="008055E9">
        <w:rPr>
          <w:rStyle w:val="Titre2Car"/>
        </w:rPr>
        <w:t>c</w:t>
      </w:r>
      <w:r w:rsidR="00C35BD6" w:rsidRPr="008055E9">
        <w:rPr>
          <w:rStyle w:val="Titre2Car"/>
        </w:rPr>
        <w:t xml:space="preserve">arbonate </w:t>
      </w:r>
      <w:r w:rsidRPr="008055E9">
        <w:rPr>
          <w:rStyle w:val="Titre2Car"/>
        </w:rPr>
        <w:t>p</w:t>
      </w:r>
      <w:r w:rsidR="00C35BD6" w:rsidRPr="008055E9">
        <w:rPr>
          <w:rStyle w:val="Titre2Car"/>
        </w:rPr>
        <w:t>athways</w:t>
      </w:r>
      <w:bookmarkEnd w:id="20"/>
    </w:p>
    <w:p w14:paraId="36F866A0" w14:textId="08EA0451" w:rsidR="00292EF5" w:rsidRPr="001B646F" w:rsidRDefault="0049526F" w:rsidP="00C35BD6">
      <w:pPr>
        <w:rPr>
          <w:lang w:val="fr-CH"/>
        </w:rPr>
      </w:pPr>
      <w:r>
        <w:rPr>
          <w:lang w:val="en-GB"/>
        </w:rPr>
        <w:t xml:space="preserve">Papers and thesis cited in the </w:t>
      </w:r>
      <w:proofErr w:type="spellStart"/>
      <w:r>
        <w:rPr>
          <w:lang w:val="en-GB"/>
        </w:rPr>
        <w:t>talbe</w:t>
      </w:r>
      <w:proofErr w:type="spellEnd"/>
      <w:r>
        <w:rPr>
          <w:lang w:val="en-GB"/>
        </w:rPr>
        <w:t xml:space="preserve">: </w:t>
      </w:r>
      <w:r w:rsidR="00292EF5">
        <w:rPr>
          <w:lang w:val="en-GB"/>
        </w:rPr>
        <w:fldChar w:fldCharType="begin"/>
      </w:r>
      <w:r w:rsidR="0026080D">
        <w:rPr>
          <w:lang w:val="en-GB"/>
        </w:rPr>
        <w:instrText xml:space="preserve"> ADDIN ZOTERO_ITEM CSL_CITATION {"citationID":"iwGhG2X7","properties":{"formattedCitation":"(Garvie 2003, 2006; Cailleau et al. 2011, 2014; Clerc de Sonarclens 2011; Aragno and Verrecchia 2012; Ferro 2012; Bravo et al. 2015; Rowley et al. 2017; Herv\\uc0\\u233{} et al. 2018; Pons et al. 2018; Randevoson 2019; Steinmann 2020; \\uc0\\u193{}lvarez\\uc0\\u8208{}Rivera et al. 2021)","plainCitation":"(Garvie 2003, 2006; Cailleau et al. 2011, 2014; Clerc de Sonarclens 2011; Aragno and Verrecchia 2012; Ferro 2012; Bravo et al. 2015; Rowley et al. 2017; Hervé et al. 2018; Pons et al. 2018; Randevoson 2019; Steinmann 2020; Álvarez‐Rivera et al. 2021)","dontUpdate":true,"noteIndex":0},"citationItems":[{"id":2257,"uris":["http://zotero.org/groups/2387759/items/HCRGM8SJ"],"itemData":{"id":2257,"type":"article-journal","abstract":"The saguaro, Carnegiea gigantea (Englemann), is a columnar cactus that grows to 15 m tall and weighs up to several tons, of which 85 to 90% of the mass is water. Roughly 18% of the dry mass consists of the biomineral weddellite (CaC 2 O 4 ·2H 2 O). The C in the weddellite derives from atmospheric CO 2 via photosynthesis. A mature saguaro can contain on the order of 1 × 105 g of weddellite. The weddellite crystals occur as aggregates up to 1 mm wide. After the death of the saguaro, a series of minerals crystallize in the rotting flesh. These minerals form from elements released from the decay of the cactus by microorganisms and thus is a type of biologically induced mineralization. During the initial stages of decay, authigenic Mg- and Ca-bearing minerals crystallize from elements released by the putrefying flesh and include lansfordite (MgCO 3 ·5H 2 O), nesquehonite (MgCO 3 ·3H 2 O), several polymorphs of MgC 2 O 4 ·2H 2 O including glushinskite, monohydrocalcite (CaCO 3 ·H 2 O), calcite, vaterite, and several unidentified Mg-bearing phases. As the saguaro decays, the soft, water-rich pith shrinks, but the ribs and skin remain intact, producing warm, moist pockets within the dead saguaro. Abundant, glassy lansfordite crystals to 1 mm in diameter grow in these pockets during the cooler winter months. Further decay leaves a dried hollow shell covered by the saguaro skin, inside of which nesquehonite and monohydrocalcite crystallize. Lansfordite and nesquehonite are unstable in the desert and rapidly amorphize after exposure to the atmosphere. Magnesium oxalates are locally abundant in the decayed flesh and occur as crystals up to 1.5 mm in length. The common occurrence of fungal hyphae on the glushinskite suggests that it forms as a result of the reaction between oxalic acid released by fungi and the Mg-rich solutions of the rotting saguaro. During the final stages of decay, the pith consists of a pale-brown to tan-colored sand of weddellite and its transformation product monohydrocalcite. This sand lithifies to porous spongelike masses during the final stages of saguaro decay. This monohydrocalcite further alters to calcite. The δ 13 C VPDB of the monohydrocalcite and calcite after weddellite range from -1.65 to + 0.76‰. The calcite is subsequently solubilized and remobilized, precipitating as caliche in the desert soil, or redistributed by wind. In arid environments, the desert fauna metabolize the atmospheric C bound in the organic matter to CO 2 . In contrast, decay of the saguaro adds atmospheric C to the soil as inorganic C via the transformation of the biomineral weddellite to calcite. In areas with high saguaro density, it is estimated that up to 2.4 g/m 2 /yr of calcite can be added to the desert from the decayed cacti. This inorganic C has geologically long soil residence times, thus effectively sequestering the atmospheric C.","container-title":"American Mineralogist","DOI":"10.2138/am-2003-11-1231","ISSN":"1945-3027","issue":"11-12","journalAbbreviation":"Am. Mineral.","language":"en","license":"De Gruyter expressly reserves the right to use all content for commercial text and data mining within the meaning of Section 44b of the German Copyright Act.","note":"publisher: De Gruyter","page":"1879-1888","source":"www.degruyter.com","title":"Decay-induced biomineralization of the saguaro cactus (&lt;i&gt;Carnegiea gigantea&lt;/i&gt;)","volume":"88","author":[{"family":"Garvie","given":"Laurence A. J."}],"issued":{"date-parts":[["2003",11,1]]}}},{"id":2258,"uris":["http://zotero.org/groups/2387759/items/7CWSFFLK"],"itemData":{"id":2258,"type":"article-journal","container-title":"Naturwissenschaften","DOI":"10.1007/s00114-005-0069-7","issue":"3","journalAbbreviation":"Naturwiss.","note":"publisher: Springer","page":"114–118","source":"Google Scholar","title":"Decay of cacti and carbon cycling","volume":"93","author":[{"family":"Garvie","given":"Laurence AJ"}],"issued":{"date-parts":[["2006"]]}}},{"id":791,"uris":["http://zotero.org/groups/2387759/items/SDZ3B2JX"],"itemData":{"id":791,"type":"article-journal","container-title":"Biogeosciences","DOI":"10.5194/bg-8-1755-2011","issue":"7","note":"publisher: Copernicus GmbH","page":"1755-1767","title":"Turning sunlight into stone: the oxalate-carbonate pathway in a tropical tree ecosystem","title-short":"Turning sunlight into stone","volume":"8","author":[{"family":"Cailleau","given":"G."},{"family":"Braissant","given":"O."},{"family":"Verrecchia","given":"E. P."}],"issued":{"date-parts":[["2011"]]}}},{"id":189,"uris":["http://zotero.org/groups/2387759/items/NFNJW5UZ"],"itemData":{"id":189,"type":"article-journal","abstract":"The oxalate–carbonate pathway (OCP) is a biogeochemical process, which has been described in Milicia excelsa tree ecosystems of Africa. This pathway involves biological and geological parameters at different scales: oxalate, as a by-product of photosynthesis, is oxidized by oxalotrophic bacteria leading to a local pH increase, and eventually to carbonate accumulation through time in previously acidic and carbonate-free tropical soils. Former studies have shown that this pedogenic process can potentially lead to the formation of an atmospheric carbon sink. Considering that 80% of plant species are known to produce oxalate, it is reasonable to assume that M. excelsa is not the only tree that can support OCP ecosystems. The search for similar conditions on another continent led us to South America, in an Amazon forest ecosystem (Alto Beni, Bolivia). This area was chosen because of the absence of local inherited carbonate in the bedrock, as well as its expected acidic soil conditions. Eleven tree species and associated soils were tested positive for the presence of carbonate with a more alkaline soil pH close to the tree than at a distance from it. A detailed study of Pentaplaris davidsmithii and Ceiba speciosa trees showed that oxalotrophy impacted soil pH in a similar way to at African sites (at least with 1 pH unit increasing). African and South American sites display similar characteristics regarding the mineralogical assemblage associated with the OCP, except for the absence of weddellite. The amount of carbonate accumulated is 3 to 4 times lower than the values measured in African sites related to M. excelsa ecosystems. Still, these secondary carbonates remain critical for the continental carbon cycle, as they are unexpected in the acidic context of Amazonian soils. Therefore, the present study demonstrates the existence of an active OCP in South America. The three critical components of an operating OCP are the presence of: i) local alkalinization, ii) carbonate accumulations, and iii) oxalotrophic bacteria, which were identified associated to the oxalogenic tree C. speciosa. If the question of a potential carbon sink related to oxalotrophic–oxalogenic ecosystems in the Amazon Basin is still pending, this study highlights the implication of OCP ecosystems on carbon and calcium biogeochemical coupled cycles. As previously mentioned for M. excelsa tree ecosystems in Africa, carbonate accumulations observed in the Bolivian tropical forest could be extrapolated to part or the whole Amazon Basin and might constitute an important reservoir that must be taken into account in the global carbon balance of the Tropics.","container-title":"Catena","DOI":"10.1016/j.catena.2013.12.017","ISSN":"0341-8162","journalAbbreviation":"Catena","page":"132-141","title":"Detection of active oxalate-carbonate pathway ecosystems in the Amazon Basin: Global implications of a natural potential C sink","volume":"116","author":[{"family":"Cailleau","given":"Guillaume"},{"family":"Mota","given":"Matteo"},{"family":"Bindschedler","given":"Saskia"},{"family":"Junier","given":"Pilar"},{"family":"Verrecchia","given":"Eric P."}],"issued":{"date-parts":[["2014"]]}}},{"id":781,"uris":["http://zotero.org/groups/2387759/items/C42JEFMV"],"itemData":{"id":781,"type":"thesis","genre":"Master of Science in Biogeosciences","number-of-pages":"61","publisher":"University of Neuchâtel","title":"La voie oxalate-carbonate: le cas indien","author":[{"family":"Clerc de Sonarclens","given":"Martin"}],"issued":{"date-parts":[["2011"]]}}},{"id":539,"uris":["http://zotero.org/groups/2387759/items/8W8ZHS9X"],"itemData":{"id":539,"type":"chapter","abstract":"Calcium carbonate has a residence time in soils in the order of 104–6 years. Therefore, sequestration of atmospheric carbon as CaCO3 is almost irreversible, as compared to organic carbon. Calcium oxalate, a metabolite often accumulated in plants, is chemically highly stable. However, it is readily oxidized by oxalotrophic bacteria, with simultaneous alkalinization and biomineralization of calcium carbonate, which eventually accumulates in soil. In tropical countries, on mainly acidic, non calcareous soils, this represents a significant sink for atmospheric CO2: at the present rate of increase, one full-grown Iroko tree may stabilize concentration of CO2 in the air column above a 2,400 m2 surface. This process may be applied in reforestation and agroforestry, as well as in conservation and sustainable development of tropical forests and soils.","container-title":"Microorganisms in Environmental Management: Microbes and Environment","event-place":"Dordrecht","ISBN":"978-94-007-2229-3","language":"en","note":"DOI: 10.1007/978-94-007-2229-3_9","page":"191-199","publisher":"Springer Netherlands","publisher-place":"Dordrecht","source":"Springer Link","title":"The oxalate-carbonate pathway: a reliable sink for atmospheric CO&lt;sub&gt;2&lt;/sub&gt; through calcium carbonate biomineralization in ferralitic tropical soils","title-short":"The Oxalate-Carbonate Pathway","URL":"https://doi.org/10.1007/978-94-007-2229-3_9","author":[{"family":"Aragno","given":"Michel"},{"family":"Verrecchia","given":"Eric P."}],"editor":[{"family":"Satyanarayana","given":"T."},{"family":"Johri","given":"Bhavdish Narain"}],"accessed":{"date-parts":[["2021",4,27]]},"issued":{"date-parts":[["2012"]]}}},{"id":770,"uris":["http://zotero.org/groups/2387759/items/PFWFD53B"],"itemData":{"id":770,"type":"thesis","abstract":"Au sud du Burkina Faso, des milliers d’années de pédogénèse ont produit des «Plinthic Ferralsols Arenic» (suivant la WRB). Il a toutefois été observé que sous l’influence d’arbres oxalogènes tels que &lt;i&gt;Milicia excelsa&lt;/i&gt;, &lt;i&gt;Afzelia africana&lt;/i&gt; et &lt;i&gt;Bombax costatum&lt;/i&gt;, les sols évoluent vers des «Ferralic Calcisols Arenic» (selon la WRB) en quelques décennies. Il est admis que le moteur de cette accumulation carbonatée est l’oxalotrophie bactérienne, qui crée une pompe à carbone entre l’atmosphère et les sols. &lt;br&gt; Les buts de ce travail sont (1) de dresser un bilan de carbone, (2) de modéliser son accumulation et (3) de calculer un temps de résidence du carbone minéral dans le sol sous les arbres. Les échantillons ont été prélevés dans cinq profils à proximité d’arbres oxalogènes et un dans un sol de référence, hors de leur influence. Les teneurs en carbone organique total, en oxalates et en carbonates ont été ensuite mesurées. Les principaux outils utilisés pour quantifier ces trois formes de carbone ont été respectivement la pyrolyse Rock-Eval, la digestion enzymatique (Trinity-Biotech) et la titration en retour après dissolution acide des carbonates. &lt;br&gt; L’analyse de la matière organique indique que le carbone organique total évolue de manière quantitative et qualitative depuis les feuilles jusqu’aux horizons minéraux. Le stock de carbone organique est intégré dans les bio-molécules dans les horizons de surface (A) et dans les géo-molécules plus stables dans les horizons minéraux (B et C). &lt;br&gt; Cette étude montre que la quantité en oxalates dans les feuilles (considérées comme un premier réservoir d’oxalate) est de 20 x 10&lt;sup&gt;-2&lt;/sup&gt; mg/g de matière sèche. A cette source peut être ajoutée celle des champignons excréteurs d’acide oxalique. En effet, par la mise en culture d’échantillons de sol, les espèces oxalogènes suivantes ont été identifiées: &lt;i&gt;Aspergillus sp.&lt;/i&gt;, &lt;i&gt;Fusarium sp.&lt;/i&gt; et &lt;i&gt;Mucor sp.&lt;/i&gt;. &lt;br&gt; Malgré ces deux apports d’oxalate (feuilles et champignons), la concentration mesurée dans les sols reste faible, ne dépassant pas 6.5 x 10&lt;sup&gt;-3&lt;/sup&gt; mg d’oxalate/g de sol à un instant &lt;i&gt;t&lt;/i&gt;. Ceci-ci peut être expliqué par l’efficacité de l’oxydation bactérienne des oxalates menant à la précipitation de calcite faiblement magnésienne. En effet cette dernière, non présente dans les feuilles fraîches, a été observée dans la litière et les sols où les concentrations peuvent atteindre 15% de la masse totale. &lt;br&gt; Ces résultats ont permis de construire un premier modèle proposant que (1) la teneur en carbonates doublerait chaque 30 ans, (2) entre 70 et 170 ans l’accumulation en carbonates serait telle que le sol pourrait être cimenté, et (3) le temps de résidence du carbone pourrait aisément dépasser 4000 ans. South of Burkina Faso, thousands of years of pedogenesis have resulted in “Plinthic Ferralsols (Arenic)” (according to the WRB). However, it is observed that under the influence of oxalogenic trees, such as &lt;i&gt;Milicia excelsa&lt;/i&gt;, &lt;i&gt;Afzelia africana&lt;/i&gt;, and &lt;i&gt;Bombax costatum&lt;/i&gt;, the soil evolves into a “Ferralic Calcisol (Arenic)” in less a millenium. It has been proposed that the driving force of this carbonate accumulation is the bacterial oxalotrophy, which generates a carbon pump between the atmosphere and the soil. &lt;br&gt; The principal goals of this work are (1) to provide a carbon balance, (2) to propose a model of the carbonate accumulation, and (3) to estimate the residence time of the inorganic carbon in the soil under the trees. Samples were taken from five profiles near the considered oxalogenic trees and a reference soil beyond their respective influence. Contents of total organic carbon, oxalate, and carbonate were measured. The main tools used to quantify these three different forms of carbon were the Rock-Eval pyrolysis, enzymatic digestion (Trinity Biotech), and back titration after acid dissolution of carbonate. &lt;br&gt; Analysis of organic matter indicates that the total organic carbon evolves both quantitatively and qualitatively from leaves to mineral horizons. The stock of organic carbon is incorporated in the bio-molecules at the surface horizons (A) and in stable geo-molecules in mineral horizons (B and C). &lt;br&gt; This study shows that the amount of oxalates in leaves (considered as a first oxalate reservoir) is of 20 x 10&lt;sup&gt;-2&lt;/sup&gt; mg / g of dry matter. Oxalogenic fungi may also have to be added to this source. Indeed, by culturing soil samples, the following oxalogenic strains were identified: &lt;i&gt;Aspergillus sp.&lt;/i&gt;, &lt;i&gt;Fusarium sp.&lt;/i&gt; and &lt;i&gt;Mucor sp.&lt;/i&gt;. &lt;br&gt; Despite these contributions (leaves and fungi) of oxalate, the concentration measured in the soil is low, never exceeding 6.5 x 10&lt;sup&gt;-3&lt;/sup&gt; mg oxalate / g of soil at any time &lt;i&gt;t&lt;/i&gt;. This unexpected outcome may be explained by the efficiency of the bacterial oxidation of oxalate, leading to low magnesium calcite precipitation. Indeed, the latter, while not present in fresh leaves, was found in litter and soils, where its concentration can reach values as high as 15% of the soil total mass. &lt;br&gt; All these results were finally used to propose a preliminary model suggesting that (1) the carbonate content is doubling every 30 years, (2) between 70 and 170 years the accumulation of carbonate is so significant that the soil may even become cemented, and (3) the residence time of carbon may easily exceed 4000 years. Ferro, Katia Imeria; Verrecchia, Eric","genre":"PhD thesis","language":"en","publisher":"University of Neuchâtel","source":"doc.rero.ch","title":"The impact of oxalogenic plants on soil carbon dynamics: formation of a millennium carbon storage as calcium carbonate","title-short":"The impact of oxalogenic plants on soil carbon dynamics","URL":"https://doc.rero.ch/record/203029","author":[{"family":"Ferro","given":"Katia Imeria"}],"accessed":{"date-parts":[["2021",4,28]]},"issued":{"date-parts":[["2012"]]}}},{"id":348,"uris":["http://zotero.org/groups/2387759/items/SE78XS2E"],"itemData":{"id":348,"type":"article-journal","abstract":"The oxalate–carbonate pathway (OCP) is a biogeochemical set of reactions that involves the conversion of atmospheric CO2 fixed by plants into biomass and, after the biological recycling of calcium oxalate by fungi and bacteria, into calcium carbonate in terrestrial environments. Oxalotrophic bacteria are a key element of this process because of their ability to oxidize calcium oxalate. However, the diversity and alternative carbon sources of oxalotrophs participating to this pathway are unknown. Therefore, the aim of this study was to characterize oxalotrophic bacteria in tropical OCP systems from Bolivia, India, and Cameroon. Ninety-five oxalotrophic strains were isolated and identified by sequencing of the 16S rRNA gene. Four genera corresponded to newly reported oxalotrophs (Afipia, Polaromonas, Humihabitans, and Psychrobacillus). Ten strains were selected to perform a more detailed characterization. Kinetic curves and microcalorimetry analyses showed that Variovorax soli C18 has the highest oxalate consumption rate with 0.240 µM h−1. Moreover, Streptomyces achromogenes A9 displays the highest metabolic plasticity. This study highlights the phylogenetic and physiological diversity of oxalotrophic bacteria in tropical soils under the influence of the oxalate–carbonate pathway.","container-title":"Archives of Microbiology","DOI":"10.1007/s00203-014-1055-2","ISSN":"1432-072X","issue":"1","journalAbbreviation":"Arch. Microbiol.","language":"en","page":"65-77","source":"Springer Link","title":"Isolation and characterization of oxalotrophic bacteria from tropical soils","volume":"197","author":[{"family":"Bravo","given":"Daniel"},{"family":"Braissant","given":"Olivier"},{"family":"Cailleau","given":"Guillaume"},{"family":"Verrecchia","given":"Eric"},{"family":"Junier","given":"Pilar"}],"issued":{"date-parts":[["2015",1,1]]}}},{"id":2384,"uris":["http://zotero.org/groups/2387759/items/RDE2PEBN"],"itemData":{"id":2384,"type":"article-journal","abstract":"The Oxalate-Carbonate Pathway (OCP) is a biogeochemical process that transfers atmospheric CO2 into the geologic reservoir as CaCO3; however, until now all investigations on this process have focused on species with limited food benefits. This study evaluates a potential OCP associated with Brosimum alicastrum, a Neotropical species with agroforestry potential (ca. 70–200 kg-nuts yr−1), in the calcareous soils of Haiti and Mexico.","container-title":"Plant and Soil","DOI":"10.1007/s11104-016-3135-3","ISSN":"1573-5036","issue":"1","journalAbbreviation":"Plant Soil","language":"en","page":"465-479","source":"Springer Link","title":"Moving carbon between spheres, the potential oxalate-carbonate pathway of &lt;i&gt;Brosimum alicastrum&lt;/i&gt; Sw.; Moraceae","volume":"412","author":[{"family":"Rowley","given":"Mike C."},{"family":"Estrada-Medina","given":"Héctor"},{"family":"Tzec-Gamboa","given":"Magnolia"},{"family":"Rozin","given":"Aviram"},{"family":"Cailleau","given":"Guillaume"},{"family":"Verrecchia","given":"Eric P."},{"family":"Green","given":"Iain"}],"issued":{"date-parts":[["2017",3,1]]}}},{"id":472,"uris":["http://zotero.org/groups/2387759/items/TRWLZ7XN"],"itemData":{"id":472,"type":"article-journal","container-title":"Geomicrobiology Journal","DOI":"10.1080/01490451.2017.1309087","issue":"1","journalAbbreviation":"Geomicrobiol. J.","page":"31–39","title":"Carbonate accumulation in the bark of &lt;i&gt;Terminalia bellirica&lt;/i&gt;: A new habitat for the oxalate-carbonate pathway","volume":"35","author":[{"family":"Hervé","given":"Vincent"},{"family":"Clerc","given":"Martin"},{"family":"Cailleau","given":"Guillaume"},{"family":"Bueche","given":"Matthieu"},{"family":"Junier","given":"Thomas"},{"family":"Verrecchia","given":"Eric"},{"family":"Junier","given":"Pilar"}],"issued":{"date-parts":[["2018"]]}}},{"id":341,"uris":["http://zotero.org/groups/2387759/items/P3G9H98L"],"itemData":{"id":341,"type":"article-journal","abstract":"The oxalate-carbonate pathway (OCP) has been observed in acidic tropical soils with low alkaline cation content where compartments are transient and fed by the rapid turnover of organic matter. By acting on edaphic parameters, the OCP may influence soil nutrient distribution. This study aims at assessing the influence of the OCP on soil nutrients within an agroforestry system associated to oxalogenic iroko trees.","container-title":"Plant and Soil","DOI":"10.1007/s11104-018-3573-1","ISSN":"1573-5036","issue":"1","journalAbbreviation":"Plant Soil","language":"en","page":"145-160","source":"Springer Link","title":"Biocontrolled soil nutrient distribution under the influence of an oxalogenic-oxalotrophic ecosystem","volume":"425","author":[{"family":"Pons","given":"Sophie"},{"family":"Bindschedler","given":"Saskia"},{"family":"Sebag","given":"David"},{"family":"Junier","given":"Pilar"},{"family":"Verrecchia","given":"Eric"},{"family":"Cailleau","given":"Guillaume"}],"issued":{"date-parts":[["2018",4,1]]}}},{"id":755,"uris":["http://zotero.org/groups/2387759/items/ERTFLIXI"],"itemData":{"id":755,"type":"thesis","genre":"PhD thesis","publisher":"University of Lausanne","title":"Impacts de la voie oxalate-carbonate sur les caractéristiques édaphiques et organiques des sols forestiers tropicaux (Forêt de Kirindy, Madagascar)","author":[{"family":"Randevoson","given":"Manohiaina Finaritra"}],"issued":{"date-parts":[["2019"]]}}},{"id":753,"uris":["http://zotero.org/groups/2387759/items/MSPKDYDI"],"itemData":{"id":753,"type":"thesis","event-place":"Institute of Earth Surface Dynamics","genre":"Master of Science in Biogeosciences","publisher":"University of Lausanne","publisher-place":"Institute of Earth Surface Dynamics","title":"Enquête exploratoire de la voie oxalate-carbonate en milieu karstique et agroforesterie tropicale, Yucatan, Mexique","author":[{"family":"Steinmann","given":"Olivia"}],"contributor":[{"family":"Verrecchia","given":"E. P."},{"family":"Rowley","given":"M. C."}],"issued":{"date-parts":[["2020"]]}}},{"id":2282,"uris":["http://zotero.org/groups/2387759/items/YNRZREIV"],"itemData":{"id":2282,"type":"article-journal","abstract":"Abstract\n            \n              The oxalate‐carbonate pathway (OCP) allows atmospheric carbon dioxide (CO\n              2\n              atm) sequestration through deposition of CaCO\n              3\n              in soils. The participation of\n              Brosimum alicastrum\n              Sw. (Moracea) in the OCP has been demonstrated in traditional Maya agroforesty systems (homegardens) in Yucatan, Mexico, but remains unstudied in wild vegetation. To compare the OCP role of\n              B. alicastrum\n              trees associated to homegardens and forest, the calcium oxalate (CaC\n              2\n              O\n              4\n              ) content of leaves, bark, roots, and adjacent soil of 40 trees was measured, as well as the abundance of soil and rizospheric oxalothropic bacteria. The highest CaC\n              2\n              O\n              4\n              contents were present in leaves (45.37 g kg\n              –1\n              ) and adjacent soil (576.93 mg kg\n              –1\n              ) of wild trees. Oxalotrophic bacteria abundance was higher in the rhizospheric soil associated to wild trees. Soil CaC\n              2\n              O\n              4\n              content was positively correlated to soil Ca (\n              r\n              s \n              = .911;\n              p\n               &lt; .01) and CaCO\n              3\n              (\n              r\n              s \n              = .885;\n              p\n               &lt; .01) contents in wild trees and negatively correlated to soil redox potential (\n              r\n              s \n              = –.625;\n              p\n               = .02). The CaC\n              2\n              O\n              4\n              contents and oxalotrophic bacteria abundance in soils indicate an active participation of\n              B. alicastrum\n              trees in the OCP in both systems, allowing the capture of CO\n              2\n              atm. The lower potential to sequester CO\n              2\n              in homegardens is mainly due to the use of the\n              B. alicastrum\n              as forage, which prevents the addition of litter to soil. If trees in homegardens were not defoliated, the amount of CO\n              2\n              atm captured by\n              B. alicastrum\n              in these systems would be greater than those in forest because the tree density in homegardens can be up to 18 times greater than in forest.\n            \n          , \n            Core Ideas\n            \n              \n                \n                  \n                    B. alicastrum\n                    participation in oxalate‐carbonate pathway in forests is unknown.\n                  \n                \n                \n  </w:instrText>
      </w:r>
      <w:r w:rsidR="0026080D" w:rsidRPr="0026080D">
        <w:rPr>
          <w:lang w:val="fr-CH"/>
        </w:rPr>
        <w:instrText xml:space="preserve">                \n                    The oxalate–carbonate pathway may be important on CO\n                    2\n                    balance in karst systems.\n                  \n                \n                \n                  Soil calcium oxalate and abundance of oxalotrophic bacteria were higher in the forest.\n                \n                \n                  Forests potentially sequester more inorganic C through the oxalate–carbonate pathway.\n                \n                \n                  Management in homegardens can reduce the potential inorganic C capture.","container-title":"Soil Science Society of America Journal","DOI":"10.1002/saj2.20228","ISSN":"0361-5995, 1435-0661","issue":"3","journalAbbreviation":"Soil Sci. Soc. Am. J.","language":"en","page":"691-702","source":"DOI.org (Crossref)","title":"Differences in oxalate–carbonate pathway of &lt;i&gt;Brosimum alicastrum&lt;/i&gt; in karst homegarden and forest soils","volume":"85","author":[{"family":"Álvarez‐Rivera","given":"Oscar Omar"},{"family":"Estrada‐Medina","given":"Héctor"},{"family":"Jiménez‐Osornio","given":"Juan José"},{"family":"O'Connor‐Sánchez","given":"Ingrid Aileen"},{"family":"Navarro‐Alberto","given":"Jorge Augusto"},{"family":"Ferrer","given":"Miriam Monserrat"},{"family":"Canto‐Canché","given":"Blondy"},{"family":"Tzec‐Gamboa","given":"Magnolia Del Carmen"}],"issued":{"date-parts":[["2021",5]]}}}],"schema":"https://github.com/citation-style-language/schema/raw/master/csl-citation.json"} </w:instrText>
      </w:r>
      <w:r w:rsidR="00292EF5">
        <w:rPr>
          <w:lang w:val="en-GB"/>
        </w:rPr>
        <w:fldChar w:fldCharType="separate"/>
      </w:r>
      <w:r w:rsidR="001B646F" w:rsidRPr="001B646F">
        <w:rPr>
          <w:kern w:val="0"/>
          <w:lang w:val="fr-CH"/>
        </w:rPr>
        <w:t>Garvie 2003, 2006; Cailleau et al. 2011, 2014; Clerc de Sonarclens 2011; Aragno and Verrecchia 2012; Ferro 2012; Bravo et al. 2015; Rowley et al. 2017; Hervé et al. 2018; Pons et al. 2018; Randevoson 2019; Steinmann 2020; Álvarez‐Rivera et al. 2021.</w:t>
      </w:r>
      <w:r w:rsidR="00292EF5">
        <w:rPr>
          <w:lang w:val="en-GB"/>
        </w:rPr>
        <w:fldChar w:fldCharType="end"/>
      </w:r>
    </w:p>
    <w:p w14:paraId="1D7BD272" w14:textId="4652DB92" w:rsidR="008055E9" w:rsidRDefault="008055E9" w:rsidP="0065583C">
      <w:pPr>
        <w:pStyle w:val="Titre2"/>
        <w:rPr>
          <w:lang w:val="en-GB"/>
        </w:rPr>
      </w:pPr>
      <w:bookmarkStart w:id="21" w:name="_Toc199759386"/>
      <w:proofErr w:type="spellStart"/>
      <w:proofErr w:type="gramStart"/>
      <w:r>
        <w:rPr>
          <w:lang w:val="en-GB"/>
        </w:rPr>
        <w:t>S.Table</w:t>
      </w:r>
      <w:proofErr w:type="spellEnd"/>
      <w:proofErr w:type="gramEnd"/>
      <w:r>
        <w:rPr>
          <w:lang w:val="en-GB"/>
        </w:rPr>
        <w:t xml:space="preserve"> </w:t>
      </w:r>
      <w:r w:rsidR="00C35BD6" w:rsidRPr="43FD68B5">
        <w:rPr>
          <w:lang w:val="en-GB"/>
        </w:rPr>
        <w:t>2:</w:t>
      </w:r>
      <w:r w:rsidR="00C35BD6">
        <w:rPr>
          <w:lang w:val="en-GB"/>
        </w:rPr>
        <w:t xml:space="preserve"> Size of sampled individuals and biomass values</w:t>
      </w:r>
      <w:bookmarkEnd w:id="21"/>
    </w:p>
    <w:p w14:paraId="15DBF266" w14:textId="34E0C326" w:rsidR="005F1711" w:rsidRPr="005F1711" w:rsidRDefault="005F1711" w:rsidP="0065583C">
      <w:pPr>
        <w:pStyle w:val="Titre2"/>
        <w:rPr>
          <w:lang w:val="en-GB"/>
        </w:rPr>
      </w:pPr>
      <w:bookmarkStart w:id="22" w:name="_Toc199759387"/>
      <w:proofErr w:type="spellStart"/>
      <w:proofErr w:type="gramStart"/>
      <w:r>
        <w:rPr>
          <w:lang w:val="en-GB"/>
        </w:rPr>
        <w:t>S.Table</w:t>
      </w:r>
      <w:proofErr w:type="spellEnd"/>
      <w:proofErr w:type="gramEnd"/>
      <w:r>
        <w:rPr>
          <w:lang w:val="en-GB"/>
        </w:rPr>
        <w:t xml:space="preserve"> 3: PCR results and selection of samples for HTS for all microbial samples</w:t>
      </w:r>
      <w:bookmarkEnd w:id="22"/>
    </w:p>
    <w:p w14:paraId="025ABB7F" w14:textId="23FF116D" w:rsidR="008055E9" w:rsidRDefault="008055E9" w:rsidP="0065583C">
      <w:pPr>
        <w:pStyle w:val="Titre2"/>
        <w:rPr>
          <w:lang w:val="en-GB"/>
        </w:rPr>
      </w:pPr>
      <w:bookmarkStart w:id="23" w:name="_Toc199759388"/>
      <w:proofErr w:type="spellStart"/>
      <w:proofErr w:type="gramStart"/>
      <w:r>
        <w:rPr>
          <w:rStyle w:val="Titre2Car"/>
        </w:rPr>
        <w:t>S.Table</w:t>
      </w:r>
      <w:proofErr w:type="spellEnd"/>
      <w:proofErr w:type="gramEnd"/>
      <w:r>
        <w:rPr>
          <w:rStyle w:val="Titre2Car"/>
        </w:rPr>
        <w:t xml:space="preserve"> </w:t>
      </w:r>
      <w:r w:rsidR="005F1711">
        <w:rPr>
          <w:rStyle w:val="Titre2Car"/>
        </w:rPr>
        <w:t>4</w:t>
      </w:r>
      <w:r w:rsidR="14FADDEB" w:rsidRPr="008055E9">
        <w:rPr>
          <w:rStyle w:val="Titre2Car"/>
        </w:rPr>
        <w:t xml:space="preserve">: </w:t>
      </w:r>
      <w:proofErr w:type="spellStart"/>
      <w:r w:rsidR="14FADDEB" w:rsidRPr="008055E9">
        <w:rPr>
          <w:rStyle w:val="Titre2Car"/>
        </w:rPr>
        <w:t>CaOx</w:t>
      </w:r>
      <w:proofErr w:type="spellEnd"/>
      <w:r w:rsidR="14FADDEB" w:rsidRPr="008055E9">
        <w:rPr>
          <w:rStyle w:val="Titre2Car"/>
        </w:rPr>
        <w:t xml:space="preserve"> identification in 25 species</w:t>
      </w:r>
      <w:r w:rsidR="23647196" w:rsidRPr="008055E9">
        <w:rPr>
          <w:rStyle w:val="Titre2Car"/>
        </w:rPr>
        <w:t xml:space="preserve"> present in </w:t>
      </w:r>
      <w:r w:rsidRPr="008055E9">
        <w:rPr>
          <w:rStyle w:val="Titre2Car"/>
        </w:rPr>
        <w:t>Sadhana Forest</w:t>
      </w:r>
      <w:bookmarkEnd w:id="23"/>
    </w:p>
    <w:p w14:paraId="02B69C14" w14:textId="20C7FE43" w:rsidR="001B646F" w:rsidRPr="0049526F" w:rsidRDefault="0049526F" w:rsidP="005F1711">
      <w:r w:rsidRPr="4D50C2EF">
        <w:rPr>
          <w:lang w:val="en-GB"/>
        </w:rPr>
        <w:t xml:space="preserve">Papers and thesis cited in the table: </w:t>
      </w:r>
      <w:r w:rsidR="001D4D8F">
        <w:rPr>
          <w:lang w:val="en-GB"/>
        </w:rPr>
        <w:fldChar w:fldCharType="begin"/>
      </w:r>
      <w:r w:rsidR="0026080D">
        <w:rPr>
          <w:lang w:val="en-GB"/>
        </w:rPr>
        <w:instrText xml:space="preserve"> ADDIN ZOTERO_ITEM CSL_CITATION {"citationID":"B7YD4Rs6","properties":{"formattedCitation":"(Sahri et al. 1993; Srivastava et al. 1997; Walln\\uc0\\u246{}fer 2001; Malik et al. 2004; Sharawy 2004; Ibrahim et al. 2006; Jadhav 2009; Paarakh 2009; Alli Smith 2009; Dhale et al. 2010; Chanda et al. 2010; Friday et al. 2011; Akpakpan and Akpabio 2012; Khalid et al. 2015; Prakash et al. 2015; Sharma et al. 2017; Herv\\uc0\\u233{} et al. 2018; Pande et al. 2018; Pierantoni et al. 2018)","plainCitation":"(Sahri et al. 1993; Srivastava et al. 1997; Wallnöfer 2001; Malik et al. 2004; Sharawy 2004; Ibrahim et al. 2006; Jadhav 2009; Paarakh 2009; Alli Smith 2009; Dhale et al. 2010; Chanda et al. 2010; Friday et al. 2011; Akpakpan and Akpabio 2012; Khalid et al. 2015; Prakash et al. 2015; Sharma et al. 2017; Hervé et al. 2018; Pande et al. 2018; Pierantoni et al. 2018)","dontUpdate":true,"noteIndex":0},"citationItems":[{"id":46,"uris":["http://zotero.org/groups/2387759/items/NQVY6H53"],"itemData":{"id":46,"type":"article-journal","abstract":"&lt;section class=\"abstract\"&gt;&lt;p&gt;A study on the tissue proportions and fibre dimensions of plantation-grown &lt;em&gt;Acacia mangium&lt;/em&gt; was carried out. Ten selected trees from two age groups (4- and 8-year-old) were obtained from plantation forests in Selangor. Disks were taken from four sampling heights. &lt;em&gt;Acacia mangium&lt;/em&gt; wood is diffuse-porous with mostly solitary vessels. The rays are uniseriate. The average percentage of fibres, vessels and rays of 4-year-old and 8-year-old samples are 85.8%, 9.1%, 5.2% and 84.8%, 9.8%, 5.3%, respectively. Acacia is a shortfibred tropical species. The average fibre length, fibre diameter, fibre lumen diameter and fibre wall thickness are 934, 24, 17 and 3.3 µm for 4-year-old samples and 1017,20, 12 and 4.3 µm for 8-year-old sampies, respectively. The sampies near the pith have the shortest fibres and the length increases toward the bark. Fibre length also tends to decrease with height. The vessel percentage decreases with increasing height.&lt;/p&gt;&lt;/section&gt;","container-title":"International Association of Wood Anatomists Journal","DOI":"10.1163/22941932-90001326","ISSN":"0928-1541, 2294-1932","issue":"3","journalAbbreviation":"IAWA J.","language":"en","note":"publisher: Brill\nsection: IAWA Journal","page":"245-251","source":"brill.com","title":"Anatomy of &lt;i&gt;Acacia mangium&lt;/i&gt; grown in Malaysia","volume":"14","author":[{"family":"Sahri","given":"Mohd Hamami"},{"family":"Ibrahim","given":"Faridah Hanum"},{"family":"Shukor","given":"Nor Aini Ab"}],"issued":{"date-parts":[["1993",1,1]]}}},{"id":58,"uris":["http://zotero.org/groups/2387759/items/AF5WUIHV"],"itemData":{"id":58,"type":"article-journal","container-title":"International Journal of Food Sciences and Nutrition","DOI":"10.3109/09637489709012595","ISSN":"0963-7486, 1465-3478","issue":"3","journalAbbreviation":"Int. J. Food Sci. Nutr.","language":"en","page":"215-219","source":"DOI.org (Crossref)","title":"Biochemical contents, their variation and changes in free amino acids during seed germination in &lt;i&gt;Terminalia arjuna&lt;/i&gt;","volume":"48","author":[{"family":"Srivastava","given":"Neeta"},{"family":"Prakash","given":"Dhan"},{"family":"Behl","given":"H. M."}],"issued":{"date-parts":[["1997",1]]}}},{"id":56,"uris":["http://zotero.org/groups/2387759/items/IA2PX4JS"],"itemData":{"id":56,"type":"article-journal","abstract":"In the course of a revision of Ebenaceae for \"Flora Neotropica\", \"Flora of Ecuador\", \"Flora of the Guianas\", and while preparing a corresponding treatment for Kubitzki's \"Families and Genera of Vascular Plants\", a study of the available literature was undertaken. Data pertaining to vegetative morphology and anatomy, indumentum, extrafloral nectaries, sexual polymorphism, inflorescence and flower structure, pollen morphology, pollination, embryology, fruits, seeds, seed dispersal, germination, seedlings, caryology, phytochemistry, ecology, geographical distribution, phylogenetic affinities, paleobotany, and use and economic importance are here compiled, together with relevant bibliography. In addition, a revised description of the family and its genera, and a key for the identification of Diospyros and Euclea are included. Im Rahmen einer Revision der Ebenaceae fur \"Flora Neotropica\", \"Flora of Ecuador\", \"Flora of the Guianas\", sowie der Vorbereitung eines entsprechenden Beitrages für Kubitzkis \"Families and Genera of Vascular Plants\", wurde die verfügbare Literatur ausgewertet. Eine Zusammenfassung der relevanten Daten betreffend vegetative Morphologie und Anatomie, Behaarung, extraflorale Nektarien, Sexualpolymorphismus, Infloreszenz- und Blutenstruktur, Pollen, Bestäubung, Embryologie, Früchte, Samen und deren Verbreitung, Keimung, Keimlinge, Karyologie, Phytochemie, Ökologie, geographische Verbreitung, Verwandtschaftsverhältnisse, Paläobotanik, Verwendung und ökonomische Bedeutung wird hier mit entsprechender Bibliographie vorgestellt. Aktualisierte Beschreibungen der Familie und der beiden akzeptierten Gattungen Diospyros und Euclea, sowie ein Bestimmungsschlüssel für die Gattungen sind gleichfalls inkludiert.","container-title":"Annalen des Naturhistorischen Museums in Wien. Serie B für Botanik und Zoologie","ISSN":"0255-0105","journalAbbreviation":"Ann. Naturhist. Mus. Wien, B Bot. Zool.","note":"publisher: Naturhistorisches Museum","page":"485-512","source":"JSTOR","title":"The biology and systematics of Ebenaceae: a review","title-short":"The Biology and Systematics of Ebenaceae","volume":"103","author":[{"family":"Wallnöfer","given":"B."}],"issued":{"date-parts":[["2001"]]}}},{"id":42,"uris":["http://zotero.org/groups/2387759/items/S3SX3W9D"],"itemData":{"id":42,"type":"article-journal","container-title":"Journal of Scientific and Industrial Research","issue":"2","journalAbbreviation":"J. Sci. Ind. Res.","note":"publisher: NISCAIR-CSIR, India","page":"125-133","source":"Google Scholar","title":"Morphological, anatomical and chemical characteristics of &lt;i&gt;Leucaena leucocephala&lt;/i&gt; and its impact on pulp and paper making properties","volume":"63","author":[{"family":"Malik","given":"R. S."},{"family":"Dutt","given":"Dharm"},{"family":"Tyagi","given":"C. H."},{"family":"Jindal","given":"A. K."},{"family":"Lakharia","given":"L. K."}],"issued":{"date-parts":[["2004"]]}}},{"id":39,"uris":["http://zotero.org/groups/2387759/items/C3E92FDF"],"itemData":{"id":39,"type":"article-journal","container-title":"Feddes Repertorium: Zeitschrift für Botanische Taxonomie Und Geobotanik","DOI":"10.1002/fedr.200411046","issue":"56","journalAbbreviation":"Feddes Repert.","note":"publisher: Wiley Online Library","page":"441–452","source":"Google Scholar","title":"Numerical taxonomic evaluation of calcium oxalate and calcium carbonate crystals in the leaves of certain &lt;i&gt;Ficus&lt;/i&gt; species (Moraceae)","volume":"115","author":[{"family":"Sharawy","given":"S. M."}],"issued":{"date-parts":[["2004"]]}}},{"id":40,"uris":["http://zotero.org/groups/2387759/items/YAVXRP7Z"],"itemData":{"id":40,"type":"article-journal","container-title":"African Journal of Biotechnology","issue":"11","journalAbbreviation":"Afr. J. Biotechnol.","page":"1154-1160","source":"Google Scholar","title":"Comparative studies on &lt;i&gt;Khaya&lt;/i&gt; A. Juss (Meliaceae) in Nigeria","volume":"5","author":[{"family":"Ibrahim","given":"Jemilat A."},{"family":"Ayodele","given":"Emmanuel A."},{"family":"Jegede","given":"Adeola I."},{"family":"Kunle","given":"Yemisi F."}],"issued":{"date-parts":[["2006"]]}}},{"id":36,"uris":["http://zotero.org/groups/2387759/items/JMFVKVKJ"],"itemData":{"id":36,"type":"article-journal","abstract":"Plants have provided mankind with herbal remedies for many diseases for many centuries and even to day. They continue to play a major role in primary healthcare as therapeutic remedies in developing countries. In India herbal medicines have been the bases of treatment and cure for various diseases in traditional methods practiced such as Ayurveda, Unani and Sidha . Syzygium cumini ( syn.Eugenia Jambolana ) commonly know as a “ Jamun ” having promising therapeutic value with its various phytoconstituents such as Tannins, Alkaloids, Steroids, Flavonoids, Terpenoids, Fatty acids, Phenols, Minerals, Carbohydrates and Vitamins. Its pharmacological actions like hypoglycaemic, diuretics, analgesic, anti-inflammatory, antiplaque, antimicrobial, antidiarrhoel, antioxidant,gastro-protective and astringent to bowels proven on animal models. Most importantly the studies have shown that it protects against the radiation induced DNA damage and it has significantly decreases the fertilizing capacity of the male albino rats, some clinical trial reports are also available for its antidiabetic activity.","container-title":"Journal of Pharmacy Research","ISSN":"0974-6943","issue":"8","journalAbbreviation":"J. Pharm. Res.","language":"en","page":"1212-1219","source":"Zotero","title":"Herbal medicine: &lt;i&gt;Syzygium cumini&lt;/i&gt;: a review","volume":"2","author":[{"family":"Jadhav","given":"V M"}],"issued":{"date-parts":[["2009"]]}}},{"id":37,"uris":["http://zotero.org/groups/2387759/items/V8ZFQRQ3"],"itemData":{"id":37,"type":"article-journal","abstract":"Ficus racemosa Linn. is a moderate-sized avenue tree found throughout India either wild or cultivated for its fruits eaten by villagers. It is popular in Indigenous System of Medicine like Ayurveda, Siddha, Unani and Homoeopathy. In the Traditional System of Medicine, various plant parts such as bark, root, leaves, fruits and latex are used in dysentery, diarrhoea, diabetes, bilious affections, stomachache, menorrhage, haemoptysis, piles and as carminative and astringent. The present review is therefore, an effort to give a detailed survey of the literature on its pharmacognosy, phytochemistry, traditional and pharmacological uses.","container-title":"International Research Journal of Modernization in Engineering Technology and Science","DOI":"10.56726/IRJMETS47797","issue":"1","journalAbbreviation":"Int. Res. J. Modern. Eng. Technol. Sci.","language":"en","page":"2943-2952","source":"Zotero","title":"&lt;i&gt;Ficus racemosa&lt;/i&gt; Linn. - An overview","volume":"8","author":[{"family":"Paarakh","given":"Padmaa M"}],"issued":{"date-parts":[["2009"]]}}},{"id":59,"uris":["http://zotero.org/groups/2387759/items/9P5JH2PS"],"itemData":{"id":59,"type":"article-journal","abstract":"The study on the chemical composition of the leaves of one of the most popularly known tropical plants, Senna siamea (Cassia leaves) has been carried out by analyzing samples of the plant leaves collected from Ado-Ekiti in Ekiti State for chemical composition. The proximate, elemental, phytochemicals and toxicant composition of the leaves of senna siamea were determined by analyzing samples of identified leaves using recommended method of analysis. The result of the analysis shows that the percentage crude protein, crude fibre, moisture content, ash content, carbohydrate and crude fat of the leaves are 4.01%, 12.36%, 46.01%, 17.93%, 7.67% and 12.02% respectively. The result of the mineral composition in PPM (Part per million) shows that iron, magnesium, manganese, potassium, calcium, sodium, copper, phosphorus and lead are 112.00, 876.00, 35.10, 812.00, 932.00, 612.00, 0.84 and 0.34 respectively while cadmium and vanadium was not detected in the leaves. The photochemical analysis shows that the leaves contain anthraquinones, alkaloids, phylobatannins and saponin and the toxicant composition shows the presence of tannin, oxalate and phytate. The minerals present in leaves shows that the leaves are good sources of essential nutrients but the presence of the toxicants shows that these leaves should be properly processed before consuming them.","container-title":"Pakistan Journal of Nutrition","DOI":"10.3923/pjn.2009.119.121","journalAbbreviation":"Pak. J. Nutr.","page":"119-121","source":"ResearchGate","title":"Determination of chemical composition of &lt;i&gt;Senna siamea&lt;/i&gt; (Cassia leaves)","volume":"8","author":[{"family":"Alli Smith","given":"Yemisi"}],"issued":{"date-parts":[["2009",2,1]]}}},{"id":775,"uris":["http://zotero.org/groups/2387759/items/B34ALAK6"],"itemData":{"id":775,"type":"article-journal","abstract":"The present paper deals with the physico-chemical, quantitative phytochemical determination and antimicrobial activity of Butea monosperma (Lamk.) Taub., an important medicinal tree in India. The in-vitro antimicrobial activity of ethanol, chloroform and petroleum ether extracts were studied using MIC (Minimum Inhibitory\nConcentration) by well diffusion method against pathogenic microbes viz., Escherichia coli,\nPseudomonas aeruginosa, Staphylococcus aureus and Bacillus subtilis. Among the solvents\nused, the ethanol extract was found to be more effective against Bacillus subtilis, and\nStaphylococcus aureus. The petroleum ether extract did not inhibit Pseudomonas aeruginosa,\nwhile the Escherichia coli did not inhibit any type of extract. Activities of the various\nextracts were comparable to those of standard antibacterial agent ampicillin as control.\nThe results provided evidence that the studied plant might indeed be potential sources of\nphytochemical constitution and antimicrobial agents and showing that this plant can be\nused as a complementary source for traditional medicines.","container-title":"Journal of Phytology","ISSN":"2075-6240","issue":"12","journalAbbreviation":"J. Phytol.","page":"17-21","source":"ResearchGate","title":"Evaluations of phytochemical constituents and antimicrobial activity of &lt;i&gt;Butea monosperma&lt;/i&gt; (Fabaceae)","volume":"2","author":[{"family":"Dhale","given":"Datta"},{"family":"Chamle","given":"Datta"},{"family":"Panchal","given":"Vighnesh"}],"issued":{"date-parts":[["2010",1,1]]}}},{"id":35,"uris":["http://zotero.org/groups/2387759/items/2ZEJ6IYM"],"itemData":{"id":35,"type":"article-journal","abstract":"The term pharmacognosy, a constituent scientific discipline of pharmacy, has been in use for nearly 200 years and it refers to the studies on natural product drugs. The present study deals with the macroscopic and microscopic studies of Manilkara hexandra (Roxb.) Dubard leaf. The anatomy of the leaf was studied by taking transverse section which showed anomocytic stomata, unicellular trichomes, etc. Powder microscopic examination showed presence of pitted pericyclic fibres, spiral xylem vessels and calcium oxalate crystals. Physicochemical parameters and heavy metal analysis of the powder were also carried out. The present investigation on M. hexandra leaf might be useful to supplement information in regard to its identification parameters. Such studies are important in the way of acceptability of herbal drugs in present scenario of lacking regulatory laws to control quality of herbal drugs.","container-title":"Pharmacognosy Journal","DOI":"10.1016/S0975-3575(10)80054-9","ISSN":"0975-3575","issue":"13","journalAbbreviation":"Pharmacogn. J.","language":"en","page":"520-524","source":"ScienceDirect","title":"Assessment of quality of &lt;i&gt;Manilkara hexandra&lt;/i&gt; (Roxb.) Dubard leaf (Sapotaceae): Pharmacognostical and physicochemical profile","title-short":"Assessment of quality of Manilkara hexandra (Roxb.) Dubard leaf (Sapotaceae)","volume":"2","author":[{"family":"Chanda","given":"Sumitra"},{"family":"Nagani","given":"Krunal"},{"family":"Parekh","given":"Jigna"}],"issued":{"date-parts":[["2010",9,1]]}}},{"id":53,"uris":["http://zotero.org/groups/2387759/items/UI3MX7EF"],"itemData":{"id":53,"type":"article-journal","container-title":"International Journal of Plant Physiology and Biochemistry","ISSN":"2141-2162","issue":"6","journalAbbreviation":"Int. J. Plant Physiol. Biochem.","note":"publisher: Citeseer","page":"95–101","source":"Google Scholar","title":"Investigations on the nutritional and medicinal potentials of &lt;i&gt;Ceiba pentandra&lt;/i&gt; leaf: A common vegetable in Nigeria","title-short":"Investigations on the nutritional and medicinal potentials of Ceiba pentandra leaf","volume":"3","author":[{"family":"Friday","given":"Emmanuel Titus"},{"family":"James","given":"Omale"},{"family":"Olusegun","given":"Olupinyo"},{"family":"Gabriel","given":"Adah"}],"issued":{"date-parts":[["2011"]]}}},{"id":49,"uris":["http://zotero.org/groups/2387759/items/3K4EIXWD"],"itemData":{"id":49,"type":"article-journal","abstract":"Proximate composition, mineral elements, anti-nutrients (toxicants) and lipid characteristics were determined for almond {Terminalia catappa) seeds. The results obtained showed the proximate composition of 25.23% moisture; 5.00% ash; 32.73% lipid; 33.66% crude fibre; 3.11% crude protein; 25.47% carbohydrate and caloric value 534.200 kcal. Mineral elements determined were P, Na, K, Fe, Mg and Ca while the anti-nutrients evaluated were hydrogen cyanide, oxalate and tannin. Almond seed oil was also characterized. The chemical properties of the oil showed that the oil contain high sapomfication value with low iodine value hence the oil is not recommended for soap making but is recommended for cosmetics industries.","container-title":"Research Journal of Applied Sciences","DOI":"10.3923/rjasci.2012.489.493","journalAbbreviation":"Res. J. Appl. Sci.","page":"489-493","source":"ResearchGate","title":"Evaluation of proximate composition, mineral element and anti-nutrient in almond (&lt;i&gt;Terminalia catappa&lt;/i&gt;) seeds","volume":"7","author":[{"family":"Akpakpan","given":"Aniekan"},{"family":"Akpabio","given":"Ukana"}],"issued":{"date-parts":[["2012",1,1]]}}},{"id":44,"uris":["http://zotero.org/groups/2387759/items/QBB432Z5"],"itemData":{"id":44,"type":"article-journal","container-title":"International Journal of Pharmacognosy","DOI":"10.13040/IJPSR.0975-8232.IJP.2(5).248-53","issue":"5","journalAbbreviation":"Int. J. Pharmacogn.","page":"248-253","source":"Google Scholar","title":"Pharmacognostical investigation and total phenolic content of &lt;i&gt;Dalbergia latifolia&lt;/i&gt; (Roxb) bark","volume":"2","author":[{"family":"Khalid","given":"M."},{"family":"Akhtar","given":"J."},{"family":"Badruddeen","given":"Arif M."},{"family":"Singh","given":"Kuldeep"}],"issued":{"date-parts":[["2015"]]}}},{"id":57,"uris":["http://zotero.org/groups/2387759/items/WZTTV24V"],"itemData":{"id":57,"type":"article-journal","abstract":"The aim of the present study to evaluate preliminary pharmacognostic investigation of leaves of Arto-carpus heterophyllus were carried for organoleptic parameters followed by evaluation based on morphological, mi-croscopical, physicochemical, phytochemical and chro-matogrphical characteristics.The Artocarpus heterophyllus lam. is a species of tree of the mulberry family Moraceae, known by other names jackfruit (English) and kathal (Hindi) reported to possess antibacterial, anti-inflammatory, antidiabetic, antioxidant and immunomo-dulation properties. Artocarpus heterophyllus is an important source of chemicals of morin, dihydromorin, cyno-macurin, artocarpin, isoartocaepin, cyloartocarpin, arto-carpesin, oxydihydroartocarpesin, artocarpetin, norarto-carpetin, cycloartinone, betulinic acid, artocarpanone and heterophylol which are useful in fever, boils, wounds, skin diseases, convulsions, diuretic, constipation, oph-thalmic disorder and snake bite.","container-title":"International Journal of Natural Products and Marine Biology","issue":"1","journalAbbreviation":"Int J. Nat. Prod Mar Bio","page":"35-40","source":"ResearchGate","title":"Preliminary pharmacognostic and phytochemical studies on leaves of &lt;i&gt;Artocarpus heterophyllus&lt;/i&gt;","volume":"1","author":[{"family":"Prakash","given":"Om"},{"family":"Srivastava","given":"Ritika"},{"family":"Kumar","given":"Rajesh"},{"family":"Mishra","given":"Shivam"},{"family":"Srivastava","given":"Shivam"}],"issued":{"date-parts":[["2015",5,1]]}}},{"id":48,"uris":["http://zotero.org/groups/2387759/items/ECSXHMJR"],"itemData":{"id":48,"type":"article-journal","container-title":"Journal of Medicinal Plants","issue":"1","page":"398–402","source":"Google Scholar","title":"Pharmacognostical standardization and preliminary phytochemical investigations on Acacia auriculiformis A. Cunn. Ex. Benth stem bark","volume":"5","author":[{"family":"Sharma","given":"Nidhi"},{"family":"Singh","given":"Sumitra"},{"family":"Singh","given":"Shailendra Kumar"}],"issued":{"date-parts":[["2017"]]}}},{"id":472,"uris":["http://zotero.org/groups/2387759/items/TRWLZ7XN"],"itemData":{"id":472,"type":"article-journal","container-title":"Geomicrobiology Journal","DOI":"10.1080/01490451.2017.1309087","issue":"1","journalAbbreviation":"Geomicrobiol. J.","page":"31–39","title":"Carbonate accumulation in the bark of &lt;i&gt;Terminalia bellirica&lt;/i&gt;: A new habitat for the oxalate-carbonate pathway","volume":"35","author":[{"family":"Hervé","given":"Vincent"},{"family":"Clerc","given":"Martin"},{"family":"Cailleau","given":"Guillaume"},{"family":"Bueche","given":"Matthieu"},{"family":"Junier","given":"Thomas"},{"family":"Verrecchia","given":"Eric"},{"family":"Junier","given":"Pilar"}],"issued":{"date-parts":[["2018"]]}}},{"id":51,"uris":["http://zotero.org/groups/2387759/items/IAW6FYPH"],"itemData":{"id":51,"type":"article-journal","container-title":"International Journal of Pharmaceutical Science and Research","DOI":"10.13040/IJPSR.0975-8232.9(6).2387-94","issue":"6","journalAbbreviation":"IJPSR","page":"2387–2394","source":"Google Scholar","title":"Development of quality control parameters for the standardization of &lt;i&gt;Aegle marmelos&lt;/i&gt; (Roxb) seed","volume":"9","author":[{"family":"Pande","given":"Jyoti"},{"family":"Padalia","given":"Hemali"},{"family":"Donga","given":"Savan"},{"family":"Chanda","given":"Sumitra"}],"issued":{"date-parts":[["2018"]]}}},{"id":38,"uris":["http://zotero.org/groups/2387759/items/J6Q75G9H"],"itemData":{"id":38,"type":"article-journal","abstract":"Ficus trees are adapted to diverse environments and have some of the highest rates of photosynthesis among trees. Ficus leaves can deposit one or more of the three major mineral types found in leaves: amorphous calcium carbonate cystoliths, calcium oxalates, and silica phytoliths. In order to better understand the functions of these minerals and the control that the leaf exerts over mineral deposition, we investigated leaves from 10 Ficus species from vastly different environments (Rehovot, Israel; Bologna, Italy; Issa Valley, Tanzania; and Ngogo, Uganda). We identified the mineral locations in the soft tissues, the relative distributions of the minerals, and mineral volume contents using microcomputed tomography. Each Ficus species is characterized by a unique 3D mineral distribution that is preserved in different environments. The mineral distribution patterns are generally different on the adaxial and abaxial sides of the leaf. All species examined have abundant calcium oxalate deposits around the veins. We used micromodulated fluorimetry to examine the effect of cystoliths on photosynthetic efficiency in two species having cystoliths abaxially and adaxially (Ficus microcarpa) or only abaxially (Ficus carica). In F. microcarpa, both adaxial and abaxial cystoliths efficiently contributed to light redistribution inside the leaf and, hence, increased photosynthetic efficiency, whereas in F. carica, the abaxial cystoliths did not increase photosynthetic efficiency.","container-title":"Plant Physiology","DOI":"10.1104/pp.17.01516","ISSN":"0032-0889, 1532-2548","issue":"2","journalAbbreviation":"Plant Physiol.","language":"en","license":"© 2018 American Society of Plant Biologists. All Rights Reserved.","note":"publisher: American Society of Plant Biologists\nsection: Articles\nPMID: 29242376","page":"1751-1763","source":"www.plantphysiol.org","title":"Mineral deposits in &lt;i&gt;Ficus&lt;/i&gt; leaves: morphologies and locations in relation to function","title-short":"Mineral Deposits in Ficus Leaves","volume":"176","author":[{"family":"Pierantoni","given":"Maria"},{"family":"Tenne","given":"Ron"},{"family":"Rephael","given":"Batel"},{"family":"Brumfeld","given":"Vlad"},{"family":"Casteren","given":"Adam","dropping-particle":"van"},{"family":"Kupczik","given":"Kornelius"},{"family":"Oron","given":"Dan"},{"family":"Addadi","given":"Lia"},{"family":"Weiner","given":"Steve"}],"issued":{"date-parts":[["2018",2,1]]}}}],"schema":"https://github.com/citation-style-language/schema/raw/master/csl-citation.json"} </w:instrText>
      </w:r>
      <w:r w:rsidR="001D4D8F">
        <w:rPr>
          <w:lang w:val="en-GB"/>
        </w:rPr>
        <w:fldChar w:fldCharType="separate"/>
      </w:r>
      <w:r w:rsidR="001D4D8F" w:rsidRPr="001D4D8F">
        <w:rPr>
          <w:kern w:val="0"/>
        </w:rPr>
        <w:t>Sahri et al. 1993; Srivastava et al. 1997; Wallnöfer 2001; Malik et al. 2004; Sharawy 2004; Ibrahim et al. 2006; Jadhav 2009; Paarakh 2009; Alli Smith 2009; Dhale et al. 2010; Chanda et al. 2010; Friday et al. 2011; Akpakpan and Akpabio 2012; Khalid et al. 2015; Prakash et al. 2015; Sharma et al. 2017; Hervé et al. 2018; Pande et al. 2018; Pierantoni et al. 2018</w:t>
      </w:r>
      <w:r w:rsidR="001D4D8F">
        <w:rPr>
          <w:kern w:val="0"/>
        </w:rPr>
        <w:t>.</w:t>
      </w:r>
      <w:r w:rsidR="001D4D8F">
        <w:rPr>
          <w:lang w:val="en-GB"/>
        </w:rPr>
        <w:fldChar w:fldCharType="end"/>
      </w:r>
    </w:p>
    <w:p w14:paraId="67B5AB84" w14:textId="02B2A88F" w:rsidR="00C35BD6" w:rsidRDefault="008055E9" w:rsidP="0065583C">
      <w:pPr>
        <w:pStyle w:val="Titre2"/>
        <w:rPr>
          <w:shd w:val="clear" w:color="auto" w:fill="FFFF00"/>
          <w:lang w:val="en-GB"/>
        </w:rPr>
      </w:pPr>
      <w:bookmarkStart w:id="24" w:name="_Toc199759389"/>
      <w:proofErr w:type="spellStart"/>
      <w:proofErr w:type="gramStart"/>
      <w:r w:rsidRPr="221E3605">
        <w:rPr>
          <w:rFonts w:eastAsia="Calibri"/>
          <w:szCs w:val="20"/>
          <w:lang w:val="en-GB"/>
        </w:rPr>
        <w:t>S</w:t>
      </w:r>
      <w:r>
        <w:rPr>
          <w:lang w:val="en-GB"/>
        </w:rPr>
        <w:t>.</w:t>
      </w:r>
      <w:r w:rsidR="14FADDEB">
        <w:rPr>
          <w:lang w:val="en-GB"/>
        </w:rPr>
        <w:t>Table</w:t>
      </w:r>
      <w:proofErr w:type="spellEnd"/>
      <w:proofErr w:type="gramEnd"/>
      <w:r w:rsidR="14FADDEB" w:rsidRPr="43FD68B5">
        <w:rPr>
          <w:lang w:val="en-GB"/>
        </w:rPr>
        <w:t xml:space="preserve"> </w:t>
      </w:r>
      <w:r w:rsidR="005F1711">
        <w:rPr>
          <w:lang w:val="en-GB"/>
        </w:rPr>
        <w:t>5</w:t>
      </w:r>
      <w:r w:rsidR="14FADDEB" w:rsidRPr="43FD68B5">
        <w:rPr>
          <w:lang w:val="en-GB"/>
        </w:rPr>
        <w:t xml:space="preserve">: </w:t>
      </w:r>
      <w:proofErr w:type="spellStart"/>
      <w:r w:rsidR="14FADDEB">
        <w:rPr>
          <w:lang w:val="en-GB"/>
        </w:rPr>
        <w:t>CaOx</w:t>
      </w:r>
      <w:proofErr w:type="spellEnd"/>
      <w:r w:rsidR="14FADDEB">
        <w:rPr>
          <w:lang w:val="en-GB"/>
        </w:rPr>
        <w:t xml:space="preserve"> content of the species</w:t>
      </w:r>
      <w:bookmarkEnd w:id="24"/>
    </w:p>
    <w:p w14:paraId="7226C263" w14:textId="1AF92904" w:rsidR="00C35BD6" w:rsidRPr="001E5127" w:rsidRDefault="008055E9" w:rsidP="0065583C">
      <w:pPr>
        <w:pStyle w:val="Titre2"/>
        <w:rPr>
          <w:lang w:val="en-GB"/>
        </w:rPr>
      </w:pPr>
      <w:bookmarkStart w:id="25" w:name="_Toc199759390"/>
      <w:proofErr w:type="spellStart"/>
      <w:proofErr w:type="gramStart"/>
      <w:r>
        <w:rPr>
          <w:lang w:val="en-GB"/>
        </w:rPr>
        <w:t>S.</w:t>
      </w:r>
      <w:r w:rsidR="00C35BD6" w:rsidRPr="00134DBA">
        <w:rPr>
          <w:lang w:val="en-GB"/>
        </w:rPr>
        <w:t>Table</w:t>
      </w:r>
      <w:proofErr w:type="spellEnd"/>
      <w:proofErr w:type="gramEnd"/>
      <w:r w:rsidR="00C35BD6" w:rsidRPr="00134DBA">
        <w:rPr>
          <w:lang w:val="en-GB"/>
        </w:rPr>
        <w:t xml:space="preserve"> </w:t>
      </w:r>
      <w:r w:rsidR="005F1711">
        <w:rPr>
          <w:lang w:val="en-GB"/>
        </w:rPr>
        <w:t>6</w:t>
      </w:r>
      <w:r w:rsidR="00C35BD6" w:rsidRPr="00134DBA">
        <w:rPr>
          <w:lang w:val="en-GB"/>
        </w:rPr>
        <w:t xml:space="preserve">: </w:t>
      </w:r>
      <w:r w:rsidR="007F2AFA">
        <w:rPr>
          <w:lang w:val="en-GB"/>
        </w:rPr>
        <w:t xml:space="preserve">Adjusted </w:t>
      </w:r>
      <w:r w:rsidR="005F1711">
        <w:rPr>
          <w:i/>
          <w:iCs/>
          <w:lang w:val="en-GB"/>
        </w:rPr>
        <w:t>p-</w:t>
      </w:r>
      <w:r w:rsidR="007F2AFA">
        <w:rPr>
          <w:lang w:val="en-GB"/>
        </w:rPr>
        <w:t xml:space="preserve">values </w:t>
      </w:r>
      <w:r w:rsidR="00C35BD6" w:rsidRPr="00134DBA">
        <w:rPr>
          <w:lang w:val="en-GB"/>
        </w:rPr>
        <w:t xml:space="preserve">from the </w:t>
      </w:r>
      <w:r w:rsidR="00C35BD6">
        <w:rPr>
          <w:lang w:val="en-GB"/>
        </w:rPr>
        <w:t>PERMANOVA</w:t>
      </w:r>
      <w:r w:rsidR="00C35BD6" w:rsidRPr="00134DBA">
        <w:rPr>
          <w:lang w:val="en-GB"/>
        </w:rPr>
        <w:t xml:space="preserve"> analysis of the </w:t>
      </w:r>
      <w:proofErr w:type="spellStart"/>
      <w:r w:rsidR="00C35BD6" w:rsidRPr="00D654BA">
        <w:rPr>
          <w:i/>
          <w:iCs/>
          <w:lang w:val="en-GB"/>
        </w:rPr>
        <w:t>frc</w:t>
      </w:r>
      <w:proofErr w:type="spellEnd"/>
      <w:r w:rsidR="00C35BD6" w:rsidRPr="00134DBA">
        <w:rPr>
          <w:lang w:val="en-GB"/>
        </w:rPr>
        <w:t xml:space="preserve"> gene data</w:t>
      </w:r>
      <w:bookmarkEnd w:id="25"/>
    </w:p>
    <w:p w14:paraId="53FC3E69" w14:textId="351728D2" w:rsidR="00C35BD6" w:rsidRDefault="008055E9" w:rsidP="0065583C">
      <w:pPr>
        <w:pStyle w:val="Titre2"/>
        <w:rPr>
          <w:lang w:val="en-GB"/>
        </w:rPr>
      </w:pPr>
      <w:bookmarkStart w:id="26" w:name="_Toc199759391"/>
      <w:proofErr w:type="spellStart"/>
      <w:proofErr w:type="gramStart"/>
      <w:r>
        <w:rPr>
          <w:lang w:val="en-GB"/>
        </w:rPr>
        <w:t>S.</w:t>
      </w:r>
      <w:r w:rsidR="00C35BD6">
        <w:rPr>
          <w:lang w:val="en-GB"/>
        </w:rPr>
        <w:t>Table</w:t>
      </w:r>
      <w:proofErr w:type="spellEnd"/>
      <w:proofErr w:type="gramEnd"/>
      <w:r w:rsidR="00C35BD6" w:rsidRPr="43FD68B5">
        <w:rPr>
          <w:lang w:val="en-GB"/>
        </w:rPr>
        <w:t xml:space="preserve"> </w:t>
      </w:r>
      <w:r w:rsidR="005F1711">
        <w:rPr>
          <w:lang w:val="en-GB"/>
        </w:rPr>
        <w:t>7</w:t>
      </w:r>
      <w:r w:rsidR="00C35BD6" w:rsidRPr="43FD68B5">
        <w:rPr>
          <w:lang w:val="en-GB"/>
        </w:rPr>
        <w:t>:</w:t>
      </w:r>
      <w:r w:rsidR="00C35BD6">
        <w:rPr>
          <w:lang w:val="en-GB"/>
        </w:rPr>
        <w:t xml:space="preserve"> Bulk </w:t>
      </w:r>
      <w:r w:rsidR="007D4DD9">
        <w:rPr>
          <w:lang w:val="en-GB"/>
        </w:rPr>
        <w:t>s</w:t>
      </w:r>
      <w:r w:rsidR="00C35BD6">
        <w:rPr>
          <w:lang w:val="en-GB"/>
        </w:rPr>
        <w:t xml:space="preserve">oil </w:t>
      </w:r>
      <w:r w:rsidR="007D4DD9">
        <w:rPr>
          <w:lang w:val="en-GB"/>
        </w:rPr>
        <w:t>p</w:t>
      </w:r>
      <w:r w:rsidR="00C35BD6">
        <w:rPr>
          <w:lang w:val="en-GB"/>
        </w:rPr>
        <w:t>roperties</w:t>
      </w:r>
      <w:bookmarkEnd w:id="26"/>
    </w:p>
    <w:p w14:paraId="3CD43017" w14:textId="6AFBEE86" w:rsidR="00D654BA" w:rsidRDefault="008055E9" w:rsidP="0065583C">
      <w:pPr>
        <w:pStyle w:val="Titre2"/>
        <w:rPr>
          <w:lang w:val="en-GB"/>
        </w:rPr>
      </w:pPr>
      <w:bookmarkStart w:id="27" w:name="_Toc199759392"/>
      <w:proofErr w:type="spellStart"/>
      <w:proofErr w:type="gramStart"/>
      <w:r>
        <w:rPr>
          <w:lang w:val="en-GB"/>
        </w:rPr>
        <w:t>S.</w:t>
      </w:r>
      <w:r w:rsidR="00C35BD6">
        <w:rPr>
          <w:lang w:val="en-GB"/>
        </w:rPr>
        <w:t>Table</w:t>
      </w:r>
      <w:proofErr w:type="spellEnd"/>
      <w:proofErr w:type="gramEnd"/>
      <w:r w:rsidR="00C35BD6" w:rsidRPr="43FD68B5">
        <w:rPr>
          <w:lang w:val="en-GB"/>
        </w:rPr>
        <w:t xml:space="preserve"> </w:t>
      </w:r>
      <w:r w:rsidR="005F1711">
        <w:rPr>
          <w:lang w:val="en-GB"/>
        </w:rPr>
        <w:t>8</w:t>
      </w:r>
      <w:r w:rsidR="00C35BD6" w:rsidRPr="43FD68B5">
        <w:rPr>
          <w:lang w:val="en-GB"/>
        </w:rPr>
        <w:t>:</w:t>
      </w:r>
      <w:r w:rsidR="00C35BD6">
        <w:rPr>
          <w:lang w:val="en-GB"/>
        </w:rPr>
        <w:t xml:space="preserve"> </w:t>
      </w:r>
      <w:r w:rsidR="007D4DD9">
        <w:rPr>
          <w:lang w:val="en-GB"/>
        </w:rPr>
        <w:t>Concentrations of elements obtained by X-ray fluorescence</w:t>
      </w:r>
      <w:bookmarkEnd w:id="27"/>
    </w:p>
    <w:p w14:paraId="04715985" w14:textId="78DF53DE" w:rsidR="00D654BA" w:rsidRDefault="008055E9" w:rsidP="0065583C">
      <w:pPr>
        <w:pStyle w:val="Titre2"/>
        <w:rPr>
          <w:lang w:val="en-GB"/>
        </w:rPr>
      </w:pPr>
      <w:bookmarkStart w:id="28" w:name="_Toc199759393"/>
      <w:proofErr w:type="spellStart"/>
      <w:proofErr w:type="gramStart"/>
      <w:r>
        <w:rPr>
          <w:lang w:val="en-GB"/>
        </w:rPr>
        <w:t>S.</w:t>
      </w:r>
      <w:r w:rsidR="00D654BA">
        <w:rPr>
          <w:lang w:val="en-GB"/>
        </w:rPr>
        <w:t>Table</w:t>
      </w:r>
      <w:proofErr w:type="spellEnd"/>
      <w:proofErr w:type="gramEnd"/>
      <w:r w:rsidR="00A2364F">
        <w:rPr>
          <w:lang w:val="en-GB"/>
        </w:rPr>
        <w:t xml:space="preserve"> </w:t>
      </w:r>
      <w:r w:rsidR="005F1711">
        <w:rPr>
          <w:lang w:val="en-GB"/>
        </w:rPr>
        <w:t>9</w:t>
      </w:r>
      <w:r w:rsidR="00D654BA" w:rsidRPr="43FD68B5">
        <w:rPr>
          <w:lang w:val="en-GB"/>
        </w:rPr>
        <w:t>:</w:t>
      </w:r>
      <w:r w:rsidR="00D654BA">
        <w:rPr>
          <w:lang w:val="en-GB"/>
        </w:rPr>
        <w:t xml:space="preserve"> </w:t>
      </w:r>
      <w:r w:rsidR="007D4DD9">
        <w:rPr>
          <w:lang w:val="en-GB"/>
        </w:rPr>
        <w:t xml:space="preserve">Data of mineral compositions obtained by </w:t>
      </w:r>
      <w:r w:rsidR="00D654BA">
        <w:rPr>
          <w:lang w:val="en-GB"/>
        </w:rPr>
        <w:t>X-ray diffractio</w:t>
      </w:r>
      <w:r w:rsidR="007D4DD9">
        <w:rPr>
          <w:lang w:val="en-GB"/>
        </w:rPr>
        <w:t>n</w:t>
      </w:r>
      <w:bookmarkEnd w:id="28"/>
    </w:p>
    <w:p w14:paraId="7CEC2712" w14:textId="0B0F65EB" w:rsidR="00F04660" w:rsidRDefault="008055E9" w:rsidP="0065583C">
      <w:pPr>
        <w:pStyle w:val="Titre2"/>
        <w:rPr>
          <w:lang w:val="en-GB"/>
        </w:rPr>
      </w:pPr>
      <w:bookmarkStart w:id="29" w:name="_Toc199759394"/>
      <w:proofErr w:type="spellStart"/>
      <w:proofErr w:type="gramStart"/>
      <w:r>
        <w:rPr>
          <w:lang w:val="en-GB"/>
        </w:rPr>
        <w:t>S.</w:t>
      </w:r>
      <w:r w:rsidR="009ED7E0" w:rsidRPr="221E3605">
        <w:rPr>
          <w:lang w:val="en-GB"/>
        </w:rPr>
        <w:t>Table</w:t>
      </w:r>
      <w:proofErr w:type="spellEnd"/>
      <w:proofErr w:type="gramEnd"/>
      <w:r w:rsidR="009ED7E0" w:rsidRPr="221E3605">
        <w:rPr>
          <w:lang w:val="en-GB"/>
        </w:rPr>
        <w:t xml:space="preserve"> </w:t>
      </w:r>
      <w:r w:rsidR="005F1711">
        <w:rPr>
          <w:lang w:val="en-GB"/>
        </w:rPr>
        <w:t>10</w:t>
      </w:r>
      <w:r w:rsidR="009ED7E0" w:rsidRPr="221E3605">
        <w:rPr>
          <w:lang w:val="en-GB"/>
        </w:rPr>
        <w:t xml:space="preserve">: Identified </w:t>
      </w:r>
      <w:proofErr w:type="spellStart"/>
      <w:r w:rsidR="009ED7E0" w:rsidRPr="221E3605">
        <w:rPr>
          <w:lang w:val="en-GB"/>
        </w:rPr>
        <w:t>oxalotrophic</w:t>
      </w:r>
      <w:proofErr w:type="spellEnd"/>
      <w:r w:rsidR="009ED7E0" w:rsidRPr="221E3605">
        <w:rPr>
          <w:lang w:val="en-GB"/>
        </w:rPr>
        <w:t xml:space="preserve"> communities and whether they are known or unknown</w:t>
      </w:r>
      <w:bookmarkEnd w:id="29"/>
    </w:p>
    <w:p w14:paraId="1E0357B7" w14:textId="77777777" w:rsidR="0049526F" w:rsidRDefault="0049526F">
      <w:pPr>
        <w:spacing w:after="200" w:line="276" w:lineRule="auto"/>
        <w:jc w:val="left"/>
        <w:rPr>
          <w:rFonts w:asciiTheme="majorHAnsi" w:eastAsiaTheme="majorEastAsia" w:hAnsiTheme="majorHAnsi" w:cstheme="majorBidi"/>
          <w:color w:val="365F91" w:themeColor="accent1" w:themeShade="BF"/>
          <w:sz w:val="32"/>
          <w:szCs w:val="32"/>
        </w:rPr>
      </w:pPr>
      <w:r>
        <w:br w:type="page"/>
      </w:r>
    </w:p>
    <w:p w14:paraId="05771647" w14:textId="3E495309" w:rsidR="00A447F3" w:rsidRDefault="00234E13" w:rsidP="0065583C">
      <w:pPr>
        <w:pStyle w:val="Titre1"/>
        <w:jc w:val="center"/>
      </w:pPr>
      <w:bookmarkStart w:id="30" w:name="_Toc199759395"/>
      <w:proofErr w:type="spellStart"/>
      <w:proofErr w:type="gramStart"/>
      <w:r>
        <w:lastRenderedPageBreak/>
        <w:t>S.</w:t>
      </w:r>
      <w:r w:rsidR="004D460C">
        <w:t>Methods</w:t>
      </w:r>
      <w:proofErr w:type="spellEnd"/>
      <w:proofErr w:type="gramEnd"/>
      <w:r w:rsidR="004D460C">
        <w:t>:</w:t>
      </w:r>
      <w:r>
        <w:t xml:space="preserve"> </w:t>
      </w:r>
      <w:r w:rsidR="0008389F">
        <w:t>Supplementary methods</w:t>
      </w:r>
      <w:bookmarkEnd w:id="30"/>
    </w:p>
    <w:p w14:paraId="2CDAB76A" w14:textId="4B0C1646" w:rsidR="00F05544" w:rsidRPr="00F05544" w:rsidRDefault="00F05544" w:rsidP="0065583C">
      <w:pPr>
        <w:pStyle w:val="Titre2"/>
      </w:pPr>
      <w:bookmarkStart w:id="31" w:name="_Toc199759396"/>
      <w:r>
        <w:t>Parent materials</w:t>
      </w:r>
      <w:bookmarkEnd w:id="31"/>
    </w:p>
    <w:p w14:paraId="074EE798" w14:textId="61C1AFA4" w:rsidR="00F05544" w:rsidRDefault="00F05544" w:rsidP="00F05544">
      <w:pPr>
        <w:rPr>
          <w:lang w:val="en-GB"/>
        </w:rPr>
      </w:pPr>
      <w:r w:rsidRPr="005A3822">
        <w:rPr>
          <w:lang w:val="en-GB"/>
        </w:rPr>
        <w:t xml:space="preserve">The </w:t>
      </w:r>
      <w:r>
        <w:rPr>
          <w:lang w:val="en-GB"/>
        </w:rPr>
        <w:t>A</w:t>
      </w:r>
      <w:r w:rsidRPr="005A3822">
        <w:rPr>
          <w:lang w:val="en-GB"/>
        </w:rPr>
        <w:t xml:space="preserve">lluvium </w:t>
      </w:r>
      <w:r>
        <w:rPr>
          <w:lang w:val="en-GB"/>
        </w:rPr>
        <w:t xml:space="preserve">formation </w:t>
      </w:r>
      <w:r w:rsidR="007D4DD9">
        <w:rPr>
          <w:lang w:val="en-GB"/>
        </w:rPr>
        <w:t xml:space="preserve">is a </w:t>
      </w:r>
      <w:r>
        <w:rPr>
          <w:lang w:val="en-GB"/>
        </w:rPr>
        <w:t xml:space="preserve">mixture of fluvial </w:t>
      </w:r>
      <w:r w:rsidRPr="005A3822">
        <w:rPr>
          <w:lang w:val="en-GB"/>
        </w:rPr>
        <w:t xml:space="preserve">Quaternary </w:t>
      </w:r>
      <w:r>
        <w:rPr>
          <w:lang w:val="en-GB"/>
        </w:rPr>
        <w:t>deposits</w:t>
      </w:r>
      <w:r w:rsidRPr="005A3822">
        <w:rPr>
          <w:lang w:val="en-GB"/>
        </w:rPr>
        <w:t>,</w:t>
      </w:r>
      <w:r>
        <w:rPr>
          <w:lang w:val="en-GB"/>
        </w:rPr>
        <w:t xml:space="preserve"> transported and deposited by the neighbouring </w:t>
      </w:r>
      <w:proofErr w:type="spellStart"/>
      <w:r w:rsidRPr="005A3822">
        <w:rPr>
          <w:lang w:val="en-GB"/>
        </w:rPr>
        <w:t>Kaluvelli</w:t>
      </w:r>
      <w:proofErr w:type="spellEnd"/>
      <w:r w:rsidRPr="005A3822">
        <w:rPr>
          <w:lang w:val="en-GB"/>
        </w:rPr>
        <w:t xml:space="preserve"> Swamps, </w:t>
      </w:r>
      <w:proofErr w:type="spellStart"/>
      <w:r w:rsidRPr="005A3822">
        <w:rPr>
          <w:lang w:val="en-GB"/>
        </w:rPr>
        <w:t>Ponnaiyar</w:t>
      </w:r>
      <w:proofErr w:type="spellEnd"/>
      <w:r w:rsidRPr="005A3822">
        <w:rPr>
          <w:lang w:val="en-GB"/>
        </w:rPr>
        <w:t xml:space="preserve"> </w:t>
      </w:r>
      <w:r>
        <w:rPr>
          <w:lang w:val="en-GB"/>
        </w:rPr>
        <w:t>or</w:t>
      </w:r>
      <w:r w:rsidRPr="005A3822">
        <w:rPr>
          <w:lang w:val="en-GB"/>
        </w:rPr>
        <w:t xml:space="preserve"> </w:t>
      </w:r>
      <w:proofErr w:type="spellStart"/>
      <w:r w:rsidRPr="005A3822">
        <w:rPr>
          <w:lang w:val="en-GB"/>
        </w:rPr>
        <w:t>Gingee</w:t>
      </w:r>
      <w:proofErr w:type="spellEnd"/>
      <w:r w:rsidRPr="005A3822">
        <w:rPr>
          <w:lang w:val="en-GB"/>
        </w:rPr>
        <w:t xml:space="preserve"> rivers,</w:t>
      </w:r>
      <w:r>
        <w:rPr>
          <w:lang w:val="en-GB"/>
        </w:rPr>
        <w:t xml:space="preserve"> with coastal</w:t>
      </w:r>
      <w:r w:rsidRPr="005A3822">
        <w:rPr>
          <w:lang w:val="en-GB"/>
        </w:rPr>
        <w:t xml:space="preserve"> sand dunes</w:t>
      </w:r>
      <w:r w:rsidR="002E6E40">
        <w:rPr>
          <w:lang w:val="en-GB"/>
        </w:rPr>
        <w:t xml:space="preserve"> </w:t>
      </w:r>
      <w:r w:rsidR="002E6E40">
        <w:rPr>
          <w:lang w:val="en-GB"/>
        </w:rPr>
        <w:fldChar w:fldCharType="begin"/>
      </w:r>
      <w:r w:rsidR="00C31530">
        <w:rPr>
          <w:lang w:val="en-GB"/>
        </w:rPr>
        <w:instrText xml:space="preserve"> ADDIN ZOTERO_ITEM CSL_CITATION {"citationID":"48p4ffM2","properties":{"formattedCitation":"(Vincent and Violette, 2017)","plainCitation":"(Vincent and Violette, 2017)","noteIndex":0},"citationItems":[{"id":132,"uris":["http://zotero.org/groups/2387759/items/TYL6VD5A"],"itemData":{"id":132,"type":"article-journal","container-title":"Hydrogeology Journal","DOI":"10.1007/s10040-017-1558-4","ISSN":"1431-2174","issue":"6","journalAbbreviation":"Hydrogeol. J.","page":"1893-1907","title":"Why seawater intrusion has not yet occurred in the Kaluvelli-Pondicherry basin, Tamil Nadu, India","volume":"25","author":[{"family":"Vincent","given":"Aude"},{"family":"Violette","given":"Sophie"}],"issued":{"date-parts":[["2017"]]}}}],"schema":"https://github.com/citation-style-language/schema/raw/master/csl-citation.json"} </w:instrText>
      </w:r>
      <w:r w:rsidR="002E6E40">
        <w:rPr>
          <w:lang w:val="en-GB"/>
        </w:rPr>
        <w:fldChar w:fldCharType="separate"/>
      </w:r>
      <w:r w:rsidR="00320449" w:rsidRPr="00320449">
        <w:t>(Vincent and Violette, 2017)</w:t>
      </w:r>
      <w:r w:rsidR="002E6E40">
        <w:rPr>
          <w:lang w:val="en-GB"/>
        </w:rPr>
        <w:fldChar w:fldCharType="end"/>
      </w:r>
      <w:r w:rsidRPr="005A3822">
        <w:rPr>
          <w:lang w:val="en-GB"/>
        </w:rPr>
        <w:t xml:space="preserve">. The underlying </w:t>
      </w:r>
      <w:proofErr w:type="spellStart"/>
      <w:r w:rsidRPr="005A3822">
        <w:rPr>
          <w:lang w:val="en-GB"/>
        </w:rPr>
        <w:t>Cuddalore</w:t>
      </w:r>
      <w:proofErr w:type="spellEnd"/>
      <w:r w:rsidRPr="005A3822">
        <w:rPr>
          <w:lang w:val="en-GB"/>
        </w:rPr>
        <w:t xml:space="preserve"> sandstone</w:t>
      </w:r>
      <w:r>
        <w:rPr>
          <w:lang w:val="en-GB"/>
        </w:rPr>
        <w:t xml:space="preserve"> is</w:t>
      </w:r>
      <w:r w:rsidRPr="005A3822">
        <w:rPr>
          <w:lang w:val="en-GB"/>
        </w:rPr>
        <w:t xml:space="preserve"> co</w:t>
      </w:r>
      <w:r>
        <w:rPr>
          <w:lang w:val="en-GB"/>
        </w:rPr>
        <w:t>nstitut</w:t>
      </w:r>
      <w:r w:rsidRPr="005A3822">
        <w:rPr>
          <w:lang w:val="en-GB"/>
        </w:rPr>
        <w:t>ed of permeable iron-rich sandstone</w:t>
      </w:r>
      <w:r>
        <w:rPr>
          <w:lang w:val="en-GB"/>
        </w:rPr>
        <w:t>s</w:t>
      </w:r>
      <w:r w:rsidRPr="005A3822">
        <w:rPr>
          <w:lang w:val="en-GB"/>
        </w:rPr>
        <w:t>, yellow clays, silts, and lignite</w:t>
      </w:r>
      <w:r>
        <w:rPr>
          <w:lang w:val="en-GB"/>
        </w:rPr>
        <w:t>, and</w:t>
      </w:r>
      <w:r w:rsidRPr="005A3822">
        <w:rPr>
          <w:lang w:val="en-GB"/>
        </w:rPr>
        <w:t xml:space="preserve"> was formed </w:t>
      </w:r>
      <w:r>
        <w:rPr>
          <w:lang w:val="en-GB"/>
        </w:rPr>
        <w:t>from the</w:t>
      </w:r>
      <w:r w:rsidRPr="005A3822">
        <w:rPr>
          <w:lang w:val="en-GB"/>
        </w:rPr>
        <w:t xml:space="preserve"> deposition of </w:t>
      </w:r>
      <w:proofErr w:type="spellStart"/>
      <w:r w:rsidRPr="005A3822">
        <w:rPr>
          <w:lang w:val="en-GB"/>
        </w:rPr>
        <w:t>charnokite</w:t>
      </w:r>
      <w:proofErr w:type="spellEnd"/>
      <w:r w:rsidRPr="005A3822">
        <w:rPr>
          <w:lang w:val="en-GB"/>
        </w:rPr>
        <w:t xml:space="preserve">-alteration products (Eastern Ghats) in a deltaic environment </w:t>
      </w:r>
      <w:r>
        <w:rPr>
          <w:lang w:val="en-GB"/>
        </w:rPr>
        <w:t>during</w:t>
      </w:r>
      <w:r w:rsidRPr="005A3822">
        <w:rPr>
          <w:lang w:val="en-GB"/>
        </w:rPr>
        <w:t xml:space="preserve"> the late Miocene</w:t>
      </w:r>
      <w:r w:rsidR="002E6E40">
        <w:rPr>
          <w:lang w:val="en-GB"/>
        </w:rPr>
        <w:t xml:space="preserve"> </w:t>
      </w:r>
      <w:r w:rsidR="002E6E40">
        <w:rPr>
          <w:lang w:val="en-GB"/>
        </w:rPr>
        <w:fldChar w:fldCharType="begin"/>
      </w:r>
      <w:r w:rsidR="0026080D">
        <w:rPr>
          <w:lang w:val="en-GB"/>
        </w:rPr>
        <w:instrText xml:space="preserve"> ADDIN ZOTERO_ITEM CSL_CITATION {"citationID":"1IKx1jff","properties":{"formattedCitation":"(Subramanian et al. 2013)","plainCitation":"(Subramanian et al. 2013)","dontUpdate":true,"noteIndex":0},"citationItems":[{"id":502,"uris":["http://zotero.org/groups/2387759/items/RM6BV85B"],"itemData":{"id":502,"type":"article-journal","container-title":"International journal of recent scientific research","issue":"6","journalAbbreviation":"IJRSR","page":"757-760","source":"Google Scholar","title":"XRD investigation of clay minerals of the Tertiary formations around Panrutti, Cuddalore District, Tamil Nadu","volume":"4","author":[{"family":"Subramanian","given":"P."},{"family":"Prabhakaran","given":"R."},{"family":"SenthilKumar","given":"M."},{"family":"Babu","given":"K."},{"family":"Selvaraj","given":"B."}],"issued":{"date-parts":[["2013"]]}}}],"schema":"https://github.com/citation-style-language/schema/raw/master/csl-citation.json"} </w:instrText>
      </w:r>
      <w:r w:rsidR="002E6E40">
        <w:rPr>
          <w:lang w:val="en-GB"/>
        </w:rPr>
        <w:fldChar w:fldCharType="separate"/>
      </w:r>
      <w:r w:rsidR="002E6E40" w:rsidRPr="002E6E40">
        <w:t>(</w:t>
      </w:r>
      <w:r w:rsidR="002E6E40">
        <w:t xml:space="preserve">5.3-10 Ma; </w:t>
      </w:r>
      <w:r w:rsidR="002E6E40" w:rsidRPr="002E6E40">
        <w:t>Subramanian et al. 2013)</w:t>
      </w:r>
      <w:r w:rsidR="002E6E40">
        <w:rPr>
          <w:lang w:val="en-GB"/>
        </w:rPr>
        <w:fldChar w:fldCharType="end"/>
      </w:r>
      <w:r w:rsidRPr="005A3822">
        <w:rPr>
          <w:lang w:val="en-GB"/>
        </w:rPr>
        <w:t xml:space="preserve">. The </w:t>
      </w:r>
      <w:proofErr w:type="spellStart"/>
      <w:r w:rsidRPr="005A3822">
        <w:rPr>
          <w:lang w:val="en-GB"/>
        </w:rPr>
        <w:t>Manaveli</w:t>
      </w:r>
      <w:proofErr w:type="spellEnd"/>
      <w:r w:rsidRPr="005A3822">
        <w:rPr>
          <w:lang w:val="en-GB"/>
        </w:rPr>
        <w:t xml:space="preserve"> clay formation consists of fine-grained sand- to siltstone </w:t>
      </w:r>
      <w:r>
        <w:rPr>
          <w:lang w:val="en-GB"/>
        </w:rPr>
        <w:t>with</w:t>
      </w:r>
      <w:r w:rsidRPr="005A3822">
        <w:rPr>
          <w:lang w:val="en-GB"/>
        </w:rPr>
        <w:t xml:space="preserve"> a low permeability</w:t>
      </w:r>
      <w:r>
        <w:rPr>
          <w:lang w:val="en-GB"/>
        </w:rPr>
        <w:t xml:space="preserve">, which </w:t>
      </w:r>
      <w:r w:rsidRPr="005A3822">
        <w:rPr>
          <w:lang w:val="en-GB"/>
        </w:rPr>
        <w:t>contain</w:t>
      </w:r>
      <w:r>
        <w:rPr>
          <w:lang w:val="en-GB"/>
        </w:rPr>
        <w:t>s</w:t>
      </w:r>
      <w:r w:rsidRPr="005A3822">
        <w:rPr>
          <w:lang w:val="en-GB"/>
        </w:rPr>
        <w:t xml:space="preserve"> poorly</w:t>
      </w:r>
      <w:r>
        <w:rPr>
          <w:lang w:val="en-GB"/>
        </w:rPr>
        <w:t xml:space="preserve"> </w:t>
      </w:r>
      <w:r w:rsidRPr="005A3822">
        <w:rPr>
          <w:lang w:val="en-GB"/>
        </w:rPr>
        <w:t>preserved molluscs</w:t>
      </w:r>
      <w:r>
        <w:rPr>
          <w:lang w:val="en-GB"/>
        </w:rPr>
        <w:t xml:space="preserve">. This formation </w:t>
      </w:r>
      <w:r w:rsidRPr="005A3822">
        <w:rPr>
          <w:lang w:val="en-GB"/>
        </w:rPr>
        <w:t xml:space="preserve">was </w:t>
      </w:r>
      <w:r>
        <w:rPr>
          <w:lang w:val="en-GB"/>
        </w:rPr>
        <w:t>deposited</w:t>
      </w:r>
      <w:r w:rsidRPr="005A3822">
        <w:rPr>
          <w:lang w:val="en-GB"/>
        </w:rPr>
        <w:t xml:space="preserve"> in a shallow sea environment during the </w:t>
      </w:r>
      <w:proofErr w:type="spellStart"/>
      <w:r w:rsidRPr="005A3822">
        <w:rPr>
          <w:lang w:val="en-GB"/>
        </w:rPr>
        <w:t>Paleocene</w:t>
      </w:r>
      <w:proofErr w:type="spellEnd"/>
      <w:r w:rsidR="002E6E40">
        <w:rPr>
          <w:lang w:val="en-GB"/>
        </w:rPr>
        <w:t xml:space="preserve"> </w:t>
      </w:r>
      <w:r w:rsidR="002E6E40">
        <w:rPr>
          <w:lang w:val="en-GB"/>
        </w:rPr>
        <w:fldChar w:fldCharType="begin"/>
      </w:r>
      <w:r w:rsidR="0026080D">
        <w:rPr>
          <w:lang w:val="en-GB"/>
        </w:rPr>
        <w:instrText xml:space="preserve"> ADDIN ZOTERO_ITEM CSL_CITATION {"citationID":"jXOPqS1y","properties":{"formattedCitation":"(Sundaram et al. 2001; Vincent and Violette 2017)","plainCitation":"(Sundaram et al. 2001; Vincent and Violette 2017)","dontUpdate":true,"noteIndex":0},"citationItems":[{"id":326,"uris":["http://zotero.org/groups/2387759/items/9WWD3AL4"],"itemData":{"id":326,"type":"article-journal","abstract":"The exposed Cretaceous shelf succession of the Cauvery Basin, southeastern India, has provided a world-class record of mid and Late Cretaceous invertebrates, documented in a substantial literature. However, the lithostratigraphy of the succession has been little studied and previously subject to a range of nomenclature. It is revised here, on the basis of intensive regional mapping, to stabilize the definition and nomenclature of lithostratigraphic units. The Uttattur Group is restricted in outcrop to the Ariyalur district and divided into the Arogypapurum Formation (new; Albian), Dalmiapuram Formation (late Albian), and Karai Formation (late Albian–early Turonian) for which the Odiyam and Kunnam Members are recognized. The Trichinopoly Group follows unconformably and is also restricted in outcrop to the Ariyalur district. It is divided into the Kulakkalnattam Formation (Turonian) and Anaipadi Formation (late Turonian–Coniacian). The Ariyalur Group is more widely distributed. In the Ariyalur district, the Sillikkudi Formation (Santonian–Campanian) and its Kilpaluvari Member, the Kallakurichchi Formation (early Maastrichtian), the Kallamedu Formation (mid and Late Maastrichtian) and the Niniyur Formation (Danian) are recognized. The sequence in the Vriddhachalam area consists of the Parur and Patti formations (Campanian), Mattur Formation (late Campanian–earliest Maastrichtian) and Aladi Formation (Maastrichtian). For the Pondicherry district, the Valudavur and Mettuveli formations (Maastrichtian) and Kasur and Manaveli formations (Paleocene) comprise the succession. The interpreted depositional environments for the succession in the Ariyalur district indicate four eustatic cycles in the mid and Late Cretaceous and earliest Tertiary: late Albian–early Turonian, late Turonian–Santonian, Campanian, Maastrichtian, and Paleocene. Overall the Cauvery Basin sequence is arenaceous and relatively labile in terms of framework grain composition, and contrasts with the pelitic assemblage developed on the west Australian margin from which eastern India separated in the Early Cretaceous (Valanginian). The difference is ascribed to palaeoclimate as controlled by palaeolatitude. For the Late Cretaceous, the Cauvery Basin drifted north on the Indian plate from 40 to 30°S. This zone is inferred to constitute Southern Hemisphere horse latitudes for Late Cretaceous time, characterized by an arid climate, physical weathering and the production of labile sands. By contrast, the west Australian margin of matching tectonic history remained in a high palaeolatitude (&gt;40°S) throughout the Late Cretaceous, experiencing a pluvial climate, the dominance of chemical weathering and the production of clays.","container-title":"Cretaceous Research","DOI":"10.1006/cres.2001.0287","ISSN":"0195-6671","issue":"6","journalAbbreviation":"Cretac. Res.","language":"en","page":"743-762","source":"ScienceDirect","title":"A lithostratigraphic revision and palaeoenvironmental assessment of the Cretaceous System exposed in the onshore Cauvery Basin, southern India","volume":"22","author":[{"family":"Sundaram","given":"R."},{"family":"Henderson","given":"R. A."},{"family":"Ayyasami","given":"K."},{"family":"Stilwell","given":"J. D."}],"issued":{"date-parts":[["2001",12,1]]}}},{"id":132,"uris":["http://zotero.org/groups/2387759/items/TYL6VD5A"],"itemData":{"id":132,"type":"article-journal","container-title":"Hydrogeology Journal","DOI":"10.1007/s10040-017-1558-4","ISSN":"1431-2174","issue":"6","journalAbbreviation":"Hydrogeol. J.","page":"1893-1907","title":"Why seawater intrusion has not yet occurred in the Kaluvelli-Pondicherry basin, Tamil Nadu, India","volume":"25","author":[{"family":"Vincent","given":"Aude"},{"family":"Violette","given":"Sophie"}],"issued":{"date-parts":[["2017"]]}}}],"schema":"https://github.com/citation-style-language/schema/raw/master/csl-citation.json"} </w:instrText>
      </w:r>
      <w:r w:rsidR="002E6E40">
        <w:rPr>
          <w:lang w:val="en-GB"/>
        </w:rPr>
        <w:fldChar w:fldCharType="separate"/>
      </w:r>
      <w:r w:rsidR="002E6E40" w:rsidRPr="002E6E40">
        <w:t>(</w:t>
      </w:r>
      <w:r w:rsidR="002E6E40">
        <w:t xml:space="preserve">56-66 Ma; </w:t>
      </w:r>
      <w:r w:rsidR="002E6E40" w:rsidRPr="002E6E40">
        <w:t>Sundaram et al. 2001; Vincent and Violette 2017)</w:t>
      </w:r>
      <w:r w:rsidR="002E6E40">
        <w:rPr>
          <w:lang w:val="en-GB"/>
        </w:rPr>
        <w:fldChar w:fldCharType="end"/>
      </w:r>
      <w:r>
        <w:rPr>
          <w:lang w:val="en-GB"/>
        </w:rPr>
        <w:t>.</w:t>
      </w:r>
    </w:p>
    <w:p w14:paraId="47873FAF" w14:textId="71A245C9" w:rsidR="00F03E82" w:rsidRPr="00F87493" w:rsidRDefault="00F03E82" w:rsidP="0065583C">
      <w:pPr>
        <w:pStyle w:val="Titre2"/>
      </w:pPr>
      <w:bookmarkStart w:id="32" w:name="_Toc199759397"/>
      <w:r>
        <w:rPr>
          <w:lang w:val="en-GB"/>
        </w:rPr>
        <w:t>Soil analys</w:t>
      </w:r>
      <w:r w:rsidR="00DD229B">
        <w:rPr>
          <w:lang w:val="en-GB"/>
        </w:rPr>
        <w:t>i</w:t>
      </w:r>
      <w:r>
        <w:rPr>
          <w:lang w:val="en-GB"/>
        </w:rPr>
        <w:t>s method choices</w:t>
      </w:r>
      <w:bookmarkEnd w:id="32"/>
    </w:p>
    <w:p w14:paraId="5FD199FC" w14:textId="1B415B70" w:rsidR="00F03E82" w:rsidRPr="00F05544" w:rsidRDefault="007D4DD9" w:rsidP="00F05544">
      <w:r>
        <w:t>Only surficial layers of</w:t>
      </w:r>
      <w:r w:rsidR="00972537">
        <w:rPr>
          <w:lang w:val="en-GB"/>
        </w:rPr>
        <w:t xml:space="preserve"> soils were sampled </w:t>
      </w:r>
      <w:r>
        <w:rPr>
          <w:lang w:val="en-GB"/>
        </w:rPr>
        <w:t xml:space="preserve">because </w:t>
      </w:r>
      <w:proofErr w:type="spellStart"/>
      <w:r>
        <w:rPr>
          <w:lang w:val="en-GB"/>
        </w:rPr>
        <w:t>i</w:t>
      </w:r>
      <w:proofErr w:type="spellEnd"/>
      <w:r>
        <w:rPr>
          <w:lang w:val="en-GB"/>
        </w:rPr>
        <w:t>) of</w:t>
      </w:r>
      <w:r w:rsidR="00972537">
        <w:rPr>
          <w:lang w:val="en-GB"/>
        </w:rPr>
        <w:t xml:space="preserve"> the potential </w:t>
      </w:r>
      <w:r>
        <w:rPr>
          <w:lang w:val="en-GB"/>
        </w:rPr>
        <w:t xml:space="preserve">litter </w:t>
      </w:r>
      <w:r w:rsidR="00972537">
        <w:rPr>
          <w:lang w:val="en-GB"/>
        </w:rPr>
        <w:t xml:space="preserve">effects of </w:t>
      </w:r>
      <w:proofErr w:type="spellStart"/>
      <w:r w:rsidR="00972537">
        <w:rPr>
          <w:lang w:val="en-GB"/>
        </w:rPr>
        <w:t>oxalotrophy</w:t>
      </w:r>
      <w:proofErr w:type="spellEnd"/>
      <w:r w:rsidR="00972537">
        <w:rPr>
          <w:lang w:val="en-GB"/>
        </w:rPr>
        <w:t xml:space="preserve"> </w:t>
      </w:r>
      <w:r>
        <w:rPr>
          <w:lang w:val="en-GB"/>
        </w:rPr>
        <w:t xml:space="preserve">on the soil biogeochemical shifts at the surficial soil and ii) only a limited </w:t>
      </w:r>
      <w:r w:rsidR="001158FC">
        <w:rPr>
          <w:lang w:val="en-GB"/>
        </w:rPr>
        <w:t xml:space="preserve">amount of material that could be </w:t>
      </w:r>
      <w:r>
        <w:rPr>
          <w:lang w:val="en-GB"/>
        </w:rPr>
        <w:t>sent</w:t>
      </w:r>
      <w:r w:rsidR="001158FC">
        <w:rPr>
          <w:lang w:val="en-GB"/>
        </w:rPr>
        <w:t xml:space="preserve"> </w:t>
      </w:r>
      <w:r w:rsidR="00456478">
        <w:rPr>
          <w:lang w:val="en-GB"/>
        </w:rPr>
        <w:t xml:space="preserve">to Switzerland for further analysis. </w:t>
      </w:r>
      <w:r w:rsidR="00F03E82">
        <w:rPr>
          <w:lang w:val="en-GB"/>
        </w:rPr>
        <w:t xml:space="preserve">Soil </w:t>
      </w:r>
      <w:proofErr w:type="spellStart"/>
      <w:r w:rsidR="00F03E82">
        <w:rPr>
          <w:lang w:val="en-GB"/>
        </w:rPr>
        <w:t>pH</w:t>
      </w:r>
      <w:r w:rsidR="00F03E82" w:rsidRPr="007D4DD9">
        <w:rPr>
          <w:vertAlign w:val="subscript"/>
          <w:lang w:val="en-GB"/>
        </w:rPr>
        <w:t>KCl</w:t>
      </w:r>
      <w:proofErr w:type="spellEnd"/>
      <w:r w:rsidR="00F03E82">
        <w:rPr>
          <w:lang w:val="en-GB"/>
        </w:rPr>
        <w:t xml:space="preserve"> was used as pre-testing revealed that it was </w:t>
      </w:r>
      <w:r w:rsidR="00F03E82" w:rsidRPr="005A3822">
        <w:rPr>
          <w:lang w:val="en-GB"/>
        </w:rPr>
        <w:t xml:space="preserve">more </w:t>
      </w:r>
      <w:r w:rsidR="00F03E82">
        <w:rPr>
          <w:lang w:val="en-GB"/>
        </w:rPr>
        <w:t>reproducible</w:t>
      </w:r>
      <w:r w:rsidR="00F03E82" w:rsidRPr="005A3822">
        <w:rPr>
          <w:lang w:val="en-GB"/>
        </w:rPr>
        <w:t xml:space="preserve"> than</w:t>
      </w:r>
      <w:r>
        <w:rPr>
          <w:lang w:val="en-GB"/>
        </w:rPr>
        <w:t xml:space="preserve"> the</w:t>
      </w:r>
      <w:r w:rsidR="00F03E82" w:rsidRPr="005A3822">
        <w:rPr>
          <w:lang w:val="en-GB"/>
        </w:rPr>
        <w:t xml:space="preserve"> soil pH in </w:t>
      </w:r>
      <w:r w:rsidR="00F87493" w:rsidRPr="00F87493">
        <w:rPr>
          <w:lang w:val="en-GB"/>
        </w:rPr>
        <w:t>H</w:t>
      </w:r>
      <w:r w:rsidR="00F87493" w:rsidRPr="00F87493">
        <w:rPr>
          <w:vertAlign w:val="subscript"/>
          <w:lang w:val="en-GB"/>
        </w:rPr>
        <w:t>2</w:t>
      </w:r>
      <w:r w:rsidR="00F87493" w:rsidRPr="00F87493">
        <w:rPr>
          <w:lang w:val="en-GB"/>
        </w:rPr>
        <w:t>O</w:t>
      </w:r>
      <w:r w:rsidR="00F87493">
        <w:rPr>
          <w:lang w:val="en-GB"/>
        </w:rPr>
        <w:t xml:space="preserve">. </w:t>
      </w:r>
      <w:r>
        <w:rPr>
          <w:lang w:val="en-GB"/>
        </w:rPr>
        <w:t>Both c</w:t>
      </w:r>
      <w:r w:rsidR="004E2E5E">
        <w:rPr>
          <w:lang w:val="en-GB"/>
        </w:rPr>
        <w:t>ation exchange capacity</w:t>
      </w:r>
      <w:r w:rsidR="00F87493">
        <w:rPr>
          <w:lang w:val="en-GB"/>
        </w:rPr>
        <w:t xml:space="preserve"> </w:t>
      </w:r>
      <w:r w:rsidR="004E2E5E">
        <w:rPr>
          <w:lang w:val="en-GB"/>
        </w:rPr>
        <w:t xml:space="preserve">and exchangeable cations were extracted with </w:t>
      </w:r>
      <w:r>
        <w:rPr>
          <w:lang w:val="en-GB"/>
        </w:rPr>
        <w:t xml:space="preserve">a </w:t>
      </w:r>
      <w:r w:rsidR="004E2E5E">
        <w:rPr>
          <w:lang w:val="en-GB"/>
        </w:rPr>
        <w:t>cobalt hexamine solution because it</w:t>
      </w:r>
      <w:r>
        <w:rPr>
          <w:lang w:val="en-GB"/>
        </w:rPr>
        <w:t xml:space="preserve"> is</w:t>
      </w:r>
      <w:r w:rsidR="004E2E5E">
        <w:rPr>
          <w:lang w:val="en-GB"/>
        </w:rPr>
        <w:t xml:space="preserve"> </w:t>
      </w:r>
      <w:r w:rsidR="00F87493" w:rsidRPr="005A3822">
        <w:rPr>
          <w:lang w:val="en-GB"/>
        </w:rPr>
        <w:t>less aggressive towards CaCO</w:t>
      </w:r>
      <w:r w:rsidR="00F87493" w:rsidRPr="005A3822">
        <w:rPr>
          <w:vertAlign w:val="subscript"/>
          <w:lang w:val="en-GB"/>
        </w:rPr>
        <w:t>3</w:t>
      </w:r>
      <w:r w:rsidR="00DA3FE1">
        <w:rPr>
          <w:lang w:val="en-GB"/>
        </w:rPr>
        <w:t xml:space="preserve"> </w:t>
      </w:r>
      <w:r w:rsidR="00DA3FE1">
        <w:rPr>
          <w:lang w:val="en-GB"/>
        </w:rPr>
        <w:fldChar w:fldCharType="begin"/>
      </w:r>
      <w:r w:rsidR="00C31530">
        <w:rPr>
          <w:lang w:val="en-GB"/>
        </w:rPr>
        <w:instrText xml:space="preserve"> ADDIN ZOTERO_ITEM CSL_CITATION {"citationID":"44jYrg9N","properties":{"formattedCitation":"(Rowley et al., 2020)","plainCitation":"(Rowley et al., 2020)","noteIndex":0},"citationItems":[{"id":295,"uris":["http://zotero.org/groups/2387759/items/I8D4DL94"],"itemData":{"id":295,"type":"article-journal","abstract":"Soil research in temperate to cool and humid regions has typically focused on acidic soils; there has been relatively little investigation of the effects of calcium carbonate (CaCO3) on unamended soil properties or function in these environments. The object of this study was to characterise the effects of small amounts of CaCO3 on pedogenic trajectories and soil biogeochemistry in a humid subalpine valley of Switzerland. To isolate the influence of CaCO3, six profiles were selected that had developed under almost identical conditions for soil formation, i.e. climate, topography, vegetation structure, time since deglaciation, silicate mineralogy and texture. The main difference between the profiles was that three contained a small quantity of CaCO3 (&lt;6.2%; thereafter, ‘CaCO3-bearing’) while the remaining three contained no detectable CaCO3 (thereafter, ‘CaCO3-free’). The presence of CaCO3 was associated with cascading changes in soil biogeochemistry. These changes included higher pH, an order of magnitude higher extractable Ca and twice as much soil organic carbon (SOC). CaCO3-bearing profiles also displayed a higher proportion of poorly crystalline Fe forms. The higher pH a</w:instrText>
      </w:r>
      <w:r w:rsidR="00C31530" w:rsidRPr="00320449">
        <w:rPr>
          <w:lang w:val="en-GB"/>
        </w:rPr>
        <w:instrText>t the CaCO3-bearing site was attributable to the weak buffering provided by CaCO3 dissolution, which in turn maintained the relatively higher extractable Ca. Exchangeable Ca (CaExch) and other reactive Ca forms could help stabilise SOC, contributing to its accumulation through processes such as flocculation and subsequent occlusion within aggregates and/or sorption to mineral surfaces. The increased SOC, CaExch and pH at the CaCO3-bearing site could in turn be inhibiting the crystallisation of disordered Fe forms, but further research is required to confirm this effect and isolate the exact mechanisms. Overall, this study shows that the presence of small amounts of CaCO3 in humid environments has a far-reaching influence on soil biogeochemistry and further supports the idea that indicators of Ca prevalence have the potential to improve regional SOC estimates.","container-title":"Geoderma","DOI":"10.1016/j.geoderma.2019.114065","ISSN":"0016-7061","journalAbbreviation":"Geoderma"</w:instrText>
      </w:r>
      <w:r w:rsidR="00C31530" w:rsidRPr="00366DBE">
        <w:rPr>
          <w:lang w:val="fr-CH"/>
        </w:rPr>
        <w:instrText xml:space="preserve">,"language":"en","page":"1-12","source":"ScienceDirect","title":"A cascading influence of calcium carbonate on the biogeochemistry and pedogenic trajectories of subalpine soils, Switzerland","volume":"361","author":[{"family":"Rowley","given":"Mike C."},{"family":"Grand","given":"Stephanie"},{"family":"Adatte","given":"Thierry"},{"family":"Verrecchia","given":"Eric P."}],"issued":{"date-parts":[["2020",3,1]]}}}],"schema":"https://github.com/citation-style-language/schema/raw/master/csl-citation.json"} </w:instrText>
      </w:r>
      <w:r w:rsidR="00DA3FE1">
        <w:rPr>
          <w:lang w:val="en-GB"/>
        </w:rPr>
        <w:fldChar w:fldCharType="separate"/>
      </w:r>
      <w:r w:rsidR="00320449" w:rsidRPr="00320449">
        <w:t>(Rowley et al., 2020)</w:t>
      </w:r>
      <w:r w:rsidR="00DA3FE1">
        <w:rPr>
          <w:lang w:val="en-GB"/>
        </w:rPr>
        <w:fldChar w:fldCharType="end"/>
      </w:r>
      <w:r w:rsidR="00F87493" w:rsidRPr="00D34316">
        <w:rPr>
          <w:lang w:val="fr-CH"/>
        </w:rPr>
        <w:t>.</w:t>
      </w:r>
      <w:r w:rsidR="00DA3FE1" w:rsidRPr="00D34316">
        <w:rPr>
          <w:lang w:val="fr-CH"/>
        </w:rPr>
        <w:t xml:space="preserve"> </w:t>
      </w:r>
      <w:r w:rsidR="00DA3FE1">
        <w:rPr>
          <w:lang w:val="en-GB"/>
        </w:rPr>
        <w:fldChar w:fldCharType="begin"/>
      </w:r>
      <w:r w:rsidR="0026080D">
        <w:rPr>
          <w:lang w:val="fr-CH"/>
        </w:rPr>
        <w:instrText xml:space="preserve"> ADDIN ZOTERO_ITEM CSL_CITATION {"citationID":"lUxog0xx","properties":{"formattedCitation":"(Loeppert et al. 1984)","plainCitation":"(Loeppert et al. 1984)","dontUpdate":true,"noteIndex":0},"citationItems":[{"id":2325,"uris":["http://zotero.org/groups/2387759/items/84X5V8CN"],"itemData":{"id":2325,"type":"article-journal","abstract":"A procedure is presented for the routine determination of soil carbonates based on the following reaction: CaCO3 + 2 HC2H3O2 → Ca2+ + 2 C2H3O2- + H2O + CO2 (g) A known quantity of acetic acid is added to a known quantity of soil. The pH of the reaction mixture is then determined following complete dissolution of CaCO3. Calcium carbonate content is determined empirically from a standard curve relating pH to known CaCO3 content according to the equation: pH = K + n log [CaCO3/(T − CaCO3)], in which T equals the total amount of calcium carbonate which could be completely dissolved by the acetic acid added to the system, and K and n are constants. Several possible sources of error exist in the procedure; however, potential errors may be minimized by the maintenance of optimum working conditions. Results obtained by the acetic acid procedure compared favorably with results obtained by the Chittick procedure. The proposed procedure has the advantage of simplicity and offers a rapid alternative for routine determination of soil carbonates.","container-title":"Soil Science Society of America Journal","DOI":"10.2136/sssaj1984.03615995004800050016x","ISSN":"1435-0661","issue":"5","journalAbbreviation":"Soil Sci. Soc. Am. J.","language":"en","license":"© 1984 Soil Science Society of America","note":"_eprint: https://onlinelibrary.wiley.com/doi/pdf/10.2136/sssaj1984.03615995004800050016x","page":"1030-1033","source":"Wiley Online Library","title":"Routine procedure for rapid determination of soil carbonates","volume":"48","author":[{"family":"Loeppert","given":"R. H."},{"family":"Hallmark","given":"C. T."},{"family":"Koshy","given":"M. M."}],"issued":{"date-parts":[["1984"]]}}}],"schema":"https://github.com/citation-style-language/schema/raw/master/csl-citation.json"} </w:instrText>
      </w:r>
      <w:r w:rsidR="00DA3FE1">
        <w:rPr>
          <w:lang w:val="en-GB"/>
        </w:rPr>
        <w:fldChar w:fldCharType="separate"/>
      </w:r>
      <w:r w:rsidR="00DA3FE1" w:rsidRPr="00D34316">
        <w:rPr>
          <w:lang w:val="fr-CH"/>
        </w:rPr>
        <w:t xml:space="preserve">Loeppert et al. </w:t>
      </w:r>
      <w:r w:rsidR="00DA3FE1" w:rsidRPr="00320449">
        <w:rPr>
          <w:lang w:val="en-GB"/>
        </w:rPr>
        <w:t>(1984)</w:t>
      </w:r>
      <w:r w:rsidR="00DA3FE1">
        <w:rPr>
          <w:lang w:val="en-GB"/>
        </w:rPr>
        <w:fldChar w:fldCharType="end"/>
      </w:r>
      <w:r w:rsidRPr="00320449">
        <w:rPr>
          <w:lang w:val="en-GB"/>
        </w:rPr>
        <w:t>’s</w:t>
      </w:r>
      <w:r w:rsidR="00B1058F" w:rsidRPr="00320449">
        <w:rPr>
          <w:lang w:val="en-GB"/>
        </w:rPr>
        <w:t xml:space="preserve"> acetic acid method </w:t>
      </w:r>
      <w:r w:rsidRPr="00320449">
        <w:rPr>
          <w:lang w:val="en-GB"/>
        </w:rPr>
        <w:t xml:space="preserve">was used </w:t>
      </w:r>
      <w:r w:rsidR="00B1058F" w:rsidRPr="00320449">
        <w:rPr>
          <w:lang w:val="en-GB"/>
        </w:rPr>
        <w:t xml:space="preserve">to </w:t>
      </w:r>
      <w:r w:rsidR="00A27BD1" w:rsidRPr="00320449">
        <w:rPr>
          <w:lang w:val="en-GB"/>
        </w:rPr>
        <w:t>measure CaCO</w:t>
      </w:r>
      <w:r w:rsidR="00A27BD1" w:rsidRPr="00320449">
        <w:rPr>
          <w:vertAlign w:val="subscript"/>
          <w:lang w:val="en-GB"/>
        </w:rPr>
        <w:t>3</w:t>
      </w:r>
      <w:r w:rsidR="00A27BD1" w:rsidRPr="00320449">
        <w:rPr>
          <w:lang w:val="en-GB"/>
        </w:rPr>
        <w:t xml:space="preserve"> content </w:t>
      </w:r>
      <w:r w:rsidR="00A27BD1" w:rsidRPr="00320449">
        <w:rPr>
          <w:rFonts w:eastAsia="Times New Roman"/>
          <w:lang w:val="en-GB"/>
        </w:rPr>
        <w:t>as it</w:t>
      </w:r>
      <w:r w:rsidRPr="00320449">
        <w:rPr>
          <w:rFonts w:eastAsia="Times New Roman"/>
          <w:lang w:val="en-GB"/>
        </w:rPr>
        <w:t xml:space="preserve"> is</w:t>
      </w:r>
      <w:r w:rsidR="00A27BD1" w:rsidRPr="00320449">
        <w:rPr>
          <w:rFonts w:eastAsia="Times New Roman"/>
          <w:lang w:val="en-GB"/>
        </w:rPr>
        <w:t xml:space="preserve"> known to be reliable in soils with low CaCO</w:t>
      </w:r>
      <w:r w:rsidR="00A27BD1" w:rsidRPr="00320449">
        <w:rPr>
          <w:rFonts w:eastAsia="Times New Roman"/>
          <w:vertAlign w:val="subscript"/>
          <w:lang w:val="en-GB"/>
        </w:rPr>
        <w:t xml:space="preserve">3 </w:t>
      </w:r>
      <w:r w:rsidR="00A27BD1" w:rsidRPr="00320449">
        <w:rPr>
          <w:rFonts w:eastAsia="Times New Roman"/>
          <w:lang w:val="en-GB"/>
        </w:rPr>
        <w:t>content</w:t>
      </w:r>
      <w:r w:rsidR="008515FB" w:rsidRPr="00320449">
        <w:rPr>
          <w:rFonts w:eastAsia="Times New Roman"/>
          <w:lang w:val="en-GB"/>
        </w:rPr>
        <w:t xml:space="preserve"> </w:t>
      </w:r>
      <w:r w:rsidR="008515FB">
        <w:rPr>
          <w:rFonts w:eastAsia="Times New Roman"/>
          <w:lang w:val="en-GB"/>
        </w:rPr>
        <w:fldChar w:fldCharType="begin"/>
      </w:r>
      <w:r w:rsidR="00C31530" w:rsidRPr="00320449">
        <w:rPr>
          <w:rFonts w:eastAsia="Times New Roman"/>
          <w:lang w:val="en-GB"/>
        </w:rPr>
        <w:instrText xml:space="preserve"> ADDIN ZOTERO_ITEM CSL_CITATION {"citationID":"7ERylmt5","properties":{"formattedCitation":"(Loeppert and Suarez, 1996)","plainCitation":"(Loeppert and Suarez, 1996)","noteIndex":0},"citationItems":[{"id":458,"uris":["http://zotero.org/groups/2387759/items/TU582J2W"],"itemData":{"id":458,"type":"chapter","abstract":"This chapter discusses the procedures for the determination of quantity, reactivity and equilibrium relations of the carbonate minerals and gypsum. Inorganic carbonate in soil occurs predominantly as the sparingly soluble alkaline-earth carbonates, calcite and dolomite. Calcite is usually the dominant form in active pedogenic environments. A modification of the pressure-calcimeter procedure based on the relative rates of reaction of calcite and dolomite has been used to quantitatively determine calcite and dolomite in mixed-phase systems. In the volumetric calcimeter method, the carbonates are treated with excess acid and the CO2 is determined volumetrically. Acetic acid dissolution procedure provides a means of obtaining quantitative determinations of soil carbonate with readily available equipment, but it is subject to errors to which the CO2 evolution procedures are not subject. The pH-stat procedure for carbonate reactivity provides an excellent means of comparing soils with respect to relative carbonate reactivity.","container-title":"</w:instrText>
      </w:r>
      <w:r w:rsidR="00C31530" w:rsidRPr="00C31530">
        <w:rPr>
          <w:rFonts w:eastAsia="Times New Roman"/>
          <w:lang w:val="en-GB"/>
        </w:rPr>
        <w:instrText xml:space="preserve">Methods of Soil Analysis","ISBN":"978-0-89118-866-7","language":"en","license":"Copyright © 1996 Soil Science Society of America and American Society of Agronomy","note":"section: 15\n_eprint: https://acsess.onlinelibrary.wiley.com/doi/pdf/10.2136/sssabookser5.3.c15\nDOI: 10.2136/sssabookser5.3.c15","page":"437-474","publisher":"John Wiley &amp; Sons, Ltd","source":"Wiley Online Library","title":"Carbonate and gypsum","URL":"https://acsess.onlinelibrary.wiley.com/doi/abs/10.2136/sssabookser5.3.c15","author":[{"family":"Loeppert","given":"Richard H."},{"family":"Suarez","given":"Donald L."}],"accessed":{"date-parts":[["2021",2,25]]},"issued":{"date-parts":[["1996"]]}}}],"schema":"https://github.com/citation-style-language/schema/raw/master/csl-citation.json"} </w:instrText>
      </w:r>
      <w:r w:rsidR="008515FB">
        <w:rPr>
          <w:rFonts w:eastAsia="Times New Roman"/>
          <w:lang w:val="en-GB"/>
        </w:rPr>
        <w:fldChar w:fldCharType="separate"/>
      </w:r>
      <w:r w:rsidR="00320449" w:rsidRPr="00320449">
        <w:t>(</w:t>
      </w:r>
      <w:proofErr w:type="spellStart"/>
      <w:r w:rsidR="00320449" w:rsidRPr="00320449">
        <w:t>Loeppert</w:t>
      </w:r>
      <w:proofErr w:type="spellEnd"/>
      <w:r w:rsidR="00320449" w:rsidRPr="00320449">
        <w:t xml:space="preserve"> and Suarez, 1996)</w:t>
      </w:r>
      <w:r w:rsidR="008515FB">
        <w:rPr>
          <w:rFonts w:eastAsia="Times New Roman"/>
          <w:lang w:val="en-GB"/>
        </w:rPr>
        <w:fldChar w:fldCharType="end"/>
      </w:r>
      <w:r w:rsidR="00A27BD1">
        <w:rPr>
          <w:rFonts w:eastAsia="Times New Roman"/>
          <w:lang w:val="en-GB"/>
        </w:rPr>
        <w:t xml:space="preserve">, and </w:t>
      </w:r>
      <w:r>
        <w:rPr>
          <w:rFonts w:eastAsia="Times New Roman"/>
          <w:lang w:val="en-GB"/>
        </w:rPr>
        <w:t xml:space="preserve">a </w:t>
      </w:r>
      <w:r w:rsidR="00A27BD1">
        <w:rPr>
          <w:rFonts w:eastAsia="Times New Roman"/>
          <w:lang w:val="en-GB"/>
        </w:rPr>
        <w:t xml:space="preserve">pre-testing confirmed </w:t>
      </w:r>
      <w:r>
        <w:rPr>
          <w:rFonts w:eastAsia="Times New Roman"/>
          <w:lang w:val="en-GB"/>
        </w:rPr>
        <w:t>that this method is</w:t>
      </w:r>
      <w:r w:rsidR="00A27BD1">
        <w:rPr>
          <w:rFonts w:eastAsia="Times New Roman"/>
          <w:lang w:val="en-GB"/>
        </w:rPr>
        <w:t xml:space="preserve"> far more reproducible than </w:t>
      </w:r>
      <w:r w:rsidR="00901889">
        <w:rPr>
          <w:rFonts w:eastAsia="Times New Roman"/>
          <w:lang w:val="en-GB"/>
        </w:rPr>
        <w:t xml:space="preserve">the </w:t>
      </w:r>
      <w:proofErr w:type="spellStart"/>
      <w:r w:rsidR="00901889">
        <w:rPr>
          <w:rFonts w:eastAsia="Times New Roman"/>
          <w:lang w:val="en-GB"/>
        </w:rPr>
        <w:t>calcimeter</w:t>
      </w:r>
      <w:proofErr w:type="spellEnd"/>
      <w:r w:rsidR="00901889">
        <w:rPr>
          <w:rFonts w:eastAsia="Times New Roman"/>
          <w:lang w:val="en-GB"/>
        </w:rPr>
        <w:t xml:space="preserve"> or mass loss method</w:t>
      </w:r>
      <w:r>
        <w:rPr>
          <w:rFonts w:eastAsia="Times New Roman"/>
          <w:lang w:val="en-GB"/>
        </w:rPr>
        <w:t>s applied to the studied</w:t>
      </w:r>
      <w:r w:rsidR="00901889">
        <w:rPr>
          <w:rFonts w:eastAsia="Times New Roman"/>
          <w:lang w:val="en-GB"/>
        </w:rPr>
        <w:t xml:space="preserve"> soils. </w:t>
      </w:r>
    </w:p>
    <w:p w14:paraId="746D1798" w14:textId="2B98B271" w:rsidR="00F05544" w:rsidRDefault="00F05544" w:rsidP="0065583C">
      <w:pPr>
        <w:pStyle w:val="Titre2"/>
        <w:rPr>
          <w:lang w:val="en-GB"/>
        </w:rPr>
      </w:pPr>
      <w:bookmarkStart w:id="33" w:name="_Toc199759398"/>
      <w:r>
        <w:rPr>
          <w:lang w:val="en-GB"/>
        </w:rPr>
        <w:t>P</w:t>
      </w:r>
      <w:r w:rsidR="005D7F04" w:rsidRPr="00E6587E">
        <w:rPr>
          <w:lang w:val="en-GB"/>
        </w:rPr>
        <w:t xml:space="preserve">olymerase </w:t>
      </w:r>
      <w:r w:rsidR="005D7F04">
        <w:rPr>
          <w:lang w:val="en-GB"/>
        </w:rPr>
        <w:t>c</w:t>
      </w:r>
      <w:r w:rsidR="005D7F04" w:rsidRPr="00E6587E">
        <w:rPr>
          <w:lang w:val="en-GB"/>
        </w:rPr>
        <w:t xml:space="preserve">hain </w:t>
      </w:r>
      <w:r w:rsidR="005D7F04">
        <w:rPr>
          <w:lang w:val="en-GB"/>
        </w:rPr>
        <w:t>r</w:t>
      </w:r>
      <w:r w:rsidR="005D7F04" w:rsidRPr="00E6587E">
        <w:rPr>
          <w:lang w:val="en-GB"/>
        </w:rPr>
        <w:t xml:space="preserve">eaction </w:t>
      </w:r>
      <w:r w:rsidR="0008389F">
        <w:rPr>
          <w:lang w:val="en-GB"/>
        </w:rPr>
        <w:t>program</w:t>
      </w:r>
      <w:bookmarkEnd w:id="33"/>
    </w:p>
    <w:p w14:paraId="37C6FEAF" w14:textId="742C14ED" w:rsidR="0008389F" w:rsidRDefault="00C63481" w:rsidP="00B35093">
      <w:pPr>
        <w:rPr>
          <w:lang w:val="en-GB"/>
        </w:rPr>
      </w:pPr>
      <w:r w:rsidRPr="00DC27BA">
        <w:t xml:space="preserve">The PCR mixture consisted of 1 </w:t>
      </w:r>
      <w:proofErr w:type="spellStart"/>
      <w:r w:rsidRPr="0026080D">
        <w:t>μ</w:t>
      </w:r>
      <w:r w:rsidRPr="00DC27BA">
        <w:t>L</w:t>
      </w:r>
      <w:proofErr w:type="spellEnd"/>
      <w:r w:rsidRPr="00DC27BA">
        <w:t xml:space="preserve"> of 0.4 </w:t>
      </w:r>
      <w:proofErr w:type="spellStart"/>
      <w:r w:rsidRPr="00DC27BA">
        <w:rPr>
          <w:i/>
          <w:iCs/>
        </w:rPr>
        <w:t>μM</w:t>
      </w:r>
      <w:proofErr w:type="spellEnd"/>
      <w:r w:rsidRPr="00DC27BA">
        <w:t xml:space="preserve"> forward and reverse primers (</w:t>
      </w:r>
      <w:proofErr w:type="spellStart"/>
      <w:r w:rsidRPr="00DC27BA">
        <w:t>Microsynth</w:t>
      </w:r>
      <w:proofErr w:type="spellEnd"/>
      <w:r w:rsidRPr="00DC27BA">
        <w:t xml:space="preserve"> AG), 12.5 </w:t>
      </w:r>
      <w:proofErr w:type="spellStart"/>
      <w:r w:rsidRPr="0026080D">
        <w:t>μ</w:t>
      </w:r>
      <w:r w:rsidRPr="00DC27BA">
        <w:t>L</w:t>
      </w:r>
      <w:proofErr w:type="spellEnd"/>
      <w:r w:rsidRPr="00DC27BA">
        <w:t xml:space="preserve"> Sigma-Aldrich </w:t>
      </w:r>
      <w:proofErr w:type="spellStart"/>
      <w:r w:rsidRPr="00DC27BA">
        <w:t>REDTaq</w:t>
      </w:r>
      <w:proofErr w:type="spellEnd"/>
      <w:r w:rsidRPr="00DC27BA">
        <w:t xml:space="preserve">® </w:t>
      </w:r>
      <w:proofErr w:type="spellStart"/>
      <w:r w:rsidRPr="00DC27BA">
        <w:t>ReadyMix</w:t>
      </w:r>
      <w:proofErr w:type="spellEnd"/>
      <w:r w:rsidRPr="00DC27BA">
        <w:t xml:space="preserve">™ PCR Reaction Mix, 8.5 </w:t>
      </w:r>
      <w:proofErr w:type="spellStart"/>
      <w:r w:rsidRPr="0026080D">
        <w:t>μ</w:t>
      </w:r>
      <w:r w:rsidRPr="00DC27BA">
        <w:t>L</w:t>
      </w:r>
      <w:proofErr w:type="spellEnd"/>
      <w:r w:rsidRPr="00DC27BA">
        <w:t xml:space="preserve"> </w:t>
      </w:r>
      <w:proofErr w:type="spellStart"/>
      <w:r w:rsidRPr="00DC27BA">
        <w:t>MilliQ</w:t>
      </w:r>
      <w:proofErr w:type="spellEnd"/>
      <w:r w:rsidRPr="00DC27BA">
        <w:t xml:space="preserve">, and 2 </w:t>
      </w:r>
      <w:proofErr w:type="spellStart"/>
      <w:r w:rsidRPr="0026080D">
        <w:t>μ</w:t>
      </w:r>
      <w:r w:rsidRPr="00DC27BA">
        <w:t>L</w:t>
      </w:r>
      <w:proofErr w:type="spellEnd"/>
      <w:r w:rsidRPr="00DC27BA">
        <w:t xml:space="preserve"> DNA template (25 </w:t>
      </w:r>
      <w:proofErr w:type="spellStart"/>
      <w:r w:rsidRPr="0026080D">
        <w:t>μ</w:t>
      </w:r>
      <w:r w:rsidRPr="00DC27BA">
        <w:t>L</w:t>
      </w:r>
      <w:proofErr w:type="spellEnd"/>
      <w:r w:rsidRPr="00DC27BA">
        <w:t xml:space="preserve"> total volume). </w:t>
      </w:r>
      <w:r w:rsidR="0008389F">
        <w:rPr>
          <w:lang w:val="en-GB"/>
        </w:rPr>
        <w:t>The f</w:t>
      </w:r>
      <w:r w:rsidR="0008389F" w:rsidRPr="00E6587E">
        <w:rPr>
          <w:lang w:val="en-GB"/>
        </w:rPr>
        <w:t>ollowing program</w:t>
      </w:r>
      <w:r w:rsidR="005D7F04">
        <w:rPr>
          <w:lang w:val="en-GB"/>
        </w:rPr>
        <w:t xml:space="preserve"> was used for the p</w:t>
      </w:r>
      <w:r w:rsidR="005D7F04" w:rsidRPr="00E6587E">
        <w:rPr>
          <w:lang w:val="en-GB"/>
        </w:rPr>
        <w:t xml:space="preserve">olymerase </w:t>
      </w:r>
      <w:r w:rsidR="005D7F04">
        <w:rPr>
          <w:lang w:val="en-GB"/>
        </w:rPr>
        <w:t>c</w:t>
      </w:r>
      <w:r w:rsidR="005D7F04" w:rsidRPr="00E6587E">
        <w:rPr>
          <w:lang w:val="en-GB"/>
        </w:rPr>
        <w:t xml:space="preserve">hain </w:t>
      </w:r>
      <w:r w:rsidR="005D7F04">
        <w:rPr>
          <w:lang w:val="en-GB"/>
        </w:rPr>
        <w:t>r</w:t>
      </w:r>
      <w:r w:rsidR="005D7F04" w:rsidRPr="00E6587E">
        <w:rPr>
          <w:lang w:val="en-GB"/>
        </w:rPr>
        <w:t>eaction</w:t>
      </w:r>
      <w:r w:rsidR="0008389F" w:rsidRPr="00E6587E">
        <w:rPr>
          <w:lang w:val="en-GB"/>
        </w:rPr>
        <w:t xml:space="preserve">: initial denaturation at 94°C for 5 min, followed by 40 amplification cycles of denaturation at 94°C for 30 s, annealing at 57°C for 1 min, and elongation at 72°C for 30 s, with a final elongation step at 72°C for 10 min. The PCR products were separated using 1.2% agarose gel electrophoresis at 100 V for 20 min and visualized with a </w:t>
      </w:r>
      <w:proofErr w:type="spellStart"/>
      <w:r w:rsidR="0008389F" w:rsidRPr="00E6587E">
        <w:rPr>
          <w:lang w:val="en-GB"/>
        </w:rPr>
        <w:t>GenePlex</w:t>
      </w:r>
      <w:proofErr w:type="spellEnd"/>
      <w:r w:rsidR="0008389F" w:rsidRPr="00E6587E">
        <w:rPr>
          <w:lang w:val="en-GB"/>
        </w:rPr>
        <w:t xml:space="preserve"> Gene View UV Transilluminator. For sequencing, undiluted samples showing amplification bar (26 samples) and additional samples without an </w:t>
      </w:r>
      <w:r w:rsidR="0008389F" w:rsidRPr="00E6587E">
        <w:rPr>
          <w:lang w:val="en-GB"/>
        </w:rPr>
        <w:lastRenderedPageBreak/>
        <w:t xml:space="preserve">amplification bar (5 samples) were used as controls. Depending </w:t>
      </w:r>
      <w:r w:rsidR="00140306" w:rsidRPr="00E6587E">
        <w:rPr>
          <w:lang w:val="en-GB"/>
        </w:rPr>
        <w:t>on</w:t>
      </w:r>
      <w:r w:rsidR="0008389F" w:rsidRPr="00E6587E">
        <w:rPr>
          <w:lang w:val="en-GB"/>
        </w:rPr>
        <w:t xml:space="preserve"> the initial concentration, dilutions or concentrations using a </w:t>
      </w:r>
      <w:proofErr w:type="spellStart"/>
      <w:r w:rsidR="0008389F" w:rsidRPr="00E6587E">
        <w:rPr>
          <w:lang w:val="en-GB"/>
        </w:rPr>
        <w:t>MultiScreenHTS</w:t>
      </w:r>
      <w:proofErr w:type="spellEnd"/>
      <w:r w:rsidR="0008389F" w:rsidRPr="00E6587E">
        <w:rPr>
          <w:lang w:val="en-GB"/>
        </w:rPr>
        <w:t xml:space="preserve"> vacuum system </w:t>
      </w:r>
      <w:r w:rsidR="008515FB">
        <w:rPr>
          <w:lang w:val="en-GB"/>
        </w:rPr>
        <w:t>were made</w:t>
      </w:r>
      <w:r w:rsidR="0026080D">
        <w:rPr>
          <w:lang w:val="en-GB"/>
        </w:rPr>
        <w:t xml:space="preserve"> </w:t>
      </w:r>
      <w:r w:rsidR="0008389F" w:rsidRPr="00E6587E">
        <w:rPr>
          <w:lang w:val="en-GB"/>
        </w:rPr>
        <w:t xml:space="preserve">at 4 </w:t>
      </w:r>
      <w:r w:rsidR="0008389F" w:rsidRPr="0026080D">
        <w:rPr>
          <w:lang w:val="en-GB"/>
        </w:rPr>
        <w:t>n</w:t>
      </w:r>
      <w:r w:rsidR="0008389F" w:rsidRPr="008515FB">
        <w:rPr>
          <w:lang w:val="en-GB"/>
        </w:rPr>
        <w:t xml:space="preserve">g </w:t>
      </w:r>
      <w:r w:rsidR="0008389F" w:rsidRPr="0026080D">
        <w:rPr>
          <w:lang w:val="en-GB"/>
        </w:rPr>
        <w:t>μ</w:t>
      </w:r>
      <w:r w:rsidR="0008389F" w:rsidRPr="00E6587E">
        <w:rPr>
          <w:lang w:val="en-GB"/>
        </w:rPr>
        <w:t>L</w:t>
      </w:r>
      <w:r w:rsidR="0008389F" w:rsidRPr="0026080D">
        <w:rPr>
          <w:vertAlign w:val="superscript"/>
          <w:lang w:val="en-GB"/>
        </w:rPr>
        <w:t>-1</w:t>
      </w:r>
      <w:r w:rsidR="0008389F" w:rsidRPr="00E6587E">
        <w:rPr>
          <w:lang w:val="en-GB"/>
        </w:rPr>
        <w:t xml:space="preserve"> in 25 </w:t>
      </w:r>
      <w:proofErr w:type="spellStart"/>
      <w:r w:rsidR="0008389F" w:rsidRPr="0026080D">
        <w:rPr>
          <w:lang w:val="en-GB"/>
        </w:rPr>
        <w:t>μ</w:t>
      </w:r>
      <w:r w:rsidR="0008389F" w:rsidRPr="008515FB">
        <w:rPr>
          <w:lang w:val="en-GB"/>
        </w:rPr>
        <w:t>L</w:t>
      </w:r>
      <w:proofErr w:type="spellEnd"/>
      <w:r w:rsidR="009F46A4">
        <w:rPr>
          <w:lang w:val="en-GB"/>
        </w:rPr>
        <w:t>.</w:t>
      </w:r>
    </w:p>
    <w:p w14:paraId="5F03A214" w14:textId="60F7F099" w:rsidR="009F46A4" w:rsidRDefault="009F46A4" w:rsidP="0065583C">
      <w:pPr>
        <w:pStyle w:val="Titre2"/>
        <w:rPr>
          <w:lang w:val="en-GB"/>
        </w:rPr>
      </w:pPr>
      <w:bookmarkStart w:id="34" w:name="_Toc199759399"/>
      <w:r>
        <w:rPr>
          <w:lang w:val="en-GB"/>
        </w:rPr>
        <w:t>Primer Sequences</w:t>
      </w:r>
      <w:bookmarkEnd w:id="34"/>
    </w:p>
    <w:p w14:paraId="2F5AC86D" w14:textId="79A444E0" w:rsidR="00C60819" w:rsidRDefault="00C60819" w:rsidP="00B35093">
      <w:pPr>
        <w:rPr>
          <w:lang w:val="en-GB"/>
        </w:rPr>
      </w:pPr>
      <w:r>
        <w:rPr>
          <w:lang w:val="en-GB"/>
        </w:rPr>
        <w:t>frc171-F</w:t>
      </w:r>
      <w:r w:rsidRPr="00BB5ACE">
        <w:rPr>
          <w:lang w:val="en-GB"/>
        </w:rPr>
        <w:t xml:space="preserve"> </w:t>
      </w:r>
      <w:r>
        <w:rPr>
          <w:lang w:val="en-GB"/>
        </w:rPr>
        <w:t>(</w:t>
      </w:r>
      <w:r w:rsidR="00C2726B" w:rsidRPr="00BB5ACE">
        <w:rPr>
          <w:lang w:val="en-GB"/>
        </w:rPr>
        <w:t>5′-CTSTAYTTCACSATGCTSAAC-3′</w:t>
      </w:r>
      <w:r w:rsidR="00C2726B">
        <w:rPr>
          <w:lang w:val="en-GB"/>
        </w:rPr>
        <w:t>)</w:t>
      </w:r>
    </w:p>
    <w:p w14:paraId="293BA532" w14:textId="3ECF3CC3" w:rsidR="00C2726B" w:rsidRDefault="00C2726B" w:rsidP="00B35093">
      <w:pPr>
        <w:rPr>
          <w:lang w:val="en-GB"/>
        </w:rPr>
      </w:pPr>
      <w:r>
        <w:rPr>
          <w:lang w:val="en-GB"/>
        </w:rPr>
        <w:t>frc306-R (</w:t>
      </w:r>
      <w:r w:rsidRPr="00883DEF">
        <w:rPr>
          <w:lang w:val="en-GB"/>
        </w:rPr>
        <w:t>5′-GDSAAGCCCATVCGRTC-3</w:t>
      </w:r>
      <w:r w:rsidR="00C60819">
        <w:rPr>
          <w:lang w:val="en-GB"/>
        </w:rPr>
        <w:t>)</w:t>
      </w:r>
    </w:p>
    <w:p w14:paraId="3B45146F" w14:textId="23651DEC" w:rsidR="003F0FC9" w:rsidRDefault="003F0FC9" w:rsidP="00B35093">
      <w:pPr>
        <w:rPr>
          <w:lang w:val="en-GB"/>
        </w:rPr>
      </w:pPr>
      <w:r>
        <w:rPr>
          <w:lang w:val="en-GB"/>
        </w:rPr>
        <w:t>frc</w:t>
      </w:r>
      <w:r w:rsidR="00E44257">
        <w:rPr>
          <w:lang w:val="en-GB"/>
        </w:rPr>
        <w:t>627-R</w:t>
      </w:r>
      <w:r w:rsidRPr="00A92BF2">
        <w:rPr>
          <w:lang w:val="en-GB"/>
        </w:rPr>
        <w:t xml:space="preserve"> </w:t>
      </w:r>
      <w:r w:rsidR="00E44257">
        <w:rPr>
          <w:lang w:val="en-GB"/>
        </w:rPr>
        <w:t>(</w:t>
      </w:r>
      <w:r w:rsidRPr="00A92BF2">
        <w:rPr>
          <w:lang w:val="en-GB"/>
        </w:rPr>
        <w:t>5′-TGCTGRTCRCGYAGYTTSAC-3′</w:t>
      </w:r>
      <w:r>
        <w:rPr>
          <w:lang w:val="en-GB"/>
        </w:rPr>
        <w:t>)</w:t>
      </w:r>
    </w:p>
    <w:p w14:paraId="349D429B" w14:textId="29D4F094" w:rsidR="009F46A4" w:rsidRDefault="008451BF" w:rsidP="0065583C">
      <w:pPr>
        <w:pStyle w:val="Titre2"/>
        <w:rPr>
          <w:lang w:val="en-GB"/>
        </w:rPr>
      </w:pPr>
      <w:bookmarkStart w:id="35" w:name="_Toc199759400"/>
      <w:r>
        <w:rPr>
          <w:lang w:val="en-GB"/>
        </w:rPr>
        <w:t xml:space="preserve">Sequence </w:t>
      </w:r>
      <w:proofErr w:type="gramStart"/>
      <w:r>
        <w:rPr>
          <w:lang w:val="en-GB"/>
        </w:rPr>
        <w:t>analysis</w:t>
      </w:r>
      <w:bookmarkEnd w:id="35"/>
      <w:proofErr w:type="gramEnd"/>
    </w:p>
    <w:p w14:paraId="47961566" w14:textId="22644163" w:rsidR="008451BF" w:rsidRPr="006B0A15" w:rsidRDefault="008451BF" w:rsidP="008451BF">
      <w:pPr>
        <w:rPr>
          <w:b/>
          <w:bCs/>
          <w:lang w:val="en-GB"/>
        </w:rPr>
      </w:pPr>
      <w:bookmarkStart w:id="36" w:name="_Hlk194142153"/>
      <w:r w:rsidRPr="00A92BF2">
        <w:rPr>
          <w:lang w:val="en-GB"/>
        </w:rPr>
        <w:t xml:space="preserve">To ensure data quality, </w:t>
      </w:r>
      <w:r w:rsidR="001710D9">
        <w:rPr>
          <w:lang w:val="en-GB"/>
        </w:rPr>
        <w:t>‘</w:t>
      </w:r>
      <w:proofErr w:type="spellStart"/>
      <w:r w:rsidRPr="00A92BF2">
        <w:rPr>
          <w:lang w:val="en-GB"/>
        </w:rPr>
        <w:t>FastQC</w:t>
      </w:r>
      <w:proofErr w:type="spellEnd"/>
      <w:r w:rsidRPr="00A92BF2">
        <w:rPr>
          <w:lang w:val="en-GB"/>
        </w:rPr>
        <w:t xml:space="preserve"> version 0.11.7</w:t>
      </w:r>
      <w:r w:rsidR="00FA309C">
        <w:rPr>
          <w:lang w:val="en-GB"/>
        </w:rPr>
        <w:t>’</w:t>
      </w:r>
      <w:r w:rsidRPr="00A92BF2">
        <w:rPr>
          <w:lang w:val="en-GB"/>
        </w:rPr>
        <w:t xml:space="preserve"> </w:t>
      </w:r>
      <w:r w:rsidR="00CC445B">
        <w:rPr>
          <w:lang w:val="en-GB"/>
        </w:rPr>
        <w:fldChar w:fldCharType="begin"/>
      </w:r>
      <w:r w:rsidR="00C31530">
        <w:rPr>
          <w:lang w:val="en-GB"/>
        </w:rPr>
        <w:instrText xml:space="preserve"> ADDIN ZOTERO_ITEM CSL_CITATION {"citationID":"1BY6wErC","properties":{"formattedCitation":"(Andrews, 2010)","plainCitation":"(Andrews, 2010)","noteIndex":0},"citationItems":[{"id":2285,"uris":["http://zotero.org/groups/2387759/items/SJPCRBGI"],"itemData":{"id":2285,"type":"article-journal","source":"Google Scholar","title":"FastQC: a quality control tool for high throughput sequence data","title-short":"FastQC","URL":"https://cir.nii.ac.jp/crid/1370584340724053142","author":[{"family":"Andrews","given":"Simon"}],"accessed":{"date-parts":[["2025",5,24]]},"issued":{"date-parts":[["2010"]]}}}],"schema":"https://github.com/citation-style-language/schema/raw/master/csl-citation.json"} </w:instrText>
      </w:r>
      <w:r w:rsidR="00CC445B">
        <w:rPr>
          <w:lang w:val="en-GB"/>
        </w:rPr>
        <w:fldChar w:fldCharType="separate"/>
      </w:r>
      <w:r w:rsidR="00320449" w:rsidRPr="00320449">
        <w:t>(Andrews, 2010)</w:t>
      </w:r>
      <w:r w:rsidR="00CC445B">
        <w:rPr>
          <w:lang w:val="en-GB"/>
        </w:rPr>
        <w:fldChar w:fldCharType="end"/>
      </w:r>
      <w:r w:rsidRPr="00A92BF2">
        <w:rPr>
          <w:lang w:val="en-GB"/>
        </w:rPr>
        <w:t xml:space="preserve"> was used to assess the quality of the raw reads. As the quality of many reads declined towards the end, </w:t>
      </w:r>
      <w:r w:rsidR="002242F1">
        <w:rPr>
          <w:lang w:val="en-GB"/>
        </w:rPr>
        <w:t>‘</w:t>
      </w:r>
      <w:proofErr w:type="spellStart"/>
      <w:r w:rsidRPr="00A92BF2">
        <w:rPr>
          <w:lang w:val="en-GB"/>
        </w:rPr>
        <w:t>Trimmomatic</w:t>
      </w:r>
      <w:proofErr w:type="spellEnd"/>
      <w:r w:rsidR="002242F1">
        <w:rPr>
          <w:lang w:val="en-GB"/>
        </w:rPr>
        <w:t>’</w:t>
      </w:r>
      <w:r w:rsidRPr="00A92BF2">
        <w:rPr>
          <w:lang w:val="en-GB"/>
        </w:rPr>
        <w:t xml:space="preserve"> version 0.32 </w:t>
      </w:r>
      <w:r w:rsidR="00CC445B">
        <w:rPr>
          <w:lang w:val="en-GB"/>
        </w:rPr>
        <w:fldChar w:fldCharType="begin"/>
      </w:r>
      <w:r w:rsidR="00C31530">
        <w:rPr>
          <w:lang w:val="en-GB"/>
        </w:rPr>
        <w:instrText xml:space="preserve"> ADDIN ZOTERO_ITEM CSL_CITATION {"citationID":"5ZHPNFp6","properties":{"formattedCitation":"(Bolger et al., 2014)","plainCitation":"(Bolger et al., 2014)","noteIndex":0},"citationItems":[{"id":2301,"uris":["http://zotero.org/groups/2387759/items/5CSGVAX3"],"itemData":{"id":2301,"type":"article-journal","abstract":"Motivation: Although many next-generation sequencing (NGS) read preprocessing tools already existed, we could not find any tool or combination of tools that met our requirements in terms of flexibility, correct handling of paired-end data and high performance. We have developed Trimmomatic as a more flexible and efficient preprocessing tool, which could correctly handle paired-end data. Results: The value of NGS read preprocessing is demonstrated for both reference-based and reference-free tasks. Trimmomatic is shown to produce output that is at least competitive with, and in many cases superior to, that produced by other tools, in all scenarios tested. Availability and implementation: Trimmomatic is licensed under GPL V3. It is cross-platform (Java 1.5+ required) and available at http://www.usadellab.org/cms/index.php?page=trimmomaticContact:  usadel@bio1.rwth-aachen.deSupplementary information:  Supplementary data are available at Bioinformatics online.","container-title":"Bioinformatics","DOI":"10.1093/bioinformatics/btu170","ISSN":"1367-4803","issue":"15","journalAbbreviation":"Bioinform.","page":"2114-2120","source":"Silverchair","title":"Trimmomatic: a flexible trimmer for Illumina sequence data","title-short":"Trimmomatic","volume":"30","author":[{"family":"Bolger","given":"Anthony M."},{"family":"Lohse","given":"Marc"},{"family":"Usadel","given":"Bjoern"}],"issued":{"date-parts":[["2014",8,1]]}}}],"schema":"https://github.com/citation-style-language/schema/raw/master/csl-citation.json"} </w:instrText>
      </w:r>
      <w:r w:rsidR="00CC445B">
        <w:rPr>
          <w:lang w:val="en-GB"/>
        </w:rPr>
        <w:fldChar w:fldCharType="separate"/>
      </w:r>
      <w:r w:rsidR="00320449" w:rsidRPr="00320449">
        <w:t>(Bolger et al., 2014)</w:t>
      </w:r>
      <w:r w:rsidR="00CC445B">
        <w:rPr>
          <w:lang w:val="en-GB"/>
        </w:rPr>
        <w:fldChar w:fldCharType="end"/>
      </w:r>
      <w:r w:rsidR="00644946">
        <w:rPr>
          <w:lang w:val="en-GB"/>
        </w:rPr>
        <w:t xml:space="preserve"> </w:t>
      </w:r>
      <w:r w:rsidRPr="00A92BF2">
        <w:rPr>
          <w:lang w:val="en-GB"/>
        </w:rPr>
        <w:t xml:space="preserve">was employed to trim low-quality bases and short reads with the following parameters SLIDINGWINDOW:4:15 MINLEN:25, resulting in a dataset of sufficient quality. Subsequently, </w:t>
      </w:r>
      <w:r w:rsidRPr="004D460C">
        <w:rPr>
          <w:i/>
          <w:iCs/>
          <w:lang w:val="en-GB"/>
        </w:rPr>
        <w:t>LotuS2</w:t>
      </w:r>
      <w:r w:rsidRPr="00A92BF2">
        <w:rPr>
          <w:lang w:val="en-GB"/>
        </w:rPr>
        <w:t xml:space="preserve"> </w:t>
      </w:r>
      <w:r w:rsidR="00CC445B">
        <w:rPr>
          <w:lang w:val="en-GB"/>
        </w:rPr>
        <w:fldChar w:fldCharType="begin"/>
      </w:r>
      <w:r w:rsidR="00C31530">
        <w:rPr>
          <w:lang w:val="en-GB"/>
        </w:rPr>
        <w:instrText xml:space="preserve"> ADDIN ZOTERO_ITEM CSL_CITATION {"citationID":"0yqmUVIS","properties":{"formattedCitation":"(\\uc0\\u214{}zkurt et al., 2022)","plainCitation":"(Özkurt et al., 2022)","noteIndex":0},"citationItems":[{"id":2367,"uris":["http://zotero.org/groups/2387759/items/JIFBL4ZE"],"itemData":{"id":2367,"type":"article-journal","abstract":"Amplicon sequencing is an established and cost-efficient method for profiling microbiomes. However, many available tools to process this data require both bioinformatics skills and high computational power to process big datasets. Furthermore, there are only few tools that allow for long read amplicon data analysis. To bridge this gap, we developed the LotuS2 (less OTU scripts 2) pipeline, enabling user-friendly, resource friendly, and versatile analysis of raw amplicon sequences.","container-title":"Microbiome","DOI":"10.1186/s40168-022-01365-1","ISSN":"2049-2618","issue":"176","journalAbbreviation":"Microbiome","language":"en","page":"1-14","source":"Springer Link","title":"LotuS2: an ultrafast and highly accurate tool for amplicon sequencing analysis","title-short":"LotuS2","volume":"10","author":[{"family":"Özkurt","given":"Ezgi"},{"family":"Fritscher","given":"Joachim"},{"family":"Soranzo","given":"Nicola"},{"family":"Ng","given":"Duncan Y. K."},{"family":"Davey","given":"Robert P."},{"family":"Bahram","given":"Mohammad"},{"family":"Hildebrand","given":"Falk"}],"issued":{"date-parts":[["2022",10,19]]}}}],"schema":"https://github.com/citation-style-language/schema/raw/master/csl-citation.json"} </w:instrText>
      </w:r>
      <w:r w:rsidR="00CC445B">
        <w:rPr>
          <w:lang w:val="en-GB"/>
        </w:rPr>
        <w:fldChar w:fldCharType="separate"/>
      </w:r>
      <w:r w:rsidR="00320449" w:rsidRPr="00320449">
        <w:rPr>
          <w:kern w:val="0"/>
        </w:rPr>
        <w:t>(Özkurt et al., 2022)</w:t>
      </w:r>
      <w:r w:rsidR="00CC445B">
        <w:rPr>
          <w:lang w:val="en-GB"/>
        </w:rPr>
        <w:fldChar w:fldCharType="end"/>
      </w:r>
      <w:r w:rsidR="00217097">
        <w:rPr>
          <w:lang w:val="en-GB"/>
        </w:rPr>
        <w:t xml:space="preserve"> </w:t>
      </w:r>
      <w:r w:rsidRPr="00A92BF2">
        <w:rPr>
          <w:lang w:val="en-GB"/>
        </w:rPr>
        <w:t xml:space="preserve">with </w:t>
      </w:r>
      <w:r w:rsidRPr="004D460C">
        <w:rPr>
          <w:i/>
          <w:iCs/>
          <w:lang w:val="en-GB"/>
        </w:rPr>
        <w:t>DADA2</w:t>
      </w:r>
      <w:r w:rsidRPr="00A92BF2">
        <w:rPr>
          <w:lang w:val="en-GB"/>
        </w:rPr>
        <w:t xml:space="preserve"> </w:t>
      </w:r>
      <w:r w:rsidR="00CC445B">
        <w:rPr>
          <w:lang w:val="en-GB"/>
        </w:rPr>
        <w:fldChar w:fldCharType="begin"/>
      </w:r>
      <w:r w:rsidR="00C31530">
        <w:rPr>
          <w:lang w:val="en-GB"/>
        </w:rPr>
        <w:instrText xml:space="preserve"> ADDIN ZOTERO_ITEM CSL_CITATION {"citationID":"JdrBqY4Z","properties":{"formattedCitation":"(Callahan et al., 2016)","plainCitation":"(Callahan et al., 2016)","noteIndex":0},"citationItems":[{"id":628,"uris":["http://zotero.org/groups/2387759/items/LTV8SYZL"],"itemData":{"id":628,"type":"article-journal","abstract":"We present DADA2, a software package that models and corrects Illumina-sequenced amplicon errors. DADA2 infers sample sequences exactly, without coarse-graining into OTUs, and resolves differences of as little as one nucleotide. In several mock communities DADA2 identified more real variants and output fewer spurious sequences than other methods. We applied DADA2 to vaginal samples from a cohort of pregnant women, revealing a diversity of previously undetected Lactobacillus crispatus variants.","container-title":"Nature methods","DOI":"10.1038/nmeth.3869","ISSN":"1548-7091","issue":"7","journalAbbreviation":"Nat Methods","note":"PMID: 27214047\nPMCID: PMC4927377","page":"581-583","source":"PubMed Central","title":"DADA2: High resolution sample inference from Illumina amplicon data","title-short":"DADA2","volume":"13","author":[{"family":"Callahan","given":"Benjamin J"},{"family":"McMurdie","given":"Paul J"},{"family":"Rosen","given":"Michael J"},{"family":"Han","given":"Andrew W"},{"family":"Johnson","given":"Amy Jo A"},{"family":"Holmes","given":"Susan P"}],"issued":{"date-parts":[["2016",7]]}}}],"schema":"https://github.com/citation-style-language/schema/raw/master/csl-citation.json"} </w:instrText>
      </w:r>
      <w:r w:rsidR="00CC445B">
        <w:rPr>
          <w:lang w:val="en-GB"/>
        </w:rPr>
        <w:fldChar w:fldCharType="separate"/>
      </w:r>
      <w:r w:rsidR="00320449" w:rsidRPr="00320449">
        <w:t>(Callahan et al., 2016)</w:t>
      </w:r>
      <w:r w:rsidR="00CC445B">
        <w:rPr>
          <w:lang w:val="en-GB"/>
        </w:rPr>
        <w:fldChar w:fldCharType="end"/>
      </w:r>
      <w:r w:rsidR="00F87B2D">
        <w:rPr>
          <w:lang w:val="en-GB"/>
        </w:rPr>
        <w:t xml:space="preserve"> </w:t>
      </w:r>
      <w:r w:rsidRPr="006B0A15">
        <w:rPr>
          <w:lang w:val="en-GB"/>
        </w:rPr>
        <w:t>were used to identify unique amplicon sequence variants (ASVs) within the cleaned dataset.</w:t>
      </w:r>
    </w:p>
    <w:p w14:paraId="63BFBEB9" w14:textId="70A9F276" w:rsidR="008451BF" w:rsidRPr="006B0A15" w:rsidRDefault="008451BF" w:rsidP="008451BF">
      <w:pPr>
        <w:rPr>
          <w:lang w:val="en-GB"/>
        </w:rPr>
      </w:pPr>
      <w:r w:rsidRPr="006B0A15">
        <w:rPr>
          <w:lang w:val="en-GB"/>
        </w:rPr>
        <w:t>Unlike traditional microbial barcodes (</w:t>
      </w:r>
      <w:r>
        <w:rPr>
          <w:lang w:val="en-GB"/>
        </w:rPr>
        <w:t xml:space="preserve">e.g. </w:t>
      </w:r>
      <w:r w:rsidRPr="006B0A15">
        <w:rPr>
          <w:lang w:val="en-GB"/>
        </w:rPr>
        <w:t xml:space="preserve">ITS, 16S rRNA, or 18S rRNA), there is no public database containing reference sequences and associated taxonomy for the </w:t>
      </w:r>
      <w:proofErr w:type="spellStart"/>
      <w:r w:rsidRPr="006B0A15">
        <w:rPr>
          <w:i/>
          <w:iCs/>
          <w:lang w:val="en-GB"/>
        </w:rPr>
        <w:t>frc</w:t>
      </w:r>
      <w:proofErr w:type="spellEnd"/>
      <w:r w:rsidRPr="006B0A15">
        <w:rPr>
          <w:lang w:val="en-GB"/>
        </w:rPr>
        <w:t xml:space="preserve"> gene target region. Therefore, we used </w:t>
      </w:r>
      <w:r w:rsidR="002242F1">
        <w:rPr>
          <w:lang w:val="en-GB"/>
        </w:rPr>
        <w:t>‘</w:t>
      </w:r>
      <w:r w:rsidRPr="006B0A15">
        <w:rPr>
          <w:lang w:val="en-GB"/>
        </w:rPr>
        <w:t>RAPPAS</w:t>
      </w:r>
      <w:r w:rsidR="002242F1">
        <w:rPr>
          <w:lang w:val="en-GB"/>
        </w:rPr>
        <w:t>’</w:t>
      </w:r>
      <w:r w:rsidR="00CC445B">
        <w:rPr>
          <w:lang w:val="en-GB"/>
        </w:rPr>
        <w:t xml:space="preserve"> </w:t>
      </w:r>
      <w:r w:rsidR="00CC445B">
        <w:rPr>
          <w:lang w:val="en-GB"/>
        </w:rPr>
        <w:fldChar w:fldCharType="begin"/>
      </w:r>
      <w:r w:rsidR="0026080D">
        <w:rPr>
          <w:lang w:val="en-GB"/>
        </w:rPr>
        <w:instrText xml:space="preserve"> ADDIN ZOTERO_ITEM CSL_CITATION {"citationID":"D9yGUM5B","properties":{"formattedCitation":"(Linard et al. 2019)","plainCitation":"(Linard et al. 2019)","dontUpdate":true,"noteIndex":0},"citationItems":[{"id":2350,"uris":["http://zotero.org/groups/2387759/items/YJGSQWMM"],"itemData":{"id":2350,"type":"article-journal","abstract":"Taxonomic classification is at the core of environmental DNA analysis. When a phylogenetic tree can be built as a prior hypothesis to such classification, phylogenetic placement (PP) provides the most informative type of classification because each query sequence is assigned to its putative origin in the tree. This is useful whenever precision is sought (e.g. in diagnostics). However, likelihood-based PP algorithms struggle to scale with the ever-increasing throughput of DNA sequencing. We have developed RAPPAS (Rapid Alignment-free Phylogenetic Placement via Ancestral Sequences) which uses an alignment-free approach, removing the hurdle of query sequence alignment as a preliminary step to PP. Our approach relies on the precomputation of a database of k-mers that may be present with non-negligible probability in relatives of the reference sequences. The placement is performed by inspecting the stored phylogenetic origins of the k-mers in the query, and their probabilities. The database can be reused for the analysis of several different metagenomes. Experiments show that the first implementation of RAPPAS is already faster than competing likelihood-based PP algorithms, while keeping similar accuracy for short reads. RAPPAS scales PP for the era of routine metagenomic diagnostics.Program and sources freely available for download at https://github.com/blinard-BIOINFO/RAPPAS.Supplementary data are available at Bioinformatics online.","container-title":"Bioinformatics","DOI":"10.1093/bioinformatics/btz068","ISSN":"1367-4803","issue":"18","journalAbbreviation":"Bioinform.","page":"3303-3312","source":"Silverchair","title":"Rapid alignment-free phylogenetic identification of metagenomic sequences","volume":"35","author":[{"family":"Linard","given":"Benjamin"},{"family":"Swenson","given":"Krister"},{"family":"Pardi","given":"Fabio"}],"issued":{"date-parts":[["2019",9,15]]}}}],"schema":"https://github.com/citation-style-language/schema/raw/master/csl-citation.json"} </w:instrText>
      </w:r>
      <w:r w:rsidR="00CC445B">
        <w:rPr>
          <w:lang w:val="en-GB"/>
        </w:rPr>
        <w:fldChar w:fldCharType="separate"/>
      </w:r>
      <w:r w:rsidR="00CC445B" w:rsidRPr="00CC445B">
        <w:t>(</w:t>
      </w:r>
      <w:r w:rsidR="00CC445B">
        <w:t xml:space="preserve">rapid alignment-free phylogenetic placement via ancestral sequences; </w:t>
      </w:r>
      <w:r w:rsidR="00CC445B" w:rsidRPr="00CC445B">
        <w:t>Linard et al. 2019)</w:t>
      </w:r>
      <w:r w:rsidR="00CC445B">
        <w:rPr>
          <w:lang w:val="en-GB"/>
        </w:rPr>
        <w:fldChar w:fldCharType="end"/>
      </w:r>
      <w:r w:rsidRPr="00A92BF2">
        <w:rPr>
          <w:lang w:val="en-GB"/>
        </w:rPr>
        <w:t xml:space="preserve"> to assign taxonomy to the identified ASVs. </w:t>
      </w:r>
      <w:r w:rsidRPr="006B0A15">
        <w:rPr>
          <w:lang w:val="en-GB"/>
        </w:rPr>
        <w:t xml:space="preserve">For this, </w:t>
      </w:r>
      <w:r>
        <w:rPr>
          <w:lang w:val="en-GB"/>
        </w:rPr>
        <w:t>we queried</w:t>
      </w:r>
      <w:r w:rsidRPr="006B0A15">
        <w:rPr>
          <w:lang w:val="en-GB"/>
        </w:rPr>
        <w:t xml:space="preserve"> on November 9</w:t>
      </w:r>
      <w:r w:rsidRPr="008051FF">
        <w:rPr>
          <w:vertAlign w:val="superscript"/>
          <w:lang w:val="en-GB"/>
        </w:rPr>
        <w:t>th</w:t>
      </w:r>
      <w:r>
        <w:rPr>
          <w:lang w:val="en-GB"/>
        </w:rPr>
        <w:t xml:space="preserve"> </w:t>
      </w:r>
      <w:r w:rsidRPr="006B0A15">
        <w:rPr>
          <w:lang w:val="en-GB"/>
        </w:rPr>
        <w:t>2023</w:t>
      </w:r>
      <w:r>
        <w:rPr>
          <w:lang w:val="en-GB"/>
        </w:rPr>
        <w:t xml:space="preserve"> </w:t>
      </w:r>
      <w:r w:rsidRPr="006B0A15">
        <w:rPr>
          <w:lang w:val="en-GB"/>
        </w:rPr>
        <w:t xml:space="preserve">the </w:t>
      </w:r>
      <w:proofErr w:type="spellStart"/>
      <w:r w:rsidRPr="006B0A15">
        <w:rPr>
          <w:lang w:val="en-GB"/>
        </w:rPr>
        <w:t>UniProtKB</w:t>
      </w:r>
      <w:proofErr w:type="spellEnd"/>
      <w:r w:rsidRPr="006B0A15">
        <w:rPr>
          <w:lang w:val="en-GB"/>
        </w:rPr>
        <w:t xml:space="preserve"> database </w:t>
      </w:r>
      <w:r w:rsidR="00CC445B">
        <w:rPr>
          <w:lang w:val="en-GB"/>
        </w:rPr>
        <w:fldChar w:fldCharType="begin"/>
      </w:r>
      <w:r w:rsidR="00C31530">
        <w:rPr>
          <w:lang w:val="en-GB"/>
        </w:rPr>
        <w:instrText xml:space="preserve"> ADDIN ZOTERO_ITEM CSL_CITATION {"citationID":"faC2lreo","properties":{"formattedCitation":"(UniProt Consortium, 2023)","plainCitation":"(UniProt Consortium, 2023)","noteIndex":0},"citationItems":[{"id":2405,"uris":["http://zotero.org/groups/2387759/items/G6ZY6BUF"],"itemData":{"id":2405,"type":"article-journal","abstract":"The aim of the UniProt Knowledgebase is to provide users with a comprehensive, high-quality and freely accessible set of protein sequences annotated with functional information. In this publication we describe enhancements made to our data processing pipeline and to our website to adapt to an ever-increasing information content. The number of sequences in UniProtKB has risen to over 227 million and we are working towards including a reference proteome for each taxonomic group. We continue to extract detailed annotations from the literature to update or create reviewed entries, while unreviewed entries are supplemented with annotations provided by automated systems using a variety of machine-learning techniques. In addition, the scientific community continues their contributions of publications and annotations to UniProt entries of their interest. Finally, we describe our new website (https://www.uniprot.org/), designed to enhance our users' experience and make our data easily accessible to the research community. This interface includes access to AlphaFold structures for more than 85% of all entries as well as improved visualisations for subcellular localisation of proteins.","container-title":"Nucleic Acids Research","DOI":"10.1093/nar/gkac1052","ISSN":"1362-4962","issue":"D1","journalAbbreviation":"Nucleic Acids Res.","language":"eng","note":"PMID: 36408920\nPMCID: PMC9825514","page":"D523-D531","source":"PubMed","title":"UniProt: the universal protein knowledgebase in 2023","title-short":"UniProt","volume":"51","author":[{"literal":"UniProt Consortium"}],"issued":{"date-parts":[["2023",1,6]]}}}],"schema":"https://github.com/citation-style-language/schema/raw/master/csl-citation.json"} </w:instrText>
      </w:r>
      <w:r w:rsidR="00CC445B">
        <w:rPr>
          <w:lang w:val="en-GB"/>
        </w:rPr>
        <w:fldChar w:fldCharType="separate"/>
      </w:r>
      <w:r w:rsidR="00320449" w:rsidRPr="00320449">
        <w:t>(</w:t>
      </w:r>
      <w:proofErr w:type="spellStart"/>
      <w:r w:rsidR="00320449" w:rsidRPr="00320449">
        <w:t>UniProt</w:t>
      </w:r>
      <w:proofErr w:type="spellEnd"/>
      <w:r w:rsidR="00320449" w:rsidRPr="00320449">
        <w:t xml:space="preserve"> Consortium, 2023)</w:t>
      </w:r>
      <w:r w:rsidR="00CC445B">
        <w:rPr>
          <w:lang w:val="en-GB"/>
        </w:rPr>
        <w:fldChar w:fldCharType="end"/>
      </w:r>
      <w:r w:rsidR="002242F1">
        <w:rPr>
          <w:lang w:val="en-GB"/>
        </w:rPr>
        <w:t xml:space="preserve"> </w:t>
      </w:r>
      <w:r>
        <w:rPr>
          <w:lang w:val="en-GB"/>
        </w:rPr>
        <w:t>with the term</w:t>
      </w:r>
      <w:r w:rsidRPr="006B0A15">
        <w:rPr>
          <w:lang w:val="en-GB"/>
        </w:rPr>
        <w:t xml:space="preserve"> "</w:t>
      </w:r>
      <w:proofErr w:type="spellStart"/>
      <w:r w:rsidRPr="006B0A15">
        <w:rPr>
          <w:lang w:val="en-GB"/>
        </w:rPr>
        <w:t>Formyl-CoA:oxalate</w:t>
      </w:r>
      <w:proofErr w:type="spellEnd"/>
      <w:r w:rsidRPr="006B0A15">
        <w:rPr>
          <w:lang w:val="en-GB"/>
        </w:rPr>
        <w:t xml:space="preserve"> CoA-transferase" (i.e. </w:t>
      </w:r>
      <w:proofErr w:type="spellStart"/>
      <w:r w:rsidRPr="006B0A15">
        <w:rPr>
          <w:i/>
          <w:iCs/>
          <w:lang w:val="en-GB"/>
        </w:rPr>
        <w:t>frc</w:t>
      </w:r>
      <w:proofErr w:type="spellEnd"/>
      <w:r w:rsidRPr="006B0A15">
        <w:rPr>
          <w:lang w:val="en-GB"/>
        </w:rPr>
        <w:t>)</w:t>
      </w:r>
      <w:r>
        <w:rPr>
          <w:lang w:val="en-GB"/>
        </w:rPr>
        <w:t xml:space="preserve"> to get amino acid (AA) </w:t>
      </w:r>
      <w:r w:rsidRPr="006B0A15">
        <w:rPr>
          <w:lang w:val="en-GB"/>
        </w:rPr>
        <w:t>sequences related</w:t>
      </w:r>
      <w:r>
        <w:rPr>
          <w:lang w:val="en-GB"/>
        </w:rPr>
        <w:t xml:space="preserve"> to this gene target. </w:t>
      </w:r>
      <w:r w:rsidRPr="00A92BF2">
        <w:rPr>
          <w:lang w:val="en-GB"/>
        </w:rPr>
        <w:t xml:space="preserve">After filtering for appropriate sequence lengths (between 382 and 469 amino acids), a dataset of 4,582 bacterial </w:t>
      </w:r>
      <w:r>
        <w:rPr>
          <w:lang w:val="en-GB"/>
        </w:rPr>
        <w:t xml:space="preserve">AA </w:t>
      </w:r>
      <w:r w:rsidRPr="00A92BF2">
        <w:rPr>
          <w:lang w:val="en-GB"/>
        </w:rPr>
        <w:t>sequences was obtained. One sequence per genus w</w:t>
      </w:r>
      <w:r>
        <w:rPr>
          <w:lang w:val="en-GB"/>
        </w:rPr>
        <w:t>ere</w:t>
      </w:r>
      <w:r w:rsidRPr="00A92BF2">
        <w:rPr>
          <w:lang w:val="en-GB"/>
        </w:rPr>
        <w:t xml:space="preserve"> randomly selected, along with an outgroup sequence from</w:t>
      </w:r>
      <w:r>
        <w:rPr>
          <w:lang w:val="en-GB"/>
        </w:rPr>
        <w:t xml:space="preserve"> the </w:t>
      </w:r>
      <w:proofErr w:type="spellStart"/>
      <w:r>
        <w:rPr>
          <w:lang w:val="en-GB"/>
        </w:rPr>
        <w:t>Archeum</w:t>
      </w:r>
      <w:proofErr w:type="spellEnd"/>
      <w:r w:rsidRPr="00A92BF2">
        <w:rPr>
          <w:lang w:val="en-GB"/>
        </w:rPr>
        <w:t xml:space="preserve"> </w:t>
      </w:r>
      <w:proofErr w:type="spellStart"/>
      <w:r w:rsidRPr="008051FF">
        <w:rPr>
          <w:i/>
          <w:iCs/>
          <w:lang w:val="en-GB"/>
        </w:rPr>
        <w:t>Natrarchaeobius</w:t>
      </w:r>
      <w:proofErr w:type="spellEnd"/>
      <w:r w:rsidRPr="008051FF">
        <w:rPr>
          <w:i/>
          <w:iCs/>
          <w:lang w:val="en-GB"/>
        </w:rPr>
        <w:t xml:space="preserve"> </w:t>
      </w:r>
      <w:proofErr w:type="spellStart"/>
      <w:r w:rsidRPr="008051FF">
        <w:rPr>
          <w:i/>
          <w:iCs/>
          <w:lang w:val="en-GB"/>
        </w:rPr>
        <w:t>chitinivorans</w:t>
      </w:r>
      <w:proofErr w:type="spellEnd"/>
      <w:r w:rsidRPr="00A92BF2">
        <w:rPr>
          <w:lang w:val="en-GB"/>
        </w:rPr>
        <w:t xml:space="preserve">. A multiple sequence alignment of these 186 sequences (122 </w:t>
      </w:r>
      <w:proofErr w:type="spellStart"/>
      <w:r w:rsidRPr="00A92BF2">
        <w:rPr>
          <w:lang w:val="en-GB"/>
        </w:rPr>
        <w:t>Pseudomonadota</w:t>
      </w:r>
      <w:proofErr w:type="spellEnd"/>
      <w:r w:rsidRPr="00A92BF2">
        <w:rPr>
          <w:lang w:val="en-GB"/>
        </w:rPr>
        <w:t xml:space="preserve">, 51 </w:t>
      </w:r>
      <w:proofErr w:type="spellStart"/>
      <w:r w:rsidRPr="00A92BF2">
        <w:rPr>
          <w:lang w:val="en-GB"/>
        </w:rPr>
        <w:t>Actinomycetota</w:t>
      </w:r>
      <w:proofErr w:type="spellEnd"/>
      <w:r w:rsidRPr="00A92BF2">
        <w:rPr>
          <w:lang w:val="en-GB"/>
        </w:rPr>
        <w:t xml:space="preserve">, 7 </w:t>
      </w:r>
      <w:proofErr w:type="spellStart"/>
      <w:r w:rsidRPr="00A92BF2">
        <w:rPr>
          <w:lang w:val="en-GB"/>
        </w:rPr>
        <w:t>Bacteroidota</w:t>
      </w:r>
      <w:proofErr w:type="spellEnd"/>
      <w:r w:rsidRPr="00A92BF2">
        <w:rPr>
          <w:lang w:val="en-GB"/>
        </w:rPr>
        <w:t xml:space="preserve">, 4 </w:t>
      </w:r>
      <w:proofErr w:type="spellStart"/>
      <w:r w:rsidRPr="00A92BF2">
        <w:rPr>
          <w:lang w:val="en-GB"/>
        </w:rPr>
        <w:t>Bacillota</w:t>
      </w:r>
      <w:proofErr w:type="spellEnd"/>
      <w:r w:rsidRPr="00A92BF2">
        <w:rPr>
          <w:lang w:val="en-GB"/>
        </w:rPr>
        <w:t xml:space="preserve">, 1 </w:t>
      </w:r>
      <w:proofErr w:type="spellStart"/>
      <w:r w:rsidRPr="00A92BF2">
        <w:rPr>
          <w:lang w:val="en-GB"/>
        </w:rPr>
        <w:t>Nitrospirota</w:t>
      </w:r>
      <w:proofErr w:type="spellEnd"/>
      <w:r w:rsidRPr="00A92BF2">
        <w:rPr>
          <w:lang w:val="en-GB"/>
        </w:rPr>
        <w:t xml:space="preserve">, and 1 </w:t>
      </w:r>
      <w:proofErr w:type="spellStart"/>
      <w:r w:rsidRPr="00A92BF2">
        <w:rPr>
          <w:lang w:val="en-GB"/>
        </w:rPr>
        <w:t>Methanobacteriota</w:t>
      </w:r>
      <w:proofErr w:type="spellEnd"/>
      <w:r w:rsidRPr="00A92BF2">
        <w:rPr>
          <w:lang w:val="en-GB"/>
        </w:rPr>
        <w:t xml:space="preserve">) was generated using </w:t>
      </w:r>
      <w:r w:rsidR="002242F1">
        <w:rPr>
          <w:lang w:val="en-GB"/>
        </w:rPr>
        <w:t>‘</w:t>
      </w:r>
      <w:r w:rsidRPr="00A92BF2">
        <w:rPr>
          <w:lang w:val="en-GB"/>
        </w:rPr>
        <w:t>MAFFT</w:t>
      </w:r>
      <w:r w:rsidR="002242F1">
        <w:rPr>
          <w:lang w:val="en-GB"/>
        </w:rPr>
        <w:t>’</w:t>
      </w:r>
      <w:r w:rsidRPr="00A92BF2">
        <w:rPr>
          <w:lang w:val="en-GB"/>
        </w:rPr>
        <w:t xml:space="preserve"> with default parameters. The optimal tree model was determined using </w:t>
      </w:r>
      <w:r w:rsidR="002242F1">
        <w:rPr>
          <w:lang w:val="en-GB"/>
        </w:rPr>
        <w:t>‘</w:t>
      </w:r>
      <w:r w:rsidRPr="00A92BF2">
        <w:rPr>
          <w:lang w:val="en-GB"/>
        </w:rPr>
        <w:t>IQ-TREE2</w:t>
      </w:r>
      <w:r w:rsidR="002242F1">
        <w:rPr>
          <w:lang w:val="en-GB"/>
        </w:rPr>
        <w:t>’</w:t>
      </w:r>
      <w:r w:rsidRPr="00A92BF2">
        <w:rPr>
          <w:lang w:val="en-GB"/>
        </w:rPr>
        <w:t xml:space="preserve"> </w:t>
      </w:r>
      <w:r w:rsidR="00CC445B">
        <w:rPr>
          <w:lang w:val="en-GB"/>
        </w:rPr>
        <w:fldChar w:fldCharType="begin"/>
      </w:r>
      <w:r w:rsidR="00C31530">
        <w:rPr>
          <w:lang w:val="en-GB"/>
        </w:rPr>
        <w:instrText xml:space="preserve"> ADDIN ZOTERO_ITEM CSL_CITATION {"citationID":"vOWtk9Zo","properties":{"formattedCitation":"(Minh et al., 2020)","plainCitation":"(Minh et al., 2020)","noteIndex":0},"citationItems":[{"id":2426,"uris":["http://zotero.org/groups/2387759/items/LG7GBQY4"],"itemData":{"id":2426,"type":"article-journal","abstract":"IQ-TREE (http://www.iqtree.org, last accessed February 6, 2020) is a user-friendly and widely used software package for phylogenetic inference using maximum likelihood. Since the release of version 1 in 2014, we have continuously expanded IQ-TREE to integrate a plethora of new models of sequence evolution and efficient computational approaches of phylogenetic inference to deal with genomic data. Here, we describe notable features of IQ-TREE version 2 and highlight the key advantages over other software.","container-title":"Molecular Biology and Evolution","DOI":"10.1093/molbev/msaa015","ISSN":"1537-1719","issue":"5","journalAbbreviation":"Mol. Biol. Evol.","language":"eng","note":"PMID: 32011700\nPMCID: PMC7182206","page":"1530-1534","source":"PubMed","title":"IQ-TREE 2: New Models and Efficient methods for phylogenetic inference in the genomic era","title-short":"IQ-TREE 2","volume":"37","author":[{"family":"Minh","given":"Bui Quang"},{"family":"Schmidt","given":"Heiko A."},{"family":"Chernomor","given":"Olga"},{"family":"Schrempf","given":"Dominik"},{"family":"Woodhams","given":"Michael D."},{"family":"Haeseler","given":"Arndt","non-dropping-particle":"von"},{"family":"Lanfear","given":"Robert"}],"issued":{"date-parts":[["2020",5,1]]}}}],"schema":"https://github.com/citation-style-language/schema/raw/master/csl-citation.json"} </w:instrText>
      </w:r>
      <w:r w:rsidR="00CC445B">
        <w:rPr>
          <w:lang w:val="en-GB"/>
        </w:rPr>
        <w:fldChar w:fldCharType="separate"/>
      </w:r>
      <w:r w:rsidR="00320449" w:rsidRPr="00320449">
        <w:t>(Minh et al., 2020)</w:t>
      </w:r>
      <w:r w:rsidR="00CC445B">
        <w:rPr>
          <w:lang w:val="en-GB"/>
        </w:rPr>
        <w:fldChar w:fldCharType="end"/>
      </w:r>
      <w:r w:rsidR="00CC445B">
        <w:rPr>
          <w:lang w:val="en-GB"/>
        </w:rPr>
        <w:t xml:space="preserve"> </w:t>
      </w:r>
      <w:r w:rsidRPr="00A92BF2">
        <w:rPr>
          <w:lang w:val="en-GB"/>
        </w:rPr>
        <w:t xml:space="preserve">with default parameters and rooted to the outgroup. Subsequently, RAPPAS constructed a </w:t>
      </w:r>
      <w:proofErr w:type="spellStart"/>
      <w:r w:rsidRPr="00A92BF2">
        <w:rPr>
          <w:lang w:val="en-GB"/>
        </w:rPr>
        <w:t>phylo-kmer</w:t>
      </w:r>
      <w:proofErr w:type="spellEnd"/>
      <w:r w:rsidRPr="00A92BF2">
        <w:rPr>
          <w:lang w:val="en-GB"/>
        </w:rPr>
        <w:t xml:space="preserve"> database using a </w:t>
      </w:r>
      <w:proofErr w:type="spellStart"/>
      <w:r w:rsidRPr="00A92BF2">
        <w:rPr>
          <w:lang w:val="en-GB"/>
        </w:rPr>
        <w:t>kmer</w:t>
      </w:r>
      <w:proofErr w:type="spellEnd"/>
      <w:r w:rsidRPr="00A92BF2">
        <w:rPr>
          <w:lang w:val="en-GB"/>
        </w:rPr>
        <w:t xml:space="preserve"> size of 5, as recommended by </w:t>
      </w:r>
      <w:r w:rsidR="00CC445B">
        <w:rPr>
          <w:lang w:val="en-GB"/>
        </w:rPr>
        <w:fldChar w:fldCharType="begin"/>
      </w:r>
      <w:r w:rsidR="0026080D">
        <w:rPr>
          <w:lang w:val="en-GB"/>
        </w:rPr>
        <w:instrText xml:space="preserve"> ADDIN ZOTERO_ITEM CSL_CITATION {"citationID":"nA8Npye7","properties":{"formattedCitation":"(Linard et al. 2019)","plainCitation":"(Linard et al. 2019)","dontUpdate":true,"noteIndex":0},"citationItems":[{"id":2350,"uris":["http://zotero.org/groups/2387759/items/YJGSQWMM"],"itemData":{"id":2350,"type":"article-journal","abstract":"Taxonomic classification is at the core of environmental DNA analysis. When a phylogenetic tree can be built as a prior hypothesis to such classification, phylogenetic placement (PP) provides the most informative type of classification because each query sequence is assigned to its putative origin in the tree. This is useful whenever precision is sought (e.g. in diagnostics). However, likelihood-based PP algorithms struggle to scale with the ever-increasing throughput of DNA sequencing. We have developed RAPPAS (Rapid Alignment-free Phylogenetic Placement via Ancestral Sequences) which uses an alignment-free approach, removing the hurdle of query sequence alignment as a preliminary step to PP. Our approach relies on the precomputation of a database of k-mers that may be present with non-negligible probability in relatives of the reference sequences. The placement is performed by inspecting the stored phylogenetic origins of the k-mers in the query, and their probabilities. The database can be reused for the analysis of several different metagenomes. Experiments show that the first implementation of RAPPAS is already faster than competing likelihood-based PP algorithms, while keeping similar accuracy for short reads. RAPPAS scales PP for the era of routine metagenomic diagnostics.Program and sources freely available for download at https://github.com/blinard-BIOINFO/RAPPAS.Supplementary data are available at Bioinformatics online.","container-title":"Bioinformatics","DOI":"10.1093/bioinformatics/btz068","ISSN":"1367-4803","issue":"18","journalAbbreviation":"Bioinform.","page":"3303-3312","source":"Silverchair","title":"Rapid alignment-free phylogenetic identification of metagenomic sequences","volume":"35","author":[{"family":"Linard","given":"Benjamin"},{"family":"Swenson","given":"Krister"},{"family":"Pardi","given":"Fabio"}],"issued":{"date-parts":[["2019",9,15]]}}}],"schema":"https://github.com/citation-style-language/schema/raw/master/csl-citation.json"} </w:instrText>
      </w:r>
      <w:r w:rsidR="00CC445B">
        <w:rPr>
          <w:lang w:val="en-GB"/>
        </w:rPr>
        <w:fldChar w:fldCharType="separate"/>
      </w:r>
      <w:r w:rsidR="00CC445B" w:rsidRPr="00CC445B">
        <w:t xml:space="preserve">Linard et al. </w:t>
      </w:r>
      <w:r w:rsidR="00CC445B">
        <w:t>(</w:t>
      </w:r>
      <w:r w:rsidR="00CC445B" w:rsidRPr="00CC445B">
        <w:t>2019)</w:t>
      </w:r>
      <w:r w:rsidR="00CC445B">
        <w:rPr>
          <w:lang w:val="en-GB"/>
        </w:rPr>
        <w:fldChar w:fldCharType="end"/>
      </w:r>
      <w:r w:rsidR="00CC445B">
        <w:rPr>
          <w:lang w:val="en-GB"/>
        </w:rPr>
        <w:t>.</w:t>
      </w:r>
    </w:p>
    <w:p w14:paraId="4E04A2C9" w14:textId="4058D7D4" w:rsidR="008451BF" w:rsidRPr="00A92BF2" w:rsidRDefault="008451BF" w:rsidP="008451BF">
      <w:pPr>
        <w:rPr>
          <w:b/>
          <w:bCs/>
          <w:lang w:val="en-GB"/>
        </w:rPr>
      </w:pPr>
      <w:r w:rsidRPr="00A92BF2">
        <w:rPr>
          <w:lang w:val="en-GB"/>
        </w:rPr>
        <w:t xml:space="preserve">The next step involved the placement of representative ASVs obtained from </w:t>
      </w:r>
      <w:r w:rsidRPr="009C122F">
        <w:rPr>
          <w:i/>
          <w:iCs/>
          <w:lang w:val="en-GB"/>
        </w:rPr>
        <w:t>LotuS2</w:t>
      </w:r>
      <w:r w:rsidRPr="00A92BF2">
        <w:rPr>
          <w:lang w:val="en-GB"/>
        </w:rPr>
        <w:t xml:space="preserve">. To accomplish this, </w:t>
      </w:r>
      <w:r>
        <w:rPr>
          <w:lang w:val="en-GB"/>
        </w:rPr>
        <w:t xml:space="preserve">ASVs </w:t>
      </w:r>
      <w:proofErr w:type="spellStart"/>
      <w:r w:rsidRPr="00A92BF2">
        <w:rPr>
          <w:lang w:val="en-GB"/>
        </w:rPr>
        <w:t>nucleotid</w:t>
      </w:r>
      <w:r>
        <w:rPr>
          <w:lang w:val="en-GB"/>
        </w:rPr>
        <w:t>ic</w:t>
      </w:r>
      <w:proofErr w:type="spellEnd"/>
      <w:r w:rsidRPr="00A92BF2">
        <w:rPr>
          <w:lang w:val="en-GB"/>
        </w:rPr>
        <w:t xml:space="preserve"> sequences were translated into amino acid (AA) sequences using the </w:t>
      </w:r>
      <w:r w:rsidR="002242F1">
        <w:rPr>
          <w:lang w:val="en-GB"/>
        </w:rPr>
        <w:t>‘</w:t>
      </w:r>
      <w:r w:rsidRPr="00A92BF2">
        <w:rPr>
          <w:lang w:val="en-GB"/>
        </w:rPr>
        <w:t>EMBOSS</w:t>
      </w:r>
      <w:r w:rsidR="002242F1">
        <w:rPr>
          <w:lang w:val="en-GB"/>
        </w:rPr>
        <w:t>’</w:t>
      </w:r>
      <w:r w:rsidRPr="00A92BF2">
        <w:rPr>
          <w:lang w:val="en-GB"/>
        </w:rPr>
        <w:t xml:space="preserve"> </w:t>
      </w:r>
      <w:proofErr w:type="spellStart"/>
      <w:r w:rsidRPr="00A92BF2">
        <w:rPr>
          <w:lang w:val="en-GB"/>
        </w:rPr>
        <w:t>transeq</w:t>
      </w:r>
      <w:proofErr w:type="spellEnd"/>
      <w:r w:rsidRPr="00A92BF2">
        <w:rPr>
          <w:lang w:val="en-GB"/>
        </w:rPr>
        <w:t xml:space="preserve"> tool</w:t>
      </w:r>
      <w:r w:rsidR="00CC445B">
        <w:rPr>
          <w:lang w:val="en-GB"/>
        </w:rPr>
        <w:t xml:space="preserve"> </w:t>
      </w:r>
      <w:r w:rsidR="00CC445B">
        <w:rPr>
          <w:lang w:val="en-GB"/>
        </w:rPr>
        <w:fldChar w:fldCharType="begin"/>
      </w:r>
      <w:r w:rsidR="00C31530">
        <w:rPr>
          <w:lang w:val="en-GB"/>
        </w:rPr>
        <w:instrText xml:space="preserve"> ADDIN ZOTERO_ITEM CSL_CITATION {"citationID":"TRMIcsdg","properties":{"formattedCitation":"(Rice et al., 2000)","plainCitation":"(Rice et al., 2000)","noteIndex":0},"citationItems":[{"id":2429,"uris":["http://zotero.org/groups/2387759/items/DAFATIB8"],"itemData":{"id":2429,"type":"article-journal","container-title":"Trends in Genetics","DOI":"10.1016/s0168-9525(00)02024-2","ISSN":"0168-9525","issue":"6","journalAbbreviation":"Trends Genet.","language":"eng","note":"PMID: 10827456","page":"276-277","source":"PubMed","title":"EMBOSS: the european molecular biology open software suite","title-short":"EMBOSS","volume":"16","author":[{"family":"Rice","given":"P."},{"family":"Longden","given":"I."},{"family":"Bleasby","given":"A."}],"issued":{"date-parts":[["2000",6]]}}}],"schema":"https://github.com/citation-style-language/schema/raw/master/csl-citation.json"} </w:instrText>
      </w:r>
      <w:r w:rsidR="00CC445B">
        <w:rPr>
          <w:lang w:val="en-GB"/>
        </w:rPr>
        <w:fldChar w:fldCharType="separate"/>
      </w:r>
      <w:r w:rsidR="00320449" w:rsidRPr="00320449">
        <w:t>(Rice et al., 2000)</w:t>
      </w:r>
      <w:r w:rsidR="00CC445B">
        <w:rPr>
          <w:lang w:val="en-GB"/>
        </w:rPr>
        <w:fldChar w:fldCharType="end"/>
      </w:r>
      <w:r w:rsidRPr="00A92BF2">
        <w:rPr>
          <w:lang w:val="en-GB"/>
        </w:rPr>
        <w:t xml:space="preserve"> with the '-frame 6' argument. Subsequently, the six potential open reading frames were examined, and </w:t>
      </w:r>
      <w:r w:rsidRPr="00A92BF2">
        <w:rPr>
          <w:lang w:val="en-GB"/>
        </w:rPr>
        <w:lastRenderedPageBreak/>
        <w:t xml:space="preserve">sequences containing </w:t>
      </w:r>
      <w:r>
        <w:rPr>
          <w:lang w:val="en-GB"/>
        </w:rPr>
        <w:t xml:space="preserve">inserted </w:t>
      </w:r>
      <w:r w:rsidRPr="00A92BF2">
        <w:rPr>
          <w:lang w:val="en-GB"/>
        </w:rPr>
        <w:t xml:space="preserve">stop codons were discarded, as a complete AA sequence was expected. This process resulted in multiple potential AA sequences for a single ASV (a total of </w:t>
      </w:r>
      <w:r>
        <w:rPr>
          <w:lang w:val="en-GB"/>
        </w:rPr>
        <w:t>187</w:t>
      </w:r>
      <w:r w:rsidR="004D460C">
        <w:rPr>
          <w:lang w:val="en-GB"/>
        </w:rPr>
        <w:t>,</w:t>
      </w:r>
      <w:r>
        <w:rPr>
          <w:lang w:val="en-GB"/>
        </w:rPr>
        <w:t>920</w:t>
      </w:r>
      <w:r w:rsidRPr="00A92BF2">
        <w:rPr>
          <w:lang w:val="en-GB"/>
        </w:rPr>
        <w:t xml:space="preserve"> AA sequences for </w:t>
      </w:r>
      <w:r>
        <w:rPr>
          <w:lang w:val="en-GB"/>
        </w:rPr>
        <w:t>31,320</w:t>
      </w:r>
      <w:r w:rsidRPr="00A92BF2">
        <w:rPr>
          <w:lang w:val="en-GB"/>
        </w:rPr>
        <w:t xml:space="preserve"> ASVs). Each of these AA sequences was then placed within the phylogenetic framework using the RAPPAS’ </w:t>
      </w:r>
      <w:proofErr w:type="spellStart"/>
      <w:r w:rsidRPr="00A92BF2">
        <w:rPr>
          <w:lang w:val="en-GB"/>
        </w:rPr>
        <w:t>phylo-kmer</w:t>
      </w:r>
      <w:proofErr w:type="spellEnd"/>
      <w:r w:rsidRPr="00A92BF2">
        <w:rPr>
          <w:lang w:val="en-GB"/>
        </w:rPr>
        <w:t xml:space="preserve"> database.</w:t>
      </w:r>
    </w:p>
    <w:p w14:paraId="22E5E239" w14:textId="3CBD09DC" w:rsidR="008451BF" w:rsidRPr="00A92BF2" w:rsidRDefault="008451BF" w:rsidP="008451BF">
      <w:pPr>
        <w:rPr>
          <w:b/>
          <w:bCs/>
          <w:lang w:val="en-GB"/>
        </w:rPr>
      </w:pPr>
      <w:r w:rsidRPr="00A92BF2">
        <w:rPr>
          <w:lang w:val="en-GB"/>
        </w:rPr>
        <w:t>The RAPPAS output file was</w:t>
      </w:r>
      <w:r>
        <w:rPr>
          <w:lang w:val="en-GB"/>
        </w:rPr>
        <w:t xml:space="preserve"> then</w:t>
      </w:r>
      <w:r w:rsidRPr="00A92BF2">
        <w:rPr>
          <w:lang w:val="en-GB"/>
        </w:rPr>
        <w:t xml:space="preserve"> imported into R </w:t>
      </w:r>
      <w:r>
        <w:rPr>
          <w:lang w:val="en-GB"/>
        </w:rPr>
        <w:t xml:space="preserve">to </w:t>
      </w:r>
      <w:r w:rsidRPr="00A92BF2">
        <w:rPr>
          <w:lang w:val="en-GB"/>
        </w:rPr>
        <w:t xml:space="preserve">build a </w:t>
      </w:r>
      <w:proofErr w:type="spellStart"/>
      <w:r w:rsidRPr="00CC445B">
        <w:rPr>
          <w:i/>
          <w:iCs/>
          <w:lang w:val="en-GB"/>
        </w:rPr>
        <w:t>phyloseq</w:t>
      </w:r>
      <w:proofErr w:type="spellEnd"/>
      <w:r w:rsidRPr="00A92BF2">
        <w:rPr>
          <w:lang w:val="en-GB"/>
        </w:rPr>
        <w:t xml:space="preserve"> object for further analysis</w:t>
      </w:r>
      <w:r>
        <w:rPr>
          <w:lang w:val="en-GB"/>
        </w:rPr>
        <w:t xml:space="preserve"> (</w:t>
      </w:r>
      <w:proofErr w:type="spellStart"/>
      <w:r w:rsidRPr="009C122F">
        <w:rPr>
          <w:i/>
          <w:iCs/>
          <w:lang w:val="en-GB"/>
        </w:rPr>
        <w:t>phyloseq</w:t>
      </w:r>
      <w:proofErr w:type="spellEnd"/>
      <w:r w:rsidRPr="00A92BF2">
        <w:rPr>
          <w:lang w:val="en-GB"/>
        </w:rPr>
        <w:t xml:space="preserve"> R package</w:t>
      </w:r>
      <w:r>
        <w:rPr>
          <w:lang w:val="en-GB"/>
        </w:rPr>
        <w:t>;</w:t>
      </w:r>
      <w:r w:rsidR="00CC445B">
        <w:rPr>
          <w:lang w:val="en-GB"/>
        </w:rPr>
        <w:fldChar w:fldCharType="begin"/>
      </w:r>
      <w:r w:rsidR="0026080D">
        <w:rPr>
          <w:lang w:val="en-GB"/>
        </w:rPr>
        <w:instrText xml:space="preserve"> ADDIN ZOTERO_ITEM CSL_CITATION {"citationID":"aFh7Ysn6","properties":{"formattedCitation":"(McMurdie and Holmes 2013)","plainCitation":"(McMurdie and Holmes 2013)","dontUpdate":true,"noteIndex":0},"citationItems":[{"id":2355,"uris":["http://zotero.org/groups/2387759/items/U3K32UYY"],"itemData":{"id":2355,"type":"article-journal","abstract":"Background The analysis of microbial communities through DNA sequencing brings many challenges: the integration of different types of data with methods from ecology, genetics, phylogenetics, multivariate statistics, visualization and testing. With the increased breadth of experimental designs now being pursued, project-specific statistical analyses are often needed, and these analyses are often difficult (or impossible) for peer researchers to independently reproduce. The vast majority of the requisite tools for performing these analyses reproducibly are already implemented in R and its extensions (packages), but with limited support for high throughput microbiome census data. Results Here we describe a software project, phyloseq, dedicated to the object-oriented representation and analysis of microbiome census data in R. It supports importing data from a variety of common formats, as well as many analysis techniques. These include calibration, filtering, subsetting, agglomeration, multi-table comparisons, diversity analysis, parallelized Fast UniFrac, ordination methods, and production of publication-quality graphics; all in a manner that is easy to document, share, and modify. We show how to apply functions from other R packages to phyloseq-represented data, illustrating the availability of a large number of open source analysis techniques. We discuss the use of phyloseq with tools for reproducible research, a practice common in other fields but still rare in the analysis of highly parallel microbiome census data. We have made available all of the materials necessary to completely reproduce the analysis and figures included in this article, an example of best practices for reproducible research. Conclusions The phyloseq project for R is a new open-source software package, freely available on the web from both GitHub and Bioconductor.","container-title":"PloS one","DOI":"10.1371/journal.pone.0061217","ISSN":"1932-6203","issue":"4","journalAbbreviation":"PloS One","language":"en","note":"publisher: Public Library of Science","page":"1-11","source":"PLoS Journals","title":"phyloseq: An R package for reproducible interactive analysis and graphics of microbiome census data","title-short":"phyloseq","volume":"8","author":[{"family":"McMurdie","given":"Paul J."},{"family":"Holmes","given":"Susan"}],"issued":{"date-parts":[["2013",4,22]]}}}],"schema":"https://github.com/citation-style-language/schema/raw/master/csl-citation.json"} </w:instrText>
      </w:r>
      <w:r w:rsidR="00CC445B">
        <w:rPr>
          <w:lang w:val="en-GB"/>
        </w:rPr>
        <w:fldChar w:fldCharType="separate"/>
      </w:r>
      <w:r w:rsidR="00CC445B" w:rsidRPr="00CC445B">
        <w:t>McMurdie and Holmes 2013)</w:t>
      </w:r>
      <w:r w:rsidR="00CC445B">
        <w:rPr>
          <w:lang w:val="en-GB"/>
        </w:rPr>
        <w:fldChar w:fldCharType="end"/>
      </w:r>
      <w:r w:rsidRPr="00A92BF2">
        <w:rPr>
          <w:lang w:val="en-GB"/>
        </w:rPr>
        <w:t>.</w:t>
      </w:r>
      <w:r>
        <w:rPr>
          <w:lang w:val="en-GB"/>
        </w:rPr>
        <w:t xml:space="preserve"> We then compared</w:t>
      </w:r>
      <w:r w:rsidRPr="00A92BF2">
        <w:rPr>
          <w:lang w:val="en-GB"/>
        </w:rPr>
        <w:t xml:space="preserve"> </w:t>
      </w:r>
      <w:r>
        <w:rPr>
          <w:lang w:val="en-GB"/>
        </w:rPr>
        <w:t xml:space="preserve">the </w:t>
      </w:r>
      <w:r w:rsidRPr="00A92BF2">
        <w:rPr>
          <w:lang w:val="en-GB"/>
        </w:rPr>
        <w:t>ASV count table</w:t>
      </w:r>
      <w:r>
        <w:rPr>
          <w:lang w:val="en-GB"/>
        </w:rPr>
        <w:t xml:space="preserve"> (</w:t>
      </w:r>
      <w:r w:rsidRPr="004D460C">
        <w:rPr>
          <w:i/>
          <w:iCs/>
          <w:lang w:val="en-GB"/>
        </w:rPr>
        <w:t>LotuS2</w:t>
      </w:r>
      <w:r>
        <w:rPr>
          <w:lang w:val="en-GB"/>
        </w:rPr>
        <w:t xml:space="preserve"> output)</w:t>
      </w:r>
      <w:r w:rsidRPr="00A92BF2">
        <w:rPr>
          <w:lang w:val="en-GB"/>
        </w:rPr>
        <w:t xml:space="preserve"> </w:t>
      </w:r>
      <w:r>
        <w:rPr>
          <w:lang w:val="en-GB"/>
        </w:rPr>
        <w:t xml:space="preserve">to the </w:t>
      </w:r>
      <w:r w:rsidRPr="00A92BF2">
        <w:rPr>
          <w:lang w:val="en-GB"/>
        </w:rPr>
        <w:t>taxonomic information linked to unique ASV identifier-based AA sequences</w:t>
      </w:r>
      <w:r>
        <w:rPr>
          <w:lang w:val="en-GB"/>
        </w:rPr>
        <w:t xml:space="preserve"> (</w:t>
      </w:r>
      <w:r w:rsidRPr="00A92BF2">
        <w:rPr>
          <w:lang w:val="en-GB"/>
        </w:rPr>
        <w:t>RAPPAS</w:t>
      </w:r>
      <w:r>
        <w:rPr>
          <w:lang w:val="en-GB"/>
        </w:rPr>
        <w:t xml:space="preserve"> output). E</w:t>
      </w:r>
      <w:r w:rsidRPr="00A92BF2">
        <w:rPr>
          <w:lang w:val="en-GB"/>
        </w:rPr>
        <w:t xml:space="preserve">ach AA sequences were placed at least once on the reference tree. To determine a unique taxonomic assignment of an ASV based on the phylogenetic placement of its AA sequences, the following approach was employed. If a translated ASV yielded a single AA sequence that was directly placed on a branch leading to a leaf or tip (representing a genus), it was assigned to that genus. For ASVs with multiple AA sequences, the placement with the highest </w:t>
      </w:r>
      <w:r w:rsidR="004D460C">
        <w:rPr>
          <w:lang w:val="en-GB"/>
        </w:rPr>
        <w:t>‘</w:t>
      </w:r>
      <w:r w:rsidRPr="00A92BF2">
        <w:rPr>
          <w:lang w:val="en-GB"/>
        </w:rPr>
        <w:t>like weight ratio</w:t>
      </w:r>
      <w:r w:rsidR="004D460C">
        <w:rPr>
          <w:lang w:val="en-GB"/>
        </w:rPr>
        <w:t>’</w:t>
      </w:r>
      <w:r w:rsidRPr="00A92BF2">
        <w:rPr>
          <w:lang w:val="en-GB"/>
        </w:rPr>
        <w:t xml:space="preserve">, as provided by RAPPAS, was considered the most likely. If this placement was at a tip, the ASV was assigned to the corresponding genus. If the placement was on an internal branch, the </w:t>
      </w:r>
      <w:proofErr w:type="spellStart"/>
      <w:r w:rsidRPr="004D460C">
        <w:rPr>
          <w:i/>
          <w:iCs/>
          <w:lang w:val="en-GB"/>
        </w:rPr>
        <w:t>phytool</w:t>
      </w:r>
      <w:proofErr w:type="spellEnd"/>
      <w:r w:rsidRPr="00A92BF2">
        <w:rPr>
          <w:lang w:val="en-GB"/>
        </w:rPr>
        <w:t xml:space="preserve"> R package </w:t>
      </w:r>
      <w:r w:rsidR="0078194A">
        <w:rPr>
          <w:lang w:val="en-GB"/>
        </w:rPr>
        <w:fldChar w:fldCharType="begin"/>
      </w:r>
      <w:r w:rsidR="00C31530">
        <w:rPr>
          <w:lang w:val="en-GB"/>
        </w:rPr>
        <w:instrText xml:space="preserve"> ADDIN ZOTERO_ITEM CSL_CITATION {"citationID":"57aqR4KR","properties":{"formattedCitation":"(Revell, 2024)","plainCitation":"(Revell, 2024)","noteIndex":0},"citationItems":[{"id":2431,"uris":["http://zotero.org/groups/2387759/items/NJM5VJUN"],"itemData":{"id":2431,"type":"article-journal","abstract":"Phylogenetic comparative methods comprise the general endeavor of using an estimated phylogenetic tree (or set of trees) to make secondary inferences: about trait evolution, diversification dynamics, biogeography, community ecology, and a wide range of other phenomena or processes. Over the past ten years or so, the phytools R package has grown to become an important research tool for phylogenetic comparative analysis. phytools is a diverse contributed R library now consisting of hundreds of different functions covering a variety of methods and purposes in phylogenetic biology. As of the time of writing, phytools included functionality for fitting models of trait evolution, for reconstructing ancestral states, for studying diversification on trees, and for visualizing phylogenies, comparative data, and fitted models, as well numerous other tasks related to phylogenetic biology. Here, I describe some significant features of and recent updates to phytools, while also illustrating several popular workflows of the phytools computational software.","container-title":"PeerJ","DOI":"10.7717/peerj.16505","ISSN":"2167-8359","journalAbbreviation":"PeerJ","language":"en","note":"publisher: PeerJ Inc.","page":"1-75","source":"peerj.com","title":"phytools 2.0: an updated R ecosystem for phylogenetic comparative methods (and other things)","title-short":"phytools 2.0","volume":"12","author":[{"family":"Revell","given":"Liam J."}],"issued":{"date-parts":[["2024",1,5]]}}}],"schema":"https://github.com/citation-style-language/schema/raw/master/csl-citation.json"} </w:instrText>
      </w:r>
      <w:r w:rsidR="0078194A">
        <w:rPr>
          <w:lang w:val="en-GB"/>
        </w:rPr>
        <w:fldChar w:fldCharType="separate"/>
      </w:r>
      <w:r w:rsidR="00320449" w:rsidRPr="00320449">
        <w:t>(Revell, 2024)</w:t>
      </w:r>
      <w:r w:rsidR="0078194A">
        <w:rPr>
          <w:lang w:val="en-GB"/>
        </w:rPr>
        <w:fldChar w:fldCharType="end"/>
      </w:r>
      <w:r w:rsidR="0078194A">
        <w:rPr>
          <w:lang w:val="en-GB"/>
        </w:rPr>
        <w:t xml:space="preserve"> </w:t>
      </w:r>
      <w:r w:rsidRPr="00A92BF2">
        <w:rPr>
          <w:lang w:val="en-GB"/>
        </w:rPr>
        <w:t xml:space="preserve">was used to extract the subtree containing the placement. </w:t>
      </w:r>
      <w:r w:rsidR="0078194A">
        <w:rPr>
          <w:lang w:val="en-GB"/>
        </w:rPr>
        <w:t>The</w:t>
      </w:r>
      <w:r w:rsidRPr="00A92BF2">
        <w:rPr>
          <w:lang w:val="en-GB"/>
        </w:rPr>
        <w:t xml:space="preserve"> lowest shared taxonomic rank among the genera within this subtree was assigned to the AA sequence, and any lower taxonomic ranks were considered unknown. At this stage</w:t>
      </w:r>
      <w:r w:rsidR="0078194A">
        <w:rPr>
          <w:lang w:val="en-GB"/>
        </w:rPr>
        <w:t>,</w:t>
      </w:r>
      <w:r w:rsidRPr="00A92BF2">
        <w:rPr>
          <w:lang w:val="en-GB"/>
        </w:rPr>
        <w:t xml:space="preserve"> if multiple internal branch taxonomies remained, the most likely was again chosen based on the highest </w:t>
      </w:r>
      <w:r w:rsidR="004D460C">
        <w:rPr>
          <w:lang w:val="en-GB"/>
        </w:rPr>
        <w:t>‘</w:t>
      </w:r>
      <w:r w:rsidRPr="00A92BF2">
        <w:rPr>
          <w:lang w:val="en-GB"/>
        </w:rPr>
        <w:t>like weight ratio</w:t>
      </w:r>
      <w:r w:rsidR="004D460C">
        <w:rPr>
          <w:lang w:val="en-GB"/>
        </w:rPr>
        <w:t>’</w:t>
      </w:r>
      <w:r w:rsidRPr="00A92BF2">
        <w:rPr>
          <w:lang w:val="en-GB"/>
        </w:rPr>
        <w:t xml:space="preserve">. This treatment resulted in a </w:t>
      </w:r>
      <w:proofErr w:type="spellStart"/>
      <w:r w:rsidRPr="0026080D">
        <w:rPr>
          <w:i/>
          <w:iCs/>
          <w:lang w:val="en-GB"/>
        </w:rPr>
        <w:t>phyloseq</w:t>
      </w:r>
      <w:proofErr w:type="spellEnd"/>
      <w:r w:rsidRPr="00A92BF2">
        <w:rPr>
          <w:lang w:val="en-GB"/>
        </w:rPr>
        <w:t xml:space="preserve"> object including 30</w:t>
      </w:r>
      <w:r w:rsidR="004D460C">
        <w:rPr>
          <w:lang w:val="en-GB"/>
        </w:rPr>
        <w:t>,</w:t>
      </w:r>
      <w:r w:rsidRPr="00A92BF2">
        <w:rPr>
          <w:lang w:val="en-GB"/>
        </w:rPr>
        <w:t xml:space="preserve">345 ASVs </w:t>
      </w:r>
      <w:r>
        <w:rPr>
          <w:lang w:val="en-GB"/>
        </w:rPr>
        <w:t>belonging to</w:t>
      </w:r>
      <w:r w:rsidRPr="00A92BF2">
        <w:rPr>
          <w:lang w:val="en-GB"/>
        </w:rPr>
        <w:t xml:space="preserve"> the Bacteria Kingdom.</w:t>
      </w:r>
    </w:p>
    <w:p w14:paraId="46061577" w14:textId="0F90AB9B" w:rsidR="008451BF" w:rsidRDefault="00AA67C7" w:rsidP="0065583C">
      <w:pPr>
        <w:pStyle w:val="Titre2"/>
        <w:rPr>
          <w:lang w:val="en-GB"/>
        </w:rPr>
      </w:pPr>
      <w:bookmarkStart w:id="37" w:name="_Toc199759401"/>
      <w:bookmarkEnd w:id="36"/>
      <w:r>
        <w:rPr>
          <w:lang w:val="en-GB"/>
        </w:rPr>
        <w:t xml:space="preserve">Alpha and beta </w:t>
      </w:r>
      <w:r w:rsidR="00DD229B">
        <w:rPr>
          <w:lang w:val="en-GB"/>
        </w:rPr>
        <w:t>diversity</w:t>
      </w:r>
      <w:r>
        <w:rPr>
          <w:lang w:val="en-GB"/>
        </w:rPr>
        <w:t xml:space="preserve"> </w:t>
      </w:r>
      <w:r w:rsidR="00B83456">
        <w:rPr>
          <w:lang w:val="en-GB"/>
        </w:rPr>
        <w:t>statistical analysis</w:t>
      </w:r>
      <w:bookmarkEnd w:id="37"/>
    </w:p>
    <w:p w14:paraId="6762950E" w14:textId="491E3313" w:rsidR="008451BF" w:rsidRDefault="00AA67C7" w:rsidP="008451BF">
      <w:pPr>
        <w:rPr>
          <w:lang w:val="en-GB"/>
        </w:rPr>
      </w:pPr>
      <w:r>
        <w:rPr>
          <w:lang w:val="en-GB"/>
        </w:rPr>
        <w:t>A</w:t>
      </w:r>
      <w:r w:rsidRPr="007631BF">
        <w:rPr>
          <w:lang w:val="en-GB"/>
        </w:rPr>
        <w:t xml:space="preserve">lpha diversity within samples was assessed by computing the following indices: richness, Shannon index, and Simpson index. To determine significant differences in alpha diversity metrics between sample types, pairwise Wilcoxon rank-sum tests with Benjamini-Hochberg correction for multiple comparisons were performed for each metric. For beta diversity analysis, a distance matrix was computed using the </w:t>
      </w:r>
      <w:proofErr w:type="spellStart"/>
      <w:r w:rsidRPr="007631BF">
        <w:rPr>
          <w:lang w:val="en-GB"/>
        </w:rPr>
        <w:t>avgdist</w:t>
      </w:r>
      <w:proofErr w:type="spellEnd"/>
      <w:r w:rsidRPr="007631BF">
        <w:rPr>
          <w:lang w:val="en-GB"/>
        </w:rPr>
        <w:t xml:space="preserve"> function in </w:t>
      </w:r>
      <w:r w:rsidRPr="00140306">
        <w:rPr>
          <w:i/>
          <w:iCs/>
          <w:lang w:val="en-GB"/>
        </w:rPr>
        <w:t>vegan</w:t>
      </w:r>
      <w:r w:rsidRPr="007631BF">
        <w:rPr>
          <w:lang w:val="en-GB"/>
        </w:rPr>
        <w:t xml:space="preserve"> (Bray-</w:t>
      </w:r>
      <w:proofErr w:type="gramStart"/>
      <w:r w:rsidRPr="007631BF">
        <w:rPr>
          <w:lang w:val="en-GB"/>
        </w:rPr>
        <w:t>Curtis</w:t>
      </w:r>
      <w:proofErr w:type="gramEnd"/>
      <w:r w:rsidRPr="007631BF">
        <w:rPr>
          <w:lang w:val="en-GB"/>
        </w:rPr>
        <w:t xml:space="preserve"> method, subsampling size 153</w:t>
      </w:r>
      <w:r w:rsidR="00140306">
        <w:rPr>
          <w:lang w:val="en-GB"/>
        </w:rPr>
        <w:t>,</w:t>
      </w:r>
      <w:r w:rsidRPr="007631BF">
        <w:rPr>
          <w:lang w:val="en-GB"/>
        </w:rPr>
        <w:t>102, which represents the minimum sample count in our dataset).</w:t>
      </w:r>
      <w:r w:rsidR="007C477A" w:rsidRPr="007C477A">
        <w:rPr>
          <w:lang w:val="en-GB"/>
        </w:rPr>
        <w:t xml:space="preserve"> </w:t>
      </w:r>
      <w:r w:rsidR="007C477A" w:rsidRPr="007631BF">
        <w:rPr>
          <w:lang w:val="en-GB"/>
        </w:rPr>
        <w:t xml:space="preserve">All </w:t>
      </w:r>
      <w:r w:rsidR="007C477A" w:rsidRPr="00140306">
        <w:rPr>
          <w:i/>
          <w:iCs/>
          <w:lang w:val="en-GB"/>
        </w:rPr>
        <w:t>p</w:t>
      </w:r>
      <w:r w:rsidR="007C477A" w:rsidRPr="007631BF">
        <w:rPr>
          <w:lang w:val="en-GB"/>
        </w:rPr>
        <w:t>-values resulting from alpha and beta diversity analyses were adjusted using Benjamini-Hochberg correction for multiple comparisons and the same significance threshold as mentioned above was used for further discussion.</w:t>
      </w:r>
    </w:p>
    <w:p w14:paraId="6D868D15" w14:textId="1701B8FC" w:rsidR="00ED2152" w:rsidRPr="0065583C" w:rsidRDefault="00ED2152" w:rsidP="0065583C">
      <w:pPr>
        <w:pStyle w:val="Titre2"/>
      </w:pPr>
      <w:bookmarkStart w:id="38" w:name="_Toc199759402"/>
      <w:r w:rsidRPr="0065583C">
        <w:t xml:space="preserve">Principal </w:t>
      </w:r>
      <w:r w:rsidR="0026080D">
        <w:t>C</w:t>
      </w:r>
      <w:r w:rsidRPr="0065583C">
        <w:t xml:space="preserve">omponent </w:t>
      </w:r>
      <w:r w:rsidR="0026080D">
        <w:t>A</w:t>
      </w:r>
      <w:r w:rsidRPr="0065583C">
        <w:t>nalysis</w:t>
      </w:r>
      <w:bookmarkEnd w:id="38"/>
    </w:p>
    <w:p w14:paraId="3CFD5E09" w14:textId="2093D1D7" w:rsidR="0049526F" w:rsidRDefault="00ED2152" w:rsidP="00ED2152">
      <w:r w:rsidRPr="00ED2152">
        <w:t xml:space="preserve">Principal Component Analysis (PCA) was performed to reduce dimensionality and identify patterns in soil biogeochemical properties across samples. The analysis was conducted on a subset of variables related to soil </w:t>
      </w:r>
      <w:r w:rsidRPr="00ED2152">
        <w:lastRenderedPageBreak/>
        <w:t xml:space="preserve">chemistry and nutrient content (variables listed in </w:t>
      </w:r>
      <w:proofErr w:type="spellStart"/>
      <w:proofErr w:type="gramStart"/>
      <w:r w:rsidR="00E647A5">
        <w:t>S.Table</w:t>
      </w:r>
      <w:proofErr w:type="spellEnd"/>
      <w:proofErr w:type="gramEnd"/>
      <w:r w:rsidR="00E647A5">
        <w:t xml:space="preserve"> </w:t>
      </w:r>
      <w:r w:rsidR="00140306">
        <w:t>7</w:t>
      </w:r>
      <w:r w:rsidR="00E647A5">
        <w:t xml:space="preserve"> and presented in </w:t>
      </w:r>
      <w:proofErr w:type="spellStart"/>
      <w:r w:rsidR="00E647A5">
        <w:t>S.Fig</w:t>
      </w:r>
      <w:proofErr w:type="spellEnd"/>
      <w:r w:rsidR="00E647A5">
        <w:t>. 10</w:t>
      </w:r>
      <w:r w:rsidRPr="00ED2152">
        <w:t xml:space="preserve">). </w:t>
      </w:r>
      <w:r w:rsidR="007D4DD9" w:rsidRPr="00ED2152">
        <w:t>Prior to analysis, all variables were standardi</w:t>
      </w:r>
      <w:r w:rsidR="007D4DD9">
        <w:t>z</w:t>
      </w:r>
      <w:r w:rsidR="007D4DD9" w:rsidRPr="00ED2152">
        <w:t xml:space="preserve">ed, and the PCA was performed on the </w:t>
      </w:r>
      <w:r w:rsidR="007D4DD9">
        <w:t xml:space="preserve">variable </w:t>
      </w:r>
      <w:r w:rsidR="007D4DD9" w:rsidRPr="00ED2152">
        <w:t xml:space="preserve">correlation matrix using the </w:t>
      </w:r>
      <w:proofErr w:type="spellStart"/>
      <w:r w:rsidR="007D4DD9" w:rsidRPr="0026080D">
        <w:t>prcomp</w:t>
      </w:r>
      <w:proofErr w:type="spellEnd"/>
      <w:r w:rsidR="007D4DD9" w:rsidRPr="00ED2152">
        <w:t xml:space="preserve"> function in R</w:t>
      </w:r>
      <w:r w:rsidR="007D4DD9">
        <w:t>.</w:t>
      </w:r>
      <w:r w:rsidR="007D4DD9" w:rsidRPr="00ED2152">
        <w:t xml:space="preserve"> </w:t>
      </w:r>
      <w:r w:rsidR="007D4DD9">
        <w:t>Samples projected on the plane of the</w:t>
      </w:r>
      <w:r w:rsidR="007D4DD9" w:rsidRPr="00ED2152">
        <w:t xml:space="preserve"> first two principal components were visualized in plots, with sample scores plotted by parent material. Ellipses representing 95% confidence intervals were added for each group to illustrate clustering and dispersion. </w:t>
      </w:r>
      <w:r w:rsidR="007D4DD9">
        <w:t>A second plot displays the projections of the variables on the circle of correlations between variables and the first two principal components.</w:t>
      </w:r>
    </w:p>
    <w:p w14:paraId="31623B90" w14:textId="1FD8DF3D" w:rsidR="00ED2152" w:rsidRPr="0049526F" w:rsidRDefault="0049526F" w:rsidP="0049526F">
      <w:pPr>
        <w:spacing w:after="200" w:line="276" w:lineRule="auto"/>
        <w:jc w:val="left"/>
      </w:pPr>
      <w:r>
        <w:br w:type="page"/>
      </w:r>
    </w:p>
    <w:p w14:paraId="1B6B8C85" w14:textId="05B4137E" w:rsidR="0073352F" w:rsidRPr="0065583C" w:rsidRDefault="008C4A7D" w:rsidP="0065583C">
      <w:pPr>
        <w:pStyle w:val="Titre1"/>
        <w:jc w:val="center"/>
      </w:pPr>
      <w:bookmarkStart w:id="39" w:name="_Toc199759403"/>
      <w:proofErr w:type="spellStart"/>
      <w:r>
        <w:rPr>
          <w:lang w:val="en-GB"/>
        </w:rPr>
        <w:lastRenderedPageBreak/>
        <w:t>S.Eq</w:t>
      </w:r>
      <w:proofErr w:type="spellEnd"/>
      <w:r>
        <w:rPr>
          <w:lang w:val="en-GB"/>
        </w:rPr>
        <w:t xml:space="preserve">.: </w:t>
      </w:r>
      <w:r w:rsidR="0073352F">
        <w:rPr>
          <w:lang w:val="en-GB"/>
        </w:rPr>
        <w:t>Supplementary equations</w:t>
      </w:r>
      <w:bookmarkEnd w:id="39"/>
    </w:p>
    <w:p w14:paraId="75BC36DB" w14:textId="252EC050" w:rsidR="0073352F" w:rsidRPr="00E84A8F" w:rsidRDefault="00000000" w:rsidP="00376CD8">
      <w:pPr>
        <w:pStyle w:val="Paragraphedeliste"/>
        <w:numPr>
          <w:ilvl w:val="0"/>
          <w:numId w:val="2"/>
        </w:numPr>
        <w:jc w:val="center"/>
        <w:rPr>
          <w:rFonts w:eastAsiaTheme="minorEastAsia"/>
          <w:iCs/>
          <w:lang w:val="en-GB"/>
        </w:rPr>
      </w:pPr>
      <m:oMath>
        <m:sSub>
          <m:sSubPr>
            <m:ctrlPr>
              <w:rPr>
                <w:rFonts w:ascii="Cambria Math" w:hAnsi="Cambria Math"/>
                <w:iCs/>
                <w:lang w:val="en-GB"/>
              </w:rPr>
            </m:ctrlPr>
          </m:sSubPr>
          <m:e>
            <m:r>
              <m:rPr>
                <m:sty m:val="p"/>
              </m:rPr>
              <w:rPr>
                <w:rFonts w:ascii="Cambria Math" w:hAnsi="Cambria Math"/>
                <w:lang w:val="en-GB"/>
              </w:rPr>
              <m:t>C</m:t>
            </m:r>
          </m:e>
          <m:sub>
            <m:r>
              <m:rPr>
                <m:sty m:val="p"/>
              </m:rPr>
              <w:rPr>
                <w:rFonts w:ascii="Cambria Math" w:hAnsi="Cambria Math"/>
                <w:lang w:val="en-GB"/>
              </w:rPr>
              <m:t>6</m:t>
            </m:r>
          </m:sub>
        </m:sSub>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12</m:t>
            </m:r>
          </m:sub>
        </m:sSub>
        <m:sSub>
          <m:sSubPr>
            <m:ctrlPr>
              <w:rPr>
                <w:rFonts w:ascii="Cambria Math" w:hAnsi="Cambria Math"/>
                <w:iCs/>
                <w:lang w:val="en-GB"/>
              </w:rPr>
            </m:ctrlPr>
          </m:sSubPr>
          <m:e>
            <m:r>
              <m:rPr>
                <m:sty m:val="p"/>
              </m:rPr>
              <w:rPr>
                <w:rFonts w:ascii="Cambria Math" w:hAnsi="Cambria Math"/>
                <w:lang w:val="en-GB"/>
              </w:rPr>
              <m:t>O</m:t>
            </m:r>
          </m:e>
          <m:sub>
            <m:r>
              <m:rPr>
                <m:sty m:val="p"/>
              </m:rPr>
              <w:rPr>
                <w:rFonts w:ascii="Cambria Math" w:hAnsi="Cambria Math"/>
                <w:lang w:val="en-GB"/>
              </w:rPr>
              <m:t>6</m:t>
            </m:r>
          </m:sub>
        </m:sSub>
        <m:r>
          <m:rPr>
            <m:sty m:val="p"/>
          </m:rPr>
          <w:rPr>
            <w:rFonts w:ascii="Cambria Math" w:hAnsi="Cambria Math"/>
            <w:lang w:val="en-GB"/>
          </w:rPr>
          <m:t xml:space="preserve">+ </m:t>
        </m:r>
        <m:sSub>
          <m:sSubPr>
            <m:ctrlPr>
              <w:rPr>
                <w:rFonts w:ascii="Cambria Math" w:hAnsi="Cambria Math"/>
                <w:iCs/>
                <w:lang w:val="en-GB"/>
              </w:rPr>
            </m:ctrlPr>
          </m:sSubPr>
          <m:e>
            <m:r>
              <m:rPr>
                <m:sty m:val="p"/>
              </m:rPr>
              <w:rPr>
                <w:rFonts w:ascii="Cambria Math" w:hAnsi="Cambria Math"/>
                <w:lang w:val="en-GB"/>
              </w:rPr>
              <m:t>O</m:t>
            </m:r>
          </m:e>
          <m:sub>
            <m:r>
              <m:rPr>
                <m:sty m:val="p"/>
              </m:rPr>
              <w:rPr>
                <w:rFonts w:ascii="Cambria Math" w:hAnsi="Cambria Math"/>
                <w:lang w:val="en-GB"/>
              </w:rPr>
              <m:t>2</m:t>
            </m:r>
          </m:sub>
        </m:sSub>
        <m:r>
          <m:rPr>
            <m:sty m:val="p"/>
          </m:rPr>
          <w:rPr>
            <w:rFonts w:ascii="Cambria Math" w:hAnsi="Cambria Math"/>
            <w:lang w:val="en-GB"/>
          </w:rPr>
          <m:t xml:space="preserve">→2 </m:t>
        </m:r>
        <m:sSub>
          <m:sSubPr>
            <m:ctrlPr>
              <w:rPr>
                <w:rFonts w:ascii="Cambria Math" w:hAnsi="Cambria Math"/>
                <w:iCs/>
                <w:lang w:val="en-GB"/>
              </w:rPr>
            </m:ctrlPr>
          </m:sSubPr>
          <m:e>
            <m:r>
              <m:rPr>
                <m:sty m:val="p"/>
              </m:rPr>
              <w:rPr>
                <w:rFonts w:ascii="Cambria Math" w:hAnsi="Cambria Math"/>
                <w:lang w:val="en-GB"/>
              </w:rPr>
              <m:t>C</m:t>
            </m:r>
          </m:e>
          <m:sub>
            <m:r>
              <m:rPr>
                <m:sty m:val="p"/>
              </m:rPr>
              <w:rPr>
                <w:rFonts w:ascii="Cambria Math" w:hAnsi="Cambria Math"/>
                <w:lang w:val="en-GB"/>
              </w:rPr>
              <m:t>3</m:t>
            </m:r>
          </m:sub>
        </m:sSub>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4</m:t>
            </m:r>
          </m:sub>
        </m:sSub>
        <m:sSub>
          <m:sSubPr>
            <m:ctrlPr>
              <w:rPr>
                <w:rFonts w:ascii="Cambria Math" w:hAnsi="Cambria Math"/>
                <w:iCs/>
                <w:lang w:val="en-GB"/>
              </w:rPr>
            </m:ctrlPr>
          </m:sSubPr>
          <m:e>
            <m:r>
              <m:rPr>
                <m:sty m:val="p"/>
              </m:rPr>
              <w:rPr>
                <w:rFonts w:ascii="Cambria Math" w:hAnsi="Cambria Math"/>
                <w:lang w:val="en-GB"/>
              </w:rPr>
              <m:t>O</m:t>
            </m:r>
          </m:e>
          <m:sub>
            <m:r>
              <w:rPr>
                <w:rFonts w:ascii="Cambria Math" w:hAnsi="Cambria Math"/>
                <w:lang w:val="en-GB"/>
              </w:rPr>
              <m:t>3</m:t>
            </m:r>
          </m:sub>
        </m:sSub>
        <m:r>
          <m:rPr>
            <m:sty m:val="p"/>
          </m:rPr>
          <w:rPr>
            <w:rFonts w:ascii="Cambria Math" w:hAnsi="Cambria Math"/>
            <w:lang w:val="en-GB"/>
          </w:rPr>
          <m:t>+2</m:t>
        </m:r>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2</m:t>
            </m:r>
          </m:sub>
        </m:sSub>
        <m:r>
          <m:rPr>
            <m:sty m:val="p"/>
          </m:rPr>
          <w:rPr>
            <w:rFonts w:ascii="Cambria Math" w:hAnsi="Cambria Math"/>
            <w:lang w:val="en-GB"/>
          </w:rPr>
          <m:t>O</m:t>
        </m:r>
      </m:oMath>
    </w:p>
    <w:p w14:paraId="221DDC44" w14:textId="44A8F7C2" w:rsidR="00E84A8F" w:rsidRPr="00E84A8F" w:rsidRDefault="00E84A8F" w:rsidP="00376CD8">
      <w:pPr>
        <w:pStyle w:val="Paragraphedeliste"/>
        <w:numPr>
          <w:ilvl w:val="0"/>
          <w:numId w:val="2"/>
        </w:numPr>
        <w:jc w:val="center"/>
        <w:rPr>
          <w:rFonts w:eastAsiaTheme="minorEastAsia"/>
          <w:iCs/>
          <w:lang w:val="en-GB"/>
        </w:rPr>
      </w:pPr>
      <m:oMath>
        <m:r>
          <m:rPr>
            <m:sty m:val="p"/>
          </m:rPr>
          <w:rPr>
            <w:rFonts w:ascii="Cambria Math" w:hAnsi="Cambria Math"/>
            <w:lang w:val="en-GB"/>
          </w:rPr>
          <m:t xml:space="preserve">2 </m:t>
        </m:r>
        <m:sSub>
          <m:sSubPr>
            <m:ctrlPr>
              <w:rPr>
                <w:rFonts w:ascii="Cambria Math" w:hAnsi="Cambria Math"/>
                <w:iCs/>
                <w:lang w:val="en-GB"/>
              </w:rPr>
            </m:ctrlPr>
          </m:sSubPr>
          <m:e>
            <m:r>
              <m:rPr>
                <m:sty m:val="p"/>
              </m:rPr>
              <w:rPr>
                <w:rFonts w:ascii="Cambria Math" w:hAnsi="Cambria Math"/>
                <w:lang w:val="en-GB"/>
              </w:rPr>
              <m:t>C</m:t>
            </m:r>
          </m:e>
          <m:sub>
            <m:r>
              <m:rPr>
                <m:sty m:val="p"/>
              </m:rPr>
              <w:rPr>
                <w:rFonts w:ascii="Cambria Math" w:hAnsi="Cambria Math"/>
                <w:lang w:val="en-GB"/>
              </w:rPr>
              <m:t>3</m:t>
            </m:r>
          </m:sub>
        </m:sSub>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4</m:t>
            </m:r>
          </m:sub>
        </m:sSub>
        <m:sSub>
          <m:sSubPr>
            <m:ctrlPr>
              <w:rPr>
                <w:rFonts w:ascii="Cambria Math" w:hAnsi="Cambria Math"/>
                <w:iCs/>
                <w:lang w:val="en-GB"/>
              </w:rPr>
            </m:ctrlPr>
          </m:sSubPr>
          <m:e>
            <m:r>
              <m:rPr>
                <m:sty m:val="p"/>
              </m:rPr>
              <w:rPr>
                <w:rFonts w:ascii="Cambria Math" w:hAnsi="Cambria Math"/>
                <w:lang w:val="en-GB"/>
              </w:rPr>
              <m:t>O</m:t>
            </m:r>
          </m:e>
          <m:sub>
            <m:r>
              <w:rPr>
                <w:rFonts w:ascii="Cambria Math" w:hAnsi="Cambria Math"/>
                <w:lang w:val="en-GB"/>
              </w:rPr>
              <m:t>3</m:t>
            </m:r>
          </m:sub>
        </m:sSub>
        <m:r>
          <m:rPr>
            <m:sty m:val="p"/>
          </m:rPr>
          <w:rPr>
            <w:rFonts w:ascii="Cambria Math" w:hAnsi="Cambria Math"/>
            <w:lang w:val="en-GB"/>
          </w:rPr>
          <m:t>+2</m:t>
        </m:r>
        <m:sSub>
          <m:sSubPr>
            <m:ctrlPr>
              <w:rPr>
                <w:rFonts w:ascii="Cambria Math" w:hAnsi="Cambria Math"/>
                <w:iCs/>
                <w:lang w:val="en-GB"/>
              </w:rPr>
            </m:ctrlPr>
          </m:sSubPr>
          <m:e>
            <m:r>
              <m:rPr>
                <m:sty m:val="p"/>
              </m:rPr>
              <w:rPr>
                <w:rFonts w:ascii="Cambria Math" w:hAnsi="Cambria Math"/>
                <w:lang w:val="en-GB"/>
              </w:rPr>
              <m:t>CO</m:t>
            </m:r>
          </m:e>
          <m:sub>
            <m:r>
              <m:rPr>
                <m:sty m:val="p"/>
              </m:rPr>
              <w:rPr>
                <w:rFonts w:ascii="Cambria Math" w:hAnsi="Cambria Math"/>
                <w:lang w:val="en-GB"/>
              </w:rPr>
              <m:t>2</m:t>
            </m:r>
          </m:sub>
        </m:sSub>
        <m:r>
          <m:rPr>
            <m:sty m:val="p"/>
          </m:rPr>
          <w:rPr>
            <w:rFonts w:ascii="Cambria Math" w:hAnsi="Cambria Math"/>
            <w:lang w:val="en-GB"/>
          </w:rPr>
          <m:t xml:space="preserve">→2 </m:t>
        </m:r>
        <m:sSub>
          <m:sSubPr>
            <m:ctrlPr>
              <w:rPr>
                <w:rFonts w:ascii="Cambria Math" w:hAnsi="Cambria Math"/>
                <w:iCs/>
                <w:lang w:val="en-GB"/>
              </w:rPr>
            </m:ctrlPr>
          </m:sSubPr>
          <m:e>
            <m:r>
              <m:rPr>
                <m:sty m:val="p"/>
              </m:rPr>
              <w:rPr>
                <w:rFonts w:ascii="Cambria Math" w:hAnsi="Cambria Math"/>
                <w:lang w:val="en-GB"/>
              </w:rPr>
              <m:t>C</m:t>
            </m:r>
          </m:e>
          <m:sub>
            <m:r>
              <w:rPr>
                <w:rFonts w:ascii="Cambria Math" w:hAnsi="Cambria Math"/>
                <w:lang w:val="en-GB"/>
              </w:rPr>
              <m:t>4</m:t>
            </m:r>
          </m:sub>
        </m:sSub>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4</m:t>
            </m:r>
          </m:sub>
        </m:sSub>
        <m:sSub>
          <m:sSubPr>
            <m:ctrlPr>
              <w:rPr>
                <w:rFonts w:ascii="Cambria Math" w:hAnsi="Cambria Math"/>
                <w:iCs/>
                <w:lang w:val="en-GB"/>
              </w:rPr>
            </m:ctrlPr>
          </m:sSubPr>
          <m:e>
            <m:r>
              <m:rPr>
                <m:sty m:val="p"/>
              </m:rPr>
              <w:rPr>
                <w:rFonts w:ascii="Cambria Math" w:hAnsi="Cambria Math"/>
                <w:lang w:val="en-GB"/>
              </w:rPr>
              <m:t>O</m:t>
            </m:r>
          </m:e>
          <m:sub>
            <m:r>
              <w:rPr>
                <w:rFonts w:ascii="Cambria Math" w:hAnsi="Cambria Math"/>
                <w:lang w:val="en-GB"/>
              </w:rPr>
              <m:t>5</m:t>
            </m:r>
          </m:sub>
        </m:sSub>
      </m:oMath>
    </w:p>
    <w:p w14:paraId="75F04354" w14:textId="642D5F9A" w:rsidR="0073352F" w:rsidRPr="00E84A8F" w:rsidRDefault="00E84A8F" w:rsidP="00376CD8">
      <w:pPr>
        <w:pStyle w:val="Paragraphedeliste"/>
        <w:numPr>
          <w:ilvl w:val="0"/>
          <w:numId w:val="2"/>
        </w:numPr>
        <w:jc w:val="center"/>
        <w:rPr>
          <w:rFonts w:eastAsiaTheme="minorEastAsia"/>
          <w:iCs/>
          <w:lang w:val="en-GB"/>
        </w:rPr>
      </w:pPr>
      <m:oMath>
        <m:r>
          <m:rPr>
            <m:sty m:val="p"/>
          </m:rPr>
          <w:rPr>
            <w:rFonts w:ascii="Cambria Math" w:hAnsi="Cambria Math"/>
            <w:lang w:val="en-GB"/>
          </w:rPr>
          <m:t xml:space="preserve">2 </m:t>
        </m:r>
        <m:sSub>
          <m:sSubPr>
            <m:ctrlPr>
              <w:rPr>
                <w:rFonts w:ascii="Cambria Math" w:hAnsi="Cambria Math"/>
                <w:iCs/>
                <w:lang w:val="en-GB"/>
              </w:rPr>
            </m:ctrlPr>
          </m:sSubPr>
          <m:e>
            <m:r>
              <m:rPr>
                <m:sty m:val="p"/>
              </m:rPr>
              <w:rPr>
                <w:rFonts w:ascii="Cambria Math" w:hAnsi="Cambria Math"/>
                <w:lang w:val="en-GB"/>
              </w:rPr>
              <m:t>C</m:t>
            </m:r>
          </m:e>
          <m:sub>
            <m:r>
              <w:rPr>
                <w:rFonts w:ascii="Cambria Math" w:hAnsi="Cambria Math"/>
                <w:lang w:val="en-GB"/>
              </w:rPr>
              <m:t>4</m:t>
            </m:r>
          </m:sub>
        </m:sSub>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4</m:t>
            </m:r>
          </m:sub>
        </m:sSub>
        <m:sSub>
          <m:sSubPr>
            <m:ctrlPr>
              <w:rPr>
                <w:rFonts w:ascii="Cambria Math" w:hAnsi="Cambria Math"/>
                <w:iCs/>
                <w:lang w:val="en-GB"/>
              </w:rPr>
            </m:ctrlPr>
          </m:sSubPr>
          <m:e>
            <m:r>
              <m:rPr>
                <m:sty m:val="p"/>
              </m:rPr>
              <w:rPr>
                <w:rFonts w:ascii="Cambria Math" w:hAnsi="Cambria Math"/>
                <w:lang w:val="en-GB"/>
              </w:rPr>
              <m:t>O</m:t>
            </m:r>
          </m:e>
          <m:sub>
            <m:r>
              <w:rPr>
                <w:rFonts w:ascii="Cambria Math" w:hAnsi="Cambria Math"/>
                <w:lang w:val="en-GB"/>
              </w:rPr>
              <m:t>5</m:t>
            </m:r>
          </m:sub>
        </m:sSub>
        <m:r>
          <m:rPr>
            <m:sty m:val="p"/>
          </m:rPr>
          <w:rPr>
            <w:rFonts w:ascii="Cambria Math" w:hAnsi="Cambria Math"/>
            <w:lang w:val="en-GB"/>
          </w:rPr>
          <m:t>+2</m:t>
        </m:r>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2</m:t>
            </m:r>
          </m:sub>
        </m:sSub>
        <m:r>
          <m:rPr>
            <m:sty m:val="p"/>
          </m:rPr>
          <w:rPr>
            <w:rFonts w:ascii="Cambria Math" w:hAnsi="Cambria Math"/>
            <w:lang w:val="en-GB"/>
          </w:rPr>
          <m:t>O→2</m:t>
        </m:r>
        <m:sSub>
          <m:sSubPr>
            <m:ctrlPr>
              <w:rPr>
                <w:rFonts w:ascii="Cambria Math" w:hAnsi="Cambria Math"/>
                <w:iCs/>
                <w:lang w:val="en-GB"/>
              </w:rPr>
            </m:ctrlPr>
          </m:sSubPr>
          <m:e>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2</m:t>
                </m:r>
              </m:sub>
            </m:sSub>
            <m:r>
              <m:rPr>
                <m:sty m:val="p"/>
              </m:rPr>
              <w:rPr>
                <w:rFonts w:ascii="Cambria Math" w:hAnsi="Cambria Math"/>
                <w:lang w:val="en-GB"/>
              </w:rPr>
              <m:t>C</m:t>
            </m:r>
          </m:e>
          <m:sub>
            <m:r>
              <m:rPr>
                <m:sty m:val="p"/>
              </m:rPr>
              <w:rPr>
                <w:rFonts w:ascii="Cambria Math" w:hAnsi="Cambria Math"/>
                <w:lang w:val="en-GB"/>
              </w:rPr>
              <m:t>2</m:t>
            </m:r>
          </m:sub>
        </m:sSub>
        <m:sSub>
          <m:sSubPr>
            <m:ctrlPr>
              <w:rPr>
                <w:rFonts w:ascii="Cambria Math" w:hAnsi="Cambria Math"/>
                <w:iCs/>
                <w:lang w:val="en-GB"/>
              </w:rPr>
            </m:ctrlPr>
          </m:sSubPr>
          <m:e>
            <m:r>
              <m:rPr>
                <m:sty m:val="p"/>
              </m:rPr>
              <w:rPr>
                <w:rFonts w:ascii="Cambria Math" w:hAnsi="Cambria Math"/>
                <w:lang w:val="en-GB"/>
              </w:rPr>
              <m:t>O</m:t>
            </m:r>
          </m:e>
          <m:sub>
            <m:r>
              <w:rPr>
                <w:rFonts w:ascii="Cambria Math" w:hAnsi="Cambria Math"/>
                <w:lang w:val="en-GB"/>
              </w:rPr>
              <m:t>4</m:t>
            </m:r>
          </m:sub>
        </m:sSub>
        <m:r>
          <m:rPr>
            <m:sty m:val="p"/>
          </m:rPr>
          <w:rPr>
            <w:rFonts w:ascii="Cambria Math" w:hAnsi="Cambria Math"/>
            <w:lang w:val="en-GB"/>
          </w:rPr>
          <m:t>+ 2</m:t>
        </m:r>
        <m:sSub>
          <m:sSubPr>
            <m:ctrlPr>
              <w:rPr>
                <w:rFonts w:ascii="Cambria Math" w:hAnsi="Cambria Math"/>
                <w:iCs/>
                <w:lang w:val="en-GB"/>
              </w:rPr>
            </m:ctrlPr>
          </m:sSubPr>
          <m:e>
            <m:r>
              <m:rPr>
                <m:sty m:val="p"/>
              </m:rPr>
              <w:rPr>
                <w:rFonts w:ascii="Cambria Math" w:hAnsi="Cambria Math"/>
                <w:lang w:val="en-GB"/>
              </w:rPr>
              <m:t xml:space="preserve"> C</m:t>
            </m:r>
          </m:e>
          <m:sub>
            <m:r>
              <m:rPr>
                <m:sty m:val="p"/>
              </m:rPr>
              <w:rPr>
                <w:rFonts w:ascii="Cambria Math" w:hAnsi="Cambria Math"/>
                <w:lang w:val="en-GB"/>
              </w:rPr>
              <m:t>3</m:t>
            </m:r>
          </m:sub>
        </m:sSub>
        <m:sSub>
          <m:sSubPr>
            <m:ctrlPr>
              <w:rPr>
                <w:rFonts w:ascii="Cambria Math" w:hAnsi="Cambria Math"/>
                <w:iCs/>
                <w:lang w:val="en-GB"/>
              </w:rPr>
            </m:ctrlPr>
          </m:sSubPr>
          <m:e>
            <m:r>
              <m:rPr>
                <m:sty m:val="p"/>
              </m:rPr>
              <w:rPr>
                <w:rFonts w:ascii="Cambria Math" w:hAnsi="Cambria Math"/>
                <w:lang w:val="en-GB"/>
              </w:rPr>
              <m:t>H</m:t>
            </m:r>
          </m:e>
          <m:sub>
            <m:r>
              <m:rPr>
                <m:sty m:val="p"/>
              </m:rPr>
              <w:rPr>
                <w:rFonts w:ascii="Cambria Math" w:hAnsi="Cambria Math"/>
                <w:lang w:val="en-GB"/>
              </w:rPr>
              <m:t>4</m:t>
            </m:r>
          </m:sub>
        </m:sSub>
        <m:sSub>
          <m:sSubPr>
            <m:ctrlPr>
              <w:rPr>
                <w:rFonts w:ascii="Cambria Math" w:hAnsi="Cambria Math"/>
                <w:iCs/>
                <w:lang w:val="en-GB"/>
              </w:rPr>
            </m:ctrlPr>
          </m:sSubPr>
          <m:e>
            <m:r>
              <m:rPr>
                <m:sty m:val="p"/>
              </m:rPr>
              <w:rPr>
                <w:rFonts w:ascii="Cambria Math" w:hAnsi="Cambria Math"/>
                <w:lang w:val="en-GB"/>
              </w:rPr>
              <m:t>O</m:t>
            </m:r>
          </m:e>
          <m:sub>
            <m:r>
              <w:rPr>
                <w:rFonts w:ascii="Cambria Math" w:hAnsi="Cambria Math"/>
                <w:lang w:val="en-GB"/>
              </w:rPr>
              <m:t>3</m:t>
            </m:r>
          </m:sub>
        </m:sSub>
      </m:oMath>
    </w:p>
    <w:p w14:paraId="5F6E3783" w14:textId="010D135F" w:rsidR="0073352F" w:rsidRDefault="0073352F" w:rsidP="0073352F">
      <w:pPr>
        <w:rPr>
          <w:lang w:val="en-GB"/>
        </w:rPr>
      </w:pPr>
      <w:r w:rsidRPr="00376CD8">
        <w:rPr>
          <w:b/>
          <w:bCs/>
          <w:lang w:val="en-GB"/>
        </w:rPr>
        <w:t>Eq. 1.</w:t>
      </w:r>
      <w:r>
        <w:rPr>
          <w:lang w:val="en-GB"/>
        </w:rPr>
        <w:t xml:space="preserve"> The biosynthesis of oxal</w:t>
      </w:r>
      <w:r w:rsidR="00376CD8">
        <w:rPr>
          <w:lang w:val="en-GB"/>
        </w:rPr>
        <w:t>ic acid</w:t>
      </w:r>
      <w:r>
        <w:rPr>
          <w:lang w:val="en-GB"/>
        </w:rPr>
        <w:t xml:space="preserve"> from glucose by trees, converting </w:t>
      </w:r>
      <w:r w:rsidR="00376CD8">
        <w:rPr>
          <w:lang w:val="en-GB"/>
        </w:rPr>
        <w:t xml:space="preserve">photosynthate into a common low molecular weight organic acid, which can then be loaded into crystal </w:t>
      </w:r>
      <w:proofErr w:type="spellStart"/>
      <w:r w:rsidR="00376CD8">
        <w:rPr>
          <w:lang w:val="en-GB"/>
        </w:rPr>
        <w:t>idioblasts</w:t>
      </w:r>
      <w:proofErr w:type="spellEnd"/>
      <w:r w:rsidR="00376CD8">
        <w:rPr>
          <w:lang w:val="en-GB"/>
        </w:rPr>
        <w:t xml:space="preserve"> for calcium oxalate formation</w:t>
      </w:r>
      <w:r w:rsidR="00376CD8" w:rsidRPr="00376CD8">
        <w:rPr>
          <w:lang w:val="en-GB"/>
        </w:rPr>
        <w:t xml:space="preserve"> </w:t>
      </w:r>
      <w:r w:rsidR="00223ED2">
        <w:rPr>
          <w:lang w:val="en-GB"/>
        </w:rPr>
        <w:t>(</w:t>
      </w:r>
      <w:r w:rsidR="00376CD8">
        <w:rPr>
          <w:lang w:val="en-GB"/>
        </w:rPr>
        <w:t>adapted from</w:t>
      </w:r>
      <w:r w:rsidR="00223ED2">
        <w:rPr>
          <w:lang w:val="en-GB"/>
        </w:rPr>
        <w:t xml:space="preserve"> </w:t>
      </w:r>
      <w:r w:rsidR="00223ED2">
        <w:rPr>
          <w:lang w:val="en-GB"/>
        </w:rPr>
        <w:fldChar w:fldCharType="begin"/>
      </w:r>
      <w:r w:rsidR="00FF6F5A">
        <w:rPr>
          <w:lang w:val="en-GB"/>
        </w:rPr>
        <w:instrText xml:space="preserve"> ADDIN ZOTERO_ITEM CSL_CITATION {"citationID":"cVFl95gM","properties":{"formattedCitation":"(Verrecchia et al. 2006)","plainCitation":"(Verrecchia et al. 2006)","dontUpdate":true,"noteIndex":0},"citationItems":[{"id":501,"uris":["http://zotero.org/groups/2387759/items/WESUN7CT"],"itemData":{"id":501,"type":"chapter","collection-title":"British Mycological Society Symposia","container-title":"Fungi in biogeochemical cycles","page":"289-310","publisher":"Cambridge University Press","title":"The oxalate-carbonate pathway in soil carbon storage: the role of fungi and oxalotrophic bacteria","volume":"24","author":[{"family":"Verrecchia","given":"ERIC P"},{"family":"Braissant","given":"OLIVIER"},{"family":"Cailleau","given":"GUILLAUME"}],"editor":[{"family":"Gadd","given":"Geoffrey M."}],"issued":{"date-parts":[["2006"]]}}}],"schema":"https://github.com/citation-style-language/schema/raw/master/csl-citation.json"} </w:instrText>
      </w:r>
      <w:r w:rsidR="00223ED2">
        <w:rPr>
          <w:lang w:val="en-GB"/>
        </w:rPr>
        <w:fldChar w:fldCharType="separate"/>
      </w:r>
      <w:r w:rsidR="00223ED2" w:rsidRPr="00223ED2">
        <w:t>Verrecchia et al. 2006)</w:t>
      </w:r>
      <w:r w:rsidR="00223ED2">
        <w:rPr>
          <w:lang w:val="en-GB"/>
        </w:rPr>
        <w:fldChar w:fldCharType="end"/>
      </w:r>
      <w:r w:rsidR="00376CD8">
        <w:rPr>
          <w:lang w:val="en-GB"/>
        </w:rPr>
        <w:t xml:space="preserve">. </w:t>
      </w:r>
      <w:r w:rsidR="00376CD8" w:rsidRPr="00376CD8">
        <w:rPr>
          <w:b/>
          <w:bCs/>
          <w:lang w:val="en-GB"/>
        </w:rPr>
        <w:t>A</w:t>
      </w:r>
      <w:r w:rsidR="00FF6F5A">
        <w:rPr>
          <w:b/>
          <w:bCs/>
          <w:lang w:val="en-GB"/>
        </w:rPr>
        <w:t>.</w:t>
      </w:r>
      <w:r w:rsidR="00376CD8" w:rsidRPr="00376CD8">
        <w:rPr>
          <w:b/>
          <w:bCs/>
          <w:lang w:val="en-GB"/>
        </w:rPr>
        <w:t>)</w:t>
      </w:r>
      <w:r w:rsidR="00FF6F5A">
        <w:t xml:space="preserve"> Glucose is first </w:t>
      </w:r>
      <w:proofErr w:type="spellStart"/>
      <w:r w:rsidR="00FF6F5A">
        <w:t>oxidised</w:t>
      </w:r>
      <w:proofErr w:type="spellEnd"/>
      <w:r w:rsidR="00FF6F5A">
        <w:t xml:space="preserve"> to pyruvate</w:t>
      </w:r>
      <w:r w:rsidR="00376CD8">
        <w:rPr>
          <w:lang w:val="en-GB"/>
        </w:rPr>
        <w:t xml:space="preserve">. </w:t>
      </w:r>
      <w:r w:rsidR="00376CD8" w:rsidRPr="00376CD8">
        <w:rPr>
          <w:b/>
          <w:bCs/>
          <w:lang w:val="en-GB"/>
        </w:rPr>
        <w:t>B</w:t>
      </w:r>
      <w:r w:rsidR="00FF6F5A">
        <w:rPr>
          <w:b/>
          <w:bCs/>
          <w:lang w:val="en-GB"/>
        </w:rPr>
        <w:t>.</w:t>
      </w:r>
      <w:r w:rsidR="00376CD8" w:rsidRPr="00376CD8">
        <w:rPr>
          <w:b/>
          <w:bCs/>
          <w:lang w:val="en-GB"/>
        </w:rPr>
        <w:t>)</w:t>
      </w:r>
      <w:r w:rsidR="00376CD8">
        <w:rPr>
          <w:lang w:val="en-GB"/>
        </w:rPr>
        <w:t xml:space="preserve"> </w:t>
      </w:r>
      <w:r w:rsidR="00FF6F5A">
        <w:t>The carboxylation of pyruvate produces oxaloacetate</w:t>
      </w:r>
      <w:r w:rsidR="00376CD8">
        <w:rPr>
          <w:lang w:val="en-GB"/>
        </w:rPr>
        <w:t xml:space="preserve">. </w:t>
      </w:r>
      <w:r w:rsidR="00376CD8" w:rsidRPr="00376CD8">
        <w:rPr>
          <w:b/>
          <w:bCs/>
          <w:lang w:val="en-GB"/>
        </w:rPr>
        <w:t>C</w:t>
      </w:r>
      <w:r w:rsidR="00FF6F5A">
        <w:rPr>
          <w:b/>
          <w:bCs/>
          <w:lang w:val="en-GB"/>
        </w:rPr>
        <w:t>.</w:t>
      </w:r>
      <w:r w:rsidR="00376CD8" w:rsidRPr="00376CD8">
        <w:rPr>
          <w:b/>
          <w:bCs/>
          <w:lang w:val="en-GB"/>
        </w:rPr>
        <w:t>)</w:t>
      </w:r>
      <w:r w:rsidR="00376CD8">
        <w:rPr>
          <w:lang w:val="en-GB"/>
        </w:rPr>
        <w:t xml:space="preserve"> </w:t>
      </w:r>
      <w:r w:rsidR="00FF6F5A">
        <w:t xml:space="preserve">Finally, hydrolysis of oxaloacetate yields acetate and oxalic acid, the latter being transported to crystal </w:t>
      </w:r>
      <w:proofErr w:type="spellStart"/>
      <w:r w:rsidR="00FF6F5A">
        <w:t>idioblasts</w:t>
      </w:r>
      <w:proofErr w:type="spellEnd"/>
      <w:r w:rsidR="00FF6F5A">
        <w:t xml:space="preserve"> to precipitate as calcium oxalate</w:t>
      </w:r>
      <w:r w:rsidR="00376CD8">
        <w:rPr>
          <w:lang w:val="en-GB"/>
        </w:rPr>
        <w:t xml:space="preserve">. </w:t>
      </w:r>
    </w:p>
    <w:p w14:paraId="2F57CB57" w14:textId="6DEC946C" w:rsidR="00534107" w:rsidRPr="00F04BF2" w:rsidRDefault="00F04BF2" w:rsidP="0073352F">
      <m:oMathPara>
        <m:oMath>
          <m:r>
            <m:rPr>
              <m:sty m:val="p"/>
            </m:rPr>
            <w:rPr>
              <w:rFonts w:ascii="Cambria Math" w:hAnsi="Cambria Math"/>
            </w:rPr>
            <m:t>CaC</m:t>
          </m:r>
          <m:sSub>
            <m:sSubPr>
              <m:ctrlPr>
                <w:rPr>
                  <w:rFonts w:ascii="Cambria Math" w:hAnsi="Cambria Math"/>
                  <w:iCs/>
                </w:rPr>
              </m:ctrlPr>
            </m:sSubPr>
            <m:e>
              <m:r>
                <m:rPr>
                  <m:sty m:val="p"/>
                </m:rPr>
                <w:rPr>
                  <w:rFonts w:ascii="Cambria Math" w:hAnsi="Cambria Math"/>
                </w:rPr>
                <m:t>O</m:t>
              </m:r>
            </m:e>
            <m:sub>
              <m:r>
                <m:rPr>
                  <m:sty m:val="p"/>
                </m:rPr>
                <w:rPr>
                  <w:rFonts w:ascii="Cambria Math" w:hAnsi="Cambria Math"/>
                </w:rPr>
                <m:t>3</m:t>
              </m:r>
            </m:sub>
          </m:sSub>
          <m:r>
            <m:rPr>
              <m:sty m:val="p"/>
            </m:rPr>
            <w:rPr>
              <w:rFonts w:ascii="Cambria Math" w:hAnsi="Cambria Math"/>
            </w:rPr>
            <m:t>+C</m:t>
          </m:r>
          <m:sSub>
            <m:sSubPr>
              <m:ctrlPr>
                <w:rPr>
                  <w:rFonts w:ascii="Cambria Math" w:hAnsi="Cambria Math"/>
                  <w:iCs/>
                </w:rPr>
              </m:ctrlPr>
            </m:sSubPr>
            <m:e>
              <m:r>
                <m:rPr>
                  <m:sty m:val="p"/>
                </m:rPr>
                <w:rPr>
                  <w:rFonts w:ascii="Cambria Math" w:hAnsi="Cambria Math"/>
                </w:rPr>
                <m:t>O</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Sup>
            <m:sSupPr>
              <m:ctrlPr>
                <w:rPr>
                  <w:rFonts w:ascii="Cambria Math" w:hAnsi="Cambria Math"/>
                  <w:iCs/>
                </w:rPr>
              </m:ctrlPr>
            </m:sSupPr>
            <m:e>
              <m:r>
                <m:rPr>
                  <m:sty m:val="p"/>
                </m:rPr>
                <w:rPr>
                  <w:rFonts w:ascii="Cambria Math" w:hAnsi="Cambria Math"/>
                </w:rPr>
                <m:t>Ca</m:t>
              </m:r>
            </m:e>
            <m:sup>
              <m:r>
                <m:rPr>
                  <m:sty m:val="p"/>
                </m:rPr>
                <w:rPr>
                  <w:rFonts w:ascii="Cambria Math" w:hAnsi="Cambria Math"/>
                </w:rPr>
                <m:t>2+</m:t>
              </m:r>
            </m:sup>
          </m:sSup>
          <m:r>
            <m:rPr>
              <m:sty m:val="p"/>
            </m:rPr>
            <w:rPr>
              <w:rFonts w:ascii="Cambria Math" w:hAnsi="Cambria Math"/>
            </w:rPr>
            <m:t>+2HC</m:t>
          </m:r>
          <m:sSubSup>
            <m:sSubSupPr>
              <m:ctrlPr>
                <w:rPr>
                  <w:rFonts w:ascii="Cambria Math" w:hAnsi="Cambria Math"/>
                  <w:iCs/>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m:t>
              </m:r>
            </m:sup>
          </m:sSubSup>
          <m:r>
            <m:rPr>
              <m:sty m:val="p"/>
            </m:rPr>
            <w:rPr>
              <w:rFonts w:ascii="Cambria Math" w:hAnsi="Cambria Math"/>
            </w:rPr>
            <m:t xml:space="preserve">↔ </m:t>
          </m:r>
          <m:sSup>
            <m:sSupPr>
              <m:ctrlPr>
                <w:rPr>
                  <w:rFonts w:ascii="Cambria Math" w:hAnsi="Cambria Math"/>
                  <w:iCs/>
                </w:rPr>
              </m:ctrlPr>
            </m:sSupPr>
            <m:e>
              <m:r>
                <m:rPr>
                  <m:sty m:val="p"/>
                </m:rPr>
                <w:rPr>
                  <w:rFonts w:ascii="Cambria Math" w:hAnsi="Cambria Math"/>
                </w:rPr>
                <m:t>Ca</m:t>
              </m:r>
            </m:e>
            <m:sup>
              <m:r>
                <m:rPr>
                  <m:sty m:val="p"/>
                </m:rPr>
                <w:rPr>
                  <w:rFonts w:ascii="Cambria Math" w:hAnsi="Cambria Math"/>
                </w:rPr>
                <m:t>2+</m:t>
              </m:r>
            </m:sup>
          </m:sSup>
          <m:r>
            <m:rPr>
              <m:sty m:val="p"/>
            </m:rPr>
            <w:rPr>
              <w:rFonts w:ascii="Cambria Math" w:hAnsi="Cambria Math"/>
            </w:rPr>
            <m:t>+2HC</m:t>
          </m:r>
          <m:sSubSup>
            <m:sSubSupPr>
              <m:ctrlPr>
                <w:rPr>
                  <w:rFonts w:ascii="Cambria Math" w:hAnsi="Cambria Math"/>
                  <w:iCs/>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m:t>
              </m:r>
            </m:sup>
          </m:sSubSup>
          <m:r>
            <m:rPr>
              <m:sty m:val="p"/>
            </m:rPr>
            <w:rPr>
              <w:rFonts w:ascii="Cambria Math" w:hAnsi="Cambria Math"/>
            </w:rPr>
            <m:t>→CaC</m:t>
          </m:r>
          <m:sSub>
            <m:sSubPr>
              <m:ctrlPr>
                <w:rPr>
                  <w:rFonts w:ascii="Cambria Math" w:hAnsi="Cambria Math"/>
                  <w:iCs/>
                </w:rPr>
              </m:ctrlPr>
            </m:sSubPr>
            <m:e>
              <m:r>
                <m:rPr>
                  <m:sty m:val="p"/>
                </m:rPr>
                <w:rPr>
                  <w:rFonts w:ascii="Cambria Math" w:hAnsi="Cambria Math"/>
                </w:rPr>
                <m:t>O</m:t>
              </m:r>
            </m:e>
            <m:sub>
              <m:r>
                <m:rPr>
                  <m:sty m:val="p"/>
                </m:rPr>
                <w:rPr>
                  <w:rFonts w:ascii="Cambria Math" w:hAnsi="Cambria Math"/>
                </w:rPr>
                <m:t>3</m:t>
              </m:r>
            </m:sub>
          </m:sSub>
          <m:r>
            <m:rPr>
              <m:sty m:val="p"/>
            </m:rPr>
            <w:rPr>
              <w:rFonts w:ascii="Cambria Math" w:hAnsi="Cambria Math"/>
            </w:rPr>
            <m:t>+C</m:t>
          </m:r>
          <m:sSub>
            <m:sSubPr>
              <m:ctrlPr>
                <w:rPr>
                  <w:rFonts w:ascii="Cambria Math" w:hAnsi="Cambria Math"/>
                  <w:iCs/>
                </w:rPr>
              </m:ctrlPr>
            </m:sSubPr>
            <m:e>
              <m:r>
                <m:rPr>
                  <m:sty m:val="p"/>
                </m:rPr>
                <w:rPr>
                  <w:rFonts w:ascii="Cambria Math" w:hAnsi="Cambria Math"/>
                </w:rPr>
                <m:t>O</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oMath>
      </m:oMathPara>
    </w:p>
    <w:p w14:paraId="206987F1" w14:textId="6A65367A" w:rsidR="0049526F" w:rsidRDefault="00D61EA4" w:rsidP="0073352F">
      <w:pPr>
        <w:rPr>
          <w:b/>
          <w:bCs/>
          <w:lang w:val="en-GB"/>
        </w:rPr>
      </w:pPr>
      <w:r w:rsidRPr="00D65C35">
        <w:rPr>
          <w:b/>
          <w:bCs/>
          <w:lang w:val="en-GB"/>
        </w:rPr>
        <w:t>Eq. 2.</w:t>
      </w:r>
      <w:r>
        <w:rPr>
          <w:b/>
          <w:bCs/>
          <w:lang w:val="en-GB"/>
        </w:rPr>
        <w:t xml:space="preserve"> </w:t>
      </w:r>
      <w:r w:rsidR="00534107" w:rsidRPr="00441FFD">
        <w:t>The weathering of limestone (CaCO</w:t>
      </w:r>
      <w:r w:rsidR="00534107" w:rsidRPr="00441FFD">
        <w:rPr>
          <w:vertAlign w:val="subscript"/>
        </w:rPr>
        <w:t>3</w:t>
      </w:r>
      <w:r w:rsidR="00534107" w:rsidRPr="00441FFD">
        <w:t>)</w:t>
      </w:r>
      <w:r w:rsidR="00534107">
        <w:t xml:space="preserve"> by carbonic acid (</w:t>
      </w:r>
      <w:r w:rsidR="00534107" w:rsidRPr="00D0667B">
        <w:t>H</w:t>
      </w:r>
      <w:r w:rsidR="00534107" w:rsidRPr="00D0667B">
        <w:rPr>
          <w:vertAlign w:val="subscript"/>
        </w:rPr>
        <w:t>2</w:t>
      </w:r>
      <w:r w:rsidR="00534107" w:rsidRPr="00D0667B">
        <w:t>CO</w:t>
      </w:r>
      <w:r w:rsidR="00534107" w:rsidRPr="00D0667B">
        <w:rPr>
          <w:vertAlign w:val="subscript"/>
        </w:rPr>
        <w:t>3</w:t>
      </w:r>
      <w:r w:rsidR="00534107">
        <w:t>)</w:t>
      </w:r>
      <w:r w:rsidR="00534107" w:rsidRPr="00441FFD">
        <w:t xml:space="preserve"> draws down carbon dioxide (CO</w:t>
      </w:r>
      <w:r w:rsidR="00534107" w:rsidRPr="00441FFD">
        <w:rPr>
          <w:vertAlign w:val="subscript"/>
        </w:rPr>
        <w:t>2</w:t>
      </w:r>
      <w:r w:rsidR="00534107" w:rsidRPr="00441FFD">
        <w:t>) and releases bicarbonate (HCO</w:t>
      </w:r>
      <w:r w:rsidR="00534107" w:rsidRPr="00441FFD">
        <w:rPr>
          <w:spacing w:val="-60"/>
          <w:vertAlign w:val="subscript"/>
        </w:rPr>
        <w:t>3</w:t>
      </w:r>
      <w:r w:rsidR="00534107" w:rsidRPr="00441FFD">
        <w:rPr>
          <w:vertAlign w:val="superscript"/>
        </w:rPr>
        <w:t>-</w:t>
      </w:r>
      <w:r w:rsidR="00534107" w:rsidRPr="00441FFD">
        <w:t>), while the subsequent precipitation of secondary CaCO</w:t>
      </w:r>
      <w:r w:rsidR="00534107" w:rsidRPr="00441FFD">
        <w:rPr>
          <w:vertAlign w:val="subscript"/>
        </w:rPr>
        <w:t>3</w:t>
      </w:r>
      <w:r w:rsidR="00534107" w:rsidRPr="00441FFD">
        <w:t xml:space="preserve"> releases CO</w:t>
      </w:r>
      <w:r w:rsidR="00534107" w:rsidRPr="00441FFD">
        <w:rPr>
          <w:vertAlign w:val="subscript"/>
        </w:rPr>
        <w:t>2</w:t>
      </w:r>
      <w:r w:rsidR="00534107" w:rsidRPr="00441FFD">
        <w:t xml:space="preserve">. </w:t>
      </w:r>
      <w:r w:rsidR="00D65C35" w:rsidRPr="00D65C35">
        <w:rPr>
          <w:b/>
          <w:bCs/>
          <w:lang w:val="en-GB"/>
        </w:rPr>
        <w:t xml:space="preserve"> </w:t>
      </w:r>
    </w:p>
    <w:p w14:paraId="33915B38" w14:textId="75BBBCDD" w:rsidR="0073352F" w:rsidRPr="00D65C35" w:rsidRDefault="0049526F" w:rsidP="0049526F">
      <w:pPr>
        <w:spacing w:after="200" w:line="276" w:lineRule="auto"/>
        <w:jc w:val="left"/>
        <w:rPr>
          <w:b/>
          <w:bCs/>
          <w:lang w:val="en-GB"/>
        </w:rPr>
      </w:pPr>
      <w:r>
        <w:rPr>
          <w:b/>
          <w:bCs/>
          <w:lang w:val="en-GB"/>
        </w:rPr>
        <w:br w:type="page"/>
      </w:r>
    </w:p>
    <w:p w14:paraId="2CB273C0" w14:textId="52BCDC02" w:rsidR="0073352F" w:rsidRDefault="008E6BBD" w:rsidP="001D4D8F">
      <w:pPr>
        <w:pStyle w:val="Titre1"/>
        <w:rPr>
          <w:lang w:val="en-GB"/>
        </w:rPr>
      </w:pPr>
      <w:bookmarkStart w:id="40" w:name="_Toc199759404"/>
      <w:r>
        <w:rPr>
          <w:lang w:val="en-GB"/>
        </w:rPr>
        <w:lastRenderedPageBreak/>
        <w:t>References</w:t>
      </w:r>
      <w:bookmarkEnd w:id="40"/>
    </w:p>
    <w:p w14:paraId="3218AA53" w14:textId="77777777" w:rsidR="00A51DF3" w:rsidRPr="00A51DF3" w:rsidRDefault="001D4D8F" w:rsidP="00A51DF3">
      <w:pPr>
        <w:pStyle w:val="Bibliographie"/>
      </w:pPr>
      <w:r>
        <w:rPr>
          <w:lang w:val="en-GB"/>
        </w:rPr>
        <w:fldChar w:fldCharType="begin"/>
      </w:r>
      <w:r w:rsidR="00A51DF3">
        <w:rPr>
          <w:lang w:val="en-GB"/>
        </w:rPr>
        <w:instrText xml:space="preserve"> ADDIN ZOTERO_BIBL {"uncited":[],"omitted":[],"custom":[]} CSL_BIBLIOGRAPHY </w:instrText>
      </w:r>
      <w:r>
        <w:rPr>
          <w:lang w:val="en-GB"/>
        </w:rPr>
        <w:fldChar w:fldCharType="separate"/>
      </w:r>
      <w:proofErr w:type="spellStart"/>
      <w:r w:rsidR="00A51DF3" w:rsidRPr="00A51DF3">
        <w:t>Akpakpan</w:t>
      </w:r>
      <w:proofErr w:type="spellEnd"/>
      <w:r w:rsidR="00A51DF3" w:rsidRPr="00A51DF3">
        <w:t xml:space="preserve">, A. and Akpabio, U.: Evaluation of proximate composition, mineral </w:t>
      </w:r>
      <w:proofErr w:type="gramStart"/>
      <w:r w:rsidR="00A51DF3" w:rsidRPr="00A51DF3">
        <w:t>element</w:t>
      </w:r>
      <w:proofErr w:type="gramEnd"/>
      <w:r w:rsidR="00A51DF3" w:rsidRPr="00A51DF3">
        <w:t xml:space="preserve"> and anti-nutrient in almond (</w:t>
      </w:r>
      <w:r w:rsidR="00A51DF3" w:rsidRPr="00A51DF3">
        <w:rPr>
          <w:i/>
          <w:iCs/>
        </w:rPr>
        <w:t xml:space="preserve">Terminalia </w:t>
      </w:r>
      <w:proofErr w:type="spellStart"/>
      <w:r w:rsidR="00A51DF3" w:rsidRPr="00A51DF3">
        <w:rPr>
          <w:i/>
          <w:iCs/>
        </w:rPr>
        <w:t>catappa</w:t>
      </w:r>
      <w:proofErr w:type="spellEnd"/>
      <w:r w:rsidR="00A51DF3" w:rsidRPr="00A51DF3">
        <w:t>) seeds, Res. J. Appl. Sci., 7, 489–493, https://doi.org/10.3923/rjasci.2012.489.493, 2012.</w:t>
      </w:r>
    </w:p>
    <w:p w14:paraId="774B0342" w14:textId="77777777" w:rsidR="00A51DF3" w:rsidRPr="00A51DF3" w:rsidRDefault="00A51DF3" w:rsidP="00A51DF3">
      <w:pPr>
        <w:pStyle w:val="Bibliographie"/>
      </w:pPr>
      <w:r w:rsidRPr="00A51DF3">
        <w:t xml:space="preserve">Alli Smith, Y.: Determination of chemical composition of </w:t>
      </w:r>
      <w:r w:rsidRPr="00A51DF3">
        <w:rPr>
          <w:i/>
          <w:iCs/>
        </w:rPr>
        <w:t xml:space="preserve">Senna </w:t>
      </w:r>
      <w:proofErr w:type="spellStart"/>
      <w:r w:rsidRPr="00A51DF3">
        <w:rPr>
          <w:i/>
          <w:iCs/>
        </w:rPr>
        <w:t>siamea</w:t>
      </w:r>
      <w:proofErr w:type="spellEnd"/>
      <w:r w:rsidRPr="00A51DF3">
        <w:t xml:space="preserve"> (Cassia leaves), Pak. J. </w:t>
      </w:r>
      <w:proofErr w:type="spellStart"/>
      <w:r w:rsidRPr="00A51DF3">
        <w:t>Nutr</w:t>
      </w:r>
      <w:proofErr w:type="spellEnd"/>
      <w:r w:rsidRPr="00A51DF3">
        <w:t>., 8, 119–121, https://doi.org/10.3923/pjn.2009.119.121, 2009.</w:t>
      </w:r>
    </w:p>
    <w:p w14:paraId="13C90004" w14:textId="77777777" w:rsidR="00A51DF3" w:rsidRPr="00A51DF3" w:rsidRDefault="00A51DF3" w:rsidP="00A51DF3">
      <w:pPr>
        <w:pStyle w:val="Bibliographie"/>
      </w:pPr>
      <w:r w:rsidRPr="00A51DF3">
        <w:t>Álvarez‐Rivera, O. O., Estrada‐Medina, H., Jiménez‐Osornio, J. J., O’Connor‐Sánchez, I. A., Navarro‐Alberto, J. A., Ferrer, M. M., Canto‐</w:t>
      </w:r>
      <w:proofErr w:type="spellStart"/>
      <w:r w:rsidRPr="00A51DF3">
        <w:t>Canché</w:t>
      </w:r>
      <w:proofErr w:type="spellEnd"/>
      <w:r w:rsidRPr="00A51DF3">
        <w:t xml:space="preserve">, B., and </w:t>
      </w:r>
      <w:proofErr w:type="spellStart"/>
      <w:r w:rsidRPr="00A51DF3">
        <w:t>Tzec</w:t>
      </w:r>
      <w:proofErr w:type="spellEnd"/>
      <w:r w:rsidRPr="00A51DF3">
        <w:t xml:space="preserve">‐Gamboa, M. D. C.: Differences in oxalate–carbonate pathway of </w:t>
      </w:r>
      <w:r w:rsidRPr="00A51DF3">
        <w:rPr>
          <w:i/>
          <w:iCs/>
        </w:rPr>
        <w:t xml:space="preserve">Brosimum </w:t>
      </w:r>
      <w:proofErr w:type="spellStart"/>
      <w:r w:rsidRPr="00A51DF3">
        <w:rPr>
          <w:i/>
          <w:iCs/>
        </w:rPr>
        <w:t>alicastrum</w:t>
      </w:r>
      <w:proofErr w:type="spellEnd"/>
      <w:r w:rsidRPr="00A51DF3">
        <w:t xml:space="preserve"> in karst </w:t>
      </w:r>
      <w:proofErr w:type="spellStart"/>
      <w:r w:rsidRPr="00A51DF3">
        <w:t>homegarden</w:t>
      </w:r>
      <w:proofErr w:type="spellEnd"/>
      <w:r w:rsidRPr="00A51DF3">
        <w:t xml:space="preserve"> and forest soils, Soil Sci. Soc. Am. J., 85, 691–702, https://doi.org/10.1002/saj2.20228, 2021.</w:t>
      </w:r>
    </w:p>
    <w:p w14:paraId="21124D15" w14:textId="77777777" w:rsidR="00A51DF3" w:rsidRPr="00A51DF3" w:rsidRDefault="00A51DF3" w:rsidP="00A51DF3">
      <w:pPr>
        <w:pStyle w:val="Bibliographie"/>
      </w:pPr>
      <w:r w:rsidRPr="00A51DF3">
        <w:t xml:space="preserve">Andrews, S.: </w:t>
      </w:r>
      <w:proofErr w:type="spellStart"/>
      <w:r w:rsidRPr="00A51DF3">
        <w:t>FastQC</w:t>
      </w:r>
      <w:proofErr w:type="spellEnd"/>
      <w:r w:rsidRPr="00A51DF3">
        <w:t>: a quality control tool for high throughput sequence data, 2010.</w:t>
      </w:r>
    </w:p>
    <w:p w14:paraId="5623D7E0" w14:textId="77777777" w:rsidR="00A51DF3" w:rsidRPr="00A51DF3" w:rsidRDefault="00A51DF3" w:rsidP="00A51DF3">
      <w:pPr>
        <w:pStyle w:val="Bibliographie"/>
      </w:pPr>
      <w:proofErr w:type="spellStart"/>
      <w:r w:rsidRPr="00A51DF3">
        <w:t>Aragno</w:t>
      </w:r>
      <w:proofErr w:type="spellEnd"/>
      <w:r w:rsidRPr="00A51DF3">
        <w:t>, M. and Verrecchia, E. P.: The oxalate-carbonate pathway: a reliable sink for atmospheric CO</w:t>
      </w:r>
      <w:r w:rsidRPr="00A51DF3">
        <w:rPr>
          <w:vertAlign w:val="subscript"/>
        </w:rPr>
        <w:t>2</w:t>
      </w:r>
      <w:r w:rsidRPr="00A51DF3">
        <w:t xml:space="preserve"> through calcium carbonate biomineralization in </w:t>
      </w:r>
      <w:proofErr w:type="spellStart"/>
      <w:r w:rsidRPr="00A51DF3">
        <w:t>ferralitic</w:t>
      </w:r>
      <w:proofErr w:type="spellEnd"/>
      <w:r w:rsidRPr="00A51DF3">
        <w:t xml:space="preserve"> tropical soils, in: Microorganisms in Environmental Management: Microbes and Environment, edited by: Satyanarayana, T. and Johri, B. N., Springer Netherlands, Dordrecht, 191–199, https://doi.org/10.1007/978-94-007-2229-3_9, 2012.</w:t>
      </w:r>
    </w:p>
    <w:p w14:paraId="381D7D86" w14:textId="77777777" w:rsidR="00A51DF3" w:rsidRPr="00A51DF3" w:rsidRDefault="00A51DF3" w:rsidP="00A51DF3">
      <w:pPr>
        <w:pStyle w:val="Bibliographie"/>
      </w:pPr>
      <w:r w:rsidRPr="00A51DF3">
        <w:t xml:space="preserve">Bolger, A. M., Lohse, M., and </w:t>
      </w:r>
      <w:proofErr w:type="spellStart"/>
      <w:r w:rsidRPr="00A51DF3">
        <w:t>Usadel</w:t>
      </w:r>
      <w:proofErr w:type="spellEnd"/>
      <w:r w:rsidRPr="00A51DF3">
        <w:t xml:space="preserve">, B.: </w:t>
      </w:r>
      <w:proofErr w:type="spellStart"/>
      <w:r w:rsidRPr="00A51DF3">
        <w:t>Trimmomatic</w:t>
      </w:r>
      <w:proofErr w:type="spellEnd"/>
      <w:r w:rsidRPr="00A51DF3">
        <w:t xml:space="preserve">: a flexible trimmer for Illumina sequence data, </w:t>
      </w:r>
      <w:proofErr w:type="spellStart"/>
      <w:r w:rsidRPr="00A51DF3">
        <w:t>Bioinform</w:t>
      </w:r>
      <w:proofErr w:type="spellEnd"/>
      <w:r w:rsidRPr="00A51DF3">
        <w:t>., 30, 2114–2120, https://doi.org/10.1093/bioinformatics/btu170, 2014.</w:t>
      </w:r>
    </w:p>
    <w:p w14:paraId="5E654CA7" w14:textId="77777777" w:rsidR="00A51DF3" w:rsidRPr="00A51DF3" w:rsidRDefault="00A51DF3" w:rsidP="00A51DF3">
      <w:pPr>
        <w:pStyle w:val="Bibliographie"/>
      </w:pPr>
      <w:r w:rsidRPr="00A51DF3">
        <w:t xml:space="preserve">Bravo, D., </w:t>
      </w:r>
      <w:proofErr w:type="spellStart"/>
      <w:r w:rsidRPr="00A51DF3">
        <w:t>Braissant</w:t>
      </w:r>
      <w:proofErr w:type="spellEnd"/>
      <w:r w:rsidRPr="00A51DF3">
        <w:t xml:space="preserve">, O., </w:t>
      </w:r>
      <w:proofErr w:type="spellStart"/>
      <w:r w:rsidRPr="00A51DF3">
        <w:t>Cailleau</w:t>
      </w:r>
      <w:proofErr w:type="spellEnd"/>
      <w:r w:rsidRPr="00A51DF3">
        <w:t xml:space="preserve">, G., Verrecchia, E., and </w:t>
      </w:r>
      <w:proofErr w:type="spellStart"/>
      <w:r w:rsidRPr="00A51DF3">
        <w:t>Junier</w:t>
      </w:r>
      <w:proofErr w:type="spellEnd"/>
      <w:r w:rsidRPr="00A51DF3">
        <w:t xml:space="preserve">, P.: Isolation and characterization of </w:t>
      </w:r>
      <w:proofErr w:type="spellStart"/>
      <w:r w:rsidRPr="00A51DF3">
        <w:t>oxalotrophic</w:t>
      </w:r>
      <w:proofErr w:type="spellEnd"/>
      <w:r w:rsidRPr="00A51DF3">
        <w:t xml:space="preserve"> bacteria from tropical soils, Arch. </w:t>
      </w:r>
      <w:proofErr w:type="spellStart"/>
      <w:r w:rsidRPr="00A51DF3">
        <w:t>Microbiol</w:t>
      </w:r>
      <w:proofErr w:type="spellEnd"/>
      <w:r w:rsidRPr="00A51DF3">
        <w:t>., 197, 65–77, https://doi.org/10.1007/s00203-014-1055-2, 2015.</w:t>
      </w:r>
    </w:p>
    <w:p w14:paraId="6F3A8DBD" w14:textId="77777777" w:rsidR="00A51DF3" w:rsidRPr="00A51DF3" w:rsidRDefault="00A51DF3" w:rsidP="00A51DF3">
      <w:pPr>
        <w:pStyle w:val="Bibliographie"/>
      </w:pPr>
      <w:proofErr w:type="spellStart"/>
      <w:r w:rsidRPr="00A51DF3">
        <w:t>Cailleau</w:t>
      </w:r>
      <w:proofErr w:type="spellEnd"/>
      <w:r w:rsidRPr="00A51DF3">
        <w:t xml:space="preserve">, G., </w:t>
      </w:r>
      <w:proofErr w:type="spellStart"/>
      <w:r w:rsidRPr="00A51DF3">
        <w:t>Braissant</w:t>
      </w:r>
      <w:proofErr w:type="spellEnd"/>
      <w:r w:rsidRPr="00A51DF3">
        <w:t xml:space="preserve">, O., and Verrecchia, E. P.: Turning sunlight into stone: the oxalate-carbonate pathway in a tropical tree ecosystem, </w:t>
      </w:r>
      <w:proofErr w:type="spellStart"/>
      <w:r w:rsidRPr="00A51DF3">
        <w:t>Biogeosciences</w:t>
      </w:r>
      <w:proofErr w:type="spellEnd"/>
      <w:r w:rsidRPr="00A51DF3">
        <w:t>, 8, 1755–1767, https://doi.org/10.5194/bg-8-1755-2011, 2011.</w:t>
      </w:r>
    </w:p>
    <w:p w14:paraId="345C7B28" w14:textId="77777777" w:rsidR="00A51DF3" w:rsidRPr="00A51DF3" w:rsidRDefault="00A51DF3" w:rsidP="00A51DF3">
      <w:pPr>
        <w:pStyle w:val="Bibliographie"/>
      </w:pPr>
      <w:proofErr w:type="spellStart"/>
      <w:r w:rsidRPr="00A51DF3">
        <w:t>Cailleau</w:t>
      </w:r>
      <w:proofErr w:type="spellEnd"/>
      <w:r w:rsidRPr="00A51DF3">
        <w:t xml:space="preserve">, G., Mota, M., </w:t>
      </w:r>
      <w:proofErr w:type="spellStart"/>
      <w:r w:rsidRPr="00A51DF3">
        <w:t>Bindschedler</w:t>
      </w:r>
      <w:proofErr w:type="spellEnd"/>
      <w:r w:rsidRPr="00A51DF3">
        <w:t xml:space="preserve">, S., </w:t>
      </w:r>
      <w:proofErr w:type="spellStart"/>
      <w:r w:rsidRPr="00A51DF3">
        <w:t>Junier</w:t>
      </w:r>
      <w:proofErr w:type="spellEnd"/>
      <w:r w:rsidRPr="00A51DF3">
        <w:t>, P., and Verrecchia, E. P.: Detection of active oxalate-carbonate pathway ecosystems in the Amazon Basin: Global implications of a natural potential C sink, Catena, 116, 132–141, https://doi.org/10.1016/j.catena.2013.12.017, 2014.</w:t>
      </w:r>
    </w:p>
    <w:p w14:paraId="5AED6BCC" w14:textId="77777777" w:rsidR="00A51DF3" w:rsidRPr="00A51DF3" w:rsidRDefault="00A51DF3" w:rsidP="00A51DF3">
      <w:pPr>
        <w:pStyle w:val="Bibliographie"/>
      </w:pPr>
      <w:r w:rsidRPr="00A51DF3">
        <w:t>Callahan, B. J., McMurdie, P. J., Rosen, M. J., Han, A. W., Johnson, A. J. A., and Holmes, S. P.: DADA2: High resolution sample inference from Illumina amplicon data, Nat Methods, 13, 581–583, https://doi.org/10.1038/nmeth.3869, 2016.</w:t>
      </w:r>
    </w:p>
    <w:p w14:paraId="614D48C6" w14:textId="77777777" w:rsidR="00A51DF3" w:rsidRPr="00A51DF3" w:rsidRDefault="00A51DF3" w:rsidP="00A51DF3">
      <w:pPr>
        <w:pStyle w:val="Bibliographie"/>
      </w:pPr>
      <w:r w:rsidRPr="00A51DF3">
        <w:t xml:space="preserve">Chanda, S., </w:t>
      </w:r>
      <w:proofErr w:type="spellStart"/>
      <w:r w:rsidRPr="00A51DF3">
        <w:t>Nagani</w:t>
      </w:r>
      <w:proofErr w:type="spellEnd"/>
      <w:r w:rsidRPr="00A51DF3">
        <w:t xml:space="preserve">, K., and Parekh, J.: Assessment of quality of </w:t>
      </w:r>
      <w:r w:rsidRPr="00A51DF3">
        <w:rPr>
          <w:i/>
          <w:iCs/>
        </w:rPr>
        <w:t xml:space="preserve">Manilkara </w:t>
      </w:r>
      <w:proofErr w:type="spellStart"/>
      <w:r w:rsidRPr="00A51DF3">
        <w:rPr>
          <w:i/>
          <w:iCs/>
        </w:rPr>
        <w:t>hexandra</w:t>
      </w:r>
      <w:proofErr w:type="spellEnd"/>
      <w:r w:rsidRPr="00A51DF3">
        <w:t xml:space="preserve"> (</w:t>
      </w:r>
      <w:proofErr w:type="spellStart"/>
      <w:r w:rsidRPr="00A51DF3">
        <w:t>Roxb</w:t>
      </w:r>
      <w:proofErr w:type="spellEnd"/>
      <w:r w:rsidRPr="00A51DF3">
        <w:t>.) Dubard leaf (</w:t>
      </w:r>
      <w:proofErr w:type="spellStart"/>
      <w:r w:rsidRPr="00A51DF3">
        <w:t>Sapotaceae</w:t>
      </w:r>
      <w:proofErr w:type="spellEnd"/>
      <w:r w:rsidRPr="00A51DF3">
        <w:t xml:space="preserve">): </w:t>
      </w:r>
      <w:proofErr w:type="spellStart"/>
      <w:r w:rsidRPr="00A51DF3">
        <w:t>Pharmacognostical</w:t>
      </w:r>
      <w:proofErr w:type="spellEnd"/>
      <w:r w:rsidRPr="00A51DF3">
        <w:t xml:space="preserve"> and physicochemical profile, </w:t>
      </w:r>
      <w:proofErr w:type="spellStart"/>
      <w:r w:rsidRPr="00A51DF3">
        <w:t>Pharmacogn</w:t>
      </w:r>
      <w:proofErr w:type="spellEnd"/>
      <w:r w:rsidRPr="00A51DF3">
        <w:t>. J., 2, 520–524, https://doi.org/10.1016/S0975-3575(10)80054-9, 2010.</w:t>
      </w:r>
    </w:p>
    <w:p w14:paraId="6CEDC1B2" w14:textId="77777777" w:rsidR="00A51DF3" w:rsidRPr="00A51DF3" w:rsidRDefault="00A51DF3" w:rsidP="00A51DF3">
      <w:pPr>
        <w:pStyle w:val="Bibliographie"/>
      </w:pPr>
      <w:r w:rsidRPr="00A51DF3">
        <w:t xml:space="preserve">Clerc de </w:t>
      </w:r>
      <w:proofErr w:type="spellStart"/>
      <w:r w:rsidRPr="00A51DF3">
        <w:t>Sonarclens</w:t>
      </w:r>
      <w:proofErr w:type="spellEnd"/>
      <w:r w:rsidRPr="00A51DF3">
        <w:t xml:space="preserve">, M.: La </w:t>
      </w:r>
      <w:proofErr w:type="spellStart"/>
      <w:r w:rsidRPr="00A51DF3">
        <w:t>voie</w:t>
      </w:r>
      <w:proofErr w:type="spellEnd"/>
      <w:r w:rsidRPr="00A51DF3">
        <w:t xml:space="preserve"> oxalate-carbonate: le </w:t>
      </w:r>
      <w:proofErr w:type="spellStart"/>
      <w:r w:rsidRPr="00A51DF3">
        <w:t>cas</w:t>
      </w:r>
      <w:proofErr w:type="spellEnd"/>
      <w:r w:rsidRPr="00A51DF3">
        <w:t xml:space="preserve"> </w:t>
      </w:r>
      <w:proofErr w:type="spellStart"/>
      <w:r w:rsidRPr="00A51DF3">
        <w:t>indien</w:t>
      </w:r>
      <w:proofErr w:type="spellEnd"/>
      <w:r w:rsidRPr="00A51DF3">
        <w:t xml:space="preserve">, Master of Science in </w:t>
      </w:r>
      <w:proofErr w:type="spellStart"/>
      <w:r w:rsidRPr="00A51DF3">
        <w:t>Biogeosciences</w:t>
      </w:r>
      <w:proofErr w:type="spellEnd"/>
      <w:r w:rsidRPr="00A51DF3">
        <w:t>, University of Neuchâtel, 61 pp., 2011.</w:t>
      </w:r>
    </w:p>
    <w:p w14:paraId="782CCDD6" w14:textId="77777777" w:rsidR="00A51DF3" w:rsidRPr="00A51DF3" w:rsidRDefault="00A51DF3" w:rsidP="00A51DF3">
      <w:pPr>
        <w:pStyle w:val="Bibliographie"/>
      </w:pPr>
      <w:proofErr w:type="spellStart"/>
      <w:r w:rsidRPr="00A51DF3">
        <w:t>Dhale</w:t>
      </w:r>
      <w:proofErr w:type="spellEnd"/>
      <w:r w:rsidRPr="00A51DF3">
        <w:t xml:space="preserve">, D., </w:t>
      </w:r>
      <w:proofErr w:type="spellStart"/>
      <w:r w:rsidRPr="00A51DF3">
        <w:t>Chamle</w:t>
      </w:r>
      <w:proofErr w:type="spellEnd"/>
      <w:r w:rsidRPr="00A51DF3">
        <w:t xml:space="preserve">, D., and Panchal, V.: Evaluations of phytochemical constituents and antimicrobial activity of </w:t>
      </w:r>
      <w:r w:rsidRPr="00A51DF3">
        <w:rPr>
          <w:i/>
          <w:iCs/>
        </w:rPr>
        <w:t xml:space="preserve">Butea </w:t>
      </w:r>
      <w:proofErr w:type="spellStart"/>
      <w:r w:rsidRPr="00A51DF3">
        <w:rPr>
          <w:i/>
          <w:iCs/>
        </w:rPr>
        <w:t>monosperma</w:t>
      </w:r>
      <w:proofErr w:type="spellEnd"/>
      <w:r w:rsidRPr="00A51DF3">
        <w:t xml:space="preserve"> (Fabaceae), J. Phytol., 2, 17–21, 2010.</w:t>
      </w:r>
    </w:p>
    <w:p w14:paraId="69E17477" w14:textId="77777777" w:rsidR="00A51DF3" w:rsidRPr="00A51DF3" w:rsidRDefault="00A51DF3" w:rsidP="00A51DF3">
      <w:pPr>
        <w:pStyle w:val="Bibliographie"/>
      </w:pPr>
      <w:r w:rsidRPr="00A51DF3">
        <w:t xml:space="preserve">Ferro, K. I.: The impact of </w:t>
      </w:r>
      <w:proofErr w:type="spellStart"/>
      <w:r w:rsidRPr="00A51DF3">
        <w:t>oxalogenic</w:t>
      </w:r>
      <w:proofErr w:type="spellEnd"/>
      <w:r w:rsidRPr="00A51DF3">
        <w:t xml:space="preserve"> plants on soil carbon dynamics: formation of a millennium carbon storage as calcium carbonate, PhD thesis, University of Neuchâtel, 2012.</w:t>
      </w:r>
    </w:p>
    <w:p w14:paraId="093DDE76" w14:textId="77777777" w:rsidR="00A51DF3" w:rsidRPr="00A51DF3" w:rsidRDefault="00A51DF3" w:rsidP="00A51DF3">
      <w:pPr>
        <w:pStyle w:val="Bibliographie"/>
      </w:pPr>
      <w:r w:rsidRPr="00A51DF3">
        <w:t xml:space="preserve">Friday, E. T., James, O., Olusegun, O., and Gabriel, A.: Investigations on the nutritional and medicinal potentials of </w:t>
      </w:r>
      <w:r w:rsidRPr="00A51DF3">
        <w:rPr>
          <w:i/>
          <w:iCs/>
        </w:rPr>
        <w:t xml:space="preserve">Ceiba </w:t>
      </w:r>
      <w:proofErr w:type="spellStart"/>
      <w:r w:rsidRPr="00A51DF3">
        <w:rPr>
          <w:i/>
          <w:iCs/>
        </w:rPr>
        <w:t>pentandra</w:t>
      </w:r>
      <w:proofErr w:type="spellEnd"/>
      <w:r w:rsidRPr="00A51DF3">
        <w:t xml:space="preserve"> leaf: A common vegetable in Nigeria, Int. J. Plant Physiol. </w:t>
      </w:r>
      <w:proofErr w:type="spellStart"/>
      <w:r w:rsidRPr="00A51DF3">
        <w:t>Biochem</w:t>
      </w:r>
      <w:proofErr w:type="spellEnd"/>
      <w:r w:rsidRPr="00A51DF3">
        <w:t>., 3, 95–101, 2011.</w:t>
      </w:r>
    </w:p>
    <w:p w14:paraId="258C178E" w14:textId="77777777" w:rsidR="00A51DF3" w:rsidRPr="00A51DF3" w:rsidRDefault="00A51DF3" w:rsidP="00A51DF3">
      <w:pPr>
        <w:pStyle w:val="Bibliographie"/>
      </w:pPr>
      <w:r w:rsidRPr="00A51DF3">
        <w:t xml:space="preserve">Garvie, L. A.: Decay of cacti and carbon cycling, </w:t>
      </w:r>
      <w:proofErr w:type="spellStart"/>
      <w:r w:rsidRPr="00A51DF3">
        <w:t>Naturwiss</w:t>
      </w:r>
      <w:proofErr w:type="spellEnd"/>
      <w:r w:rsidRPr="00A51DF3">
        <w:t>., 93, 114–118, https://doi.org/10.1007/s00114-005-0069-7, 2006.</w:t>
      </w:r>
    </w:p>
    <w:p w14:paraId="0A706F64" w14:textId="77777777" w:rsidR="00A51DF3" w:rsidRPr="00A51DF3" w:rsidRDefault="00A51DF3" w:rsidP="00A51DF3">
      <w:pPr>
        <w:pStyle w:val="Bibliographie"/>
      </w:pPr>
      <w:r w:rsidRPr="00A51DF3">
        <w:t>Garvie, L. A. J.: Decay-induced biomineralization of the saguaro cactus (</w:t>
      </w:r>
      <w:r w:rsidRPr="00A51DF3">
        <w:rPr>
          <w:i/>
          <w:iCs/>
        </w:rPr>
        <w:t>Carnegiea gigantea</w:t>
      </w:r>
      <w:r w:rsidRPr="00A51DF3">
        <w:t>), Am. Mineral., 88, 1879–1888, https://doi.org/10.2138/am-2003-11-1231, 2003.</w:t>
      </w:r>
    </w:p>
    <w:p w14:paraId="166E09C6" w14:textId="77777777" w:rsidR="00A51DF3" w:rsidRPr="00A51DF3" w:rsidRDefault="00A51DF3" w:rsidP="00A51DF3">
      <w:pPr>
        <w:pStyle w:val="Bibliographie"/>
      </w:pPr>
      <w:r w:rsidRPr="00A51DF3">
        <w:lastRenderedPageBreak/>
        <w:t xml:space="preserve">Hervé, V., Clerc, M., </w:t>
      </w:r>
      <w:proofErr w:type="spellStart"/>
      <w:r w:rsidRPr="00A51DF3">
        <w:t>Cailleau</w:t>
      </w:r>
      <w:proofErr w:type="spellEnd"/>
      <w:r w:rsidRPr="00A51DF3">
        <w:t xml:space="preserve">, G., Bueche, M., </w:t>
      </w:r>
      <w:proofErr w:type="spellStart"/>
      <w:r w:rsidRPr="00A51DF3">
        <w:t>Junier</w:t>
      </w:r>
      <w:proofErr w:type="spellEnd"/>
      <w:r w:rsidRPr="00A51DF3">
        <w:t xml:space="preserve">, T., Verrecchia, E., and </w:t>
      </w:r>
      <w:proofErr w:type="spellStart"/>
      <w:r w:rsidRPr="00A51DF3">
        <w:t>Junier</w:t>
      </w:r>
      <w:proofErr w:type="spellEnd"/>
      <w:r w:rsidRPr="00A51DF3">
        <w:t xml:space="preserve">, P.: Carbonate accumulation in the bark of </w:t>
      </w:r>
      <w:r w:rsidRPr="00A51DF3">
        <w:rPr>
          <w:i/>
          <w:iCs/>
        </w:rPr>
        <w:t xml:space="preserve">Terminalia </w:t>
      </w:r>
      <w:proofErr w:type="spellStart"/>
      <w:r w:rsidRPr="00A51DF3">
        <w:rPr>
          <w:i/>
          <w:iCs/>
        </w:rPr>
        <w:t>bellirica</w:t>
      </w:r>
      <w:proofErr w:type="spellEnd"/>
      <w:r w:rsidRPr="00A51DF3">
        <w:t xml:space="preserve">: A new habitat for the oxalate-carbonate pathway, </w:t>
      </w:r>
      <w:proofErr w:type="spellStart"/>
      <w:r w:rsidRPr="00A51DF3">
        <w:t>Geomicrobiol</w:t>
      </w:r>
      <w:proofErr w:type="spellEnd"/>
      <w:r w:rsidRPr="00A51DF3">
        <w:t>. J., 35, 31–39, https://doi.org/10.1080/01490451.2017.1309087, 2018.</w:t>
      </w:r>
    </w:p>
    <w:p w14:paraId="1679BE7C" w14:textId="77777777" w:rsidR="00A51DF3" w:rsidRPr="00A51DF3" w:rsidRDefault="00A51DF3" w:rsidP="00A51DF3">
      <w:pPr>
        <w:pStyle w:val="Bibliographie"/>
      </w:pPr>
      <w:r w:rsidRPr="00A51DF3">
        <w:t xml:space="preserve">Ibrahim, J. A., Ayodele, E. A., Jegede, A. I., and Kunle, Y. F.: Comparative studies on </w:t>
      </w:r>
      <w:r w:rsidRPr="00A51DF3">
        <w:rPr>
          <w:i/>
          <w:iCs/>
        </w:rPr>
        <w:t>Khaya</w:t>
      </w:r>
      <w:r w:rsidRPr="00A51DF3">
        <w:t xml:space="preserve"> A. Juss (</w:t>
      </w:r>
      <w:proofErr w:type="spellStart"/>
      <w:r w:rsidRPr="00A51DF3">
        <w:t>Meliaceae</w:t>
      </w:r>
      <w:proofErr w:type="spellEnd"/>
      <w:r w:rsidRPr="00A51DF3">
        <w:t xml:space="preserve">) in Nigeria, Afr. J. </w:t>
      </w:r>
      <w:proofErr w:type="spellStart"/>
      <w:r w:rsidRPr="00A51DF3">
        <w:t>Biotechnol</w:t>
      </w:r>
      <w:proofErr w:type="spellEnd"/>
      <w:r w:rsidRPr="00A51DF3">
        <w:t>., 5, 1154–1160, 2006.</w:t>
      </w:r>
    </w:p>
    <w:p w14:paraId="578D4E72" w14:textId="77777777" w:rsidR="00A51DF3" w:rsidRPr="00A51DF3" w:rsidRDefault="00A51DF3" w:rsidP="00A51DF3">
      <w:pPr>
        <w:pStyle w:val="Bibliographie"/>
      </w:pPr>
      <w:r w:rsidRPr="00A51DF3">
        <w:t xml:space="preserve">Jadhav, V. M.: Herbal medicine: </w:t>
      </w:r>
      <w:proofErr w:type="spellStart"/>
      <w:r w:rsidRPr="00A51DF3">
        <w:rPr>
          <w:i/>
          <w:iCs/>
        </w:rPr>
        <w:t>Syzygium</w:t>
      </w:r>
      <w:proofErr w:type="spellEnd"/>
      <w:r w:rsidRPr="00A51DF3">
        <w:rPr>
          <w:i/>
          <w:iCs/>
        </w:rPr>
        <w:t xml:space="preserve"> </w:t>
      </w:r>
      <w:proofErr w:type="spellStart"/>
      <w:r w:rsidRPr="00A51DF3">
        <w:rPr>
          <w:i/>
          <w:iCs/>
        </w:rPr>
        <w:t>cumini</w:t>
      </w:r>
      <w:proofErr w:type="spellEnd"/>
      <w:r w:rsidRPr="00A51DF3">
        <w:t>: a review, J. Pharm. Res., 2, 1212–1219, 2009.</w:t>
      </w:r>
    </w:p>
    <w:p w14:paraId="63075C7B" w14:textId="77777777" w:rsidR="00A51DF3" w:rsidRPr="00A51DF3" w:rsidRDefault="00A51DF3" w:rsidP="00A51DF3">
      <w:pPr>
        <w:pStyle w:val="Bibliographie"/>
      </w:pPr>
      <w:r w:rsidRPr="00A51DF3">
        <w:t xml:space="preserve">Khalid, M., Akhtar, J., </w:t>
      </w:r>
      <w:proofErr w:type="spellStart"/>
      <w:r w:rsidRPr="00A51DF3">
        <w:t>Badruddeen</w:t>
      </w:r>
      <w:proofErr w:type="spellEnd"/>
      <w:r w:rsidRPr="00A51DF3">
        <w:t xml:space="preserve">, A. M., and Singh, K.: </w:t>
      </w:r>
      <w:proofErr w:type="spellStart"/>
      <w:r w:rsidRPr="00A51DF3">
        <w:t>Pharmacognostical</w:t>
      </w:r>
      <w:proofErr w:type="spellEnd"/>
      <w:r w:rsidRPr="00A51DF3">
        <w:t xml:space="preserve"> investigation and total phenolic content of </w:t>
      </w:r>
      <w:r w:rsidRPr="00A51DF3">
        <w:rPr>
          <w:i/>
          <w:iCs/>
        </w:rPr>
        <w:t>Dalbergia latifolia</w:t>
      </w:r>
      <w:r w:rsidRPr="00A51DF3">
        <w:t xml:space="preserve"> (</w:t>
      </w:r>
      <w:proofErr w:type="spellStart"/>
      <w:r w:rsidRPr="00A51DF3">
        <w:t>Roxb</w:t>
      </w:r>
      <w:proofErr w:type="spellEnd"/>
      <w:r w:rsidRPr="00A51DF3">
        <w:t xml:space="preserve">) bark, Int. J. </w:t>
      </w:r>
      <w:proofErr w:type="spellStart"/>
      <w:r w:rsidRPr="00A51DF3">
        <w:t>Pharmacogn</w:t>
      </w:r>
      <w:proofErr w:type="spellEnd"/>
      <w:r w:rsidRPr="00A51DF3">
        <w:t>., 2, 248–253, https://doi.org/10.13040/IJPSR.0975-8232.IJP.2(5).248-53, 2015.</w:t>
      </w:r>
    </w:p>
    <w:p w14:paraId="2C73B832" w14:textId="77777777" w:rsidR="00A51DF3" w:rsidRPr="00A51DF3" w:rsidRDefault="00A51DF3" w:rsidP="00A51DF3">
      <w:pPr>
        <w:pStyle w:val="Bibliographie"/>
      </w:pPr>
      <w:r w:rsidRPr="00A51DF3">
        <w:t xml:space="preserve">Linard, B., Swenson, K., and Pardi, F.: Rapid alignment-free phylogenetic identification of metagenomic sequences, </w:t>
      </w:r>
      <w:proofErr w:type="spellStart"/>
      <w:r w:rsidRPr="00A51DF3">
        <w:t>Bioinform</w:t>
      </w:r>
      <w:proofErr w:type="spellEnd"/>
      <w:r w:rsidRPr="00A51DF3">
        <w:t>., 35, 3303–3312, https://doi.org/10.1093/bioinformatics/btz068, 2019.</w:t>
      </w:r>
    </w:p>
    <w:p w14:paraId="6E6E2403" w14:textId="77777777" w:rsidR="00A51DF3" w:rsidRPr="00A51DF3" w:rsidRDefault="00A51DF3" w:rsidP="00A51DF3">
      <w:pPr>
        <w:pStyle w:val="Bibliographie"/>
      </w:pPr>
      <w:proofErr w:type="spellStart"/>
      <w:r w:rsidRPr="00A51DF3">
        <w:t>Loeppert</w:t>
      </w:r>
      <w:proofErr w:type="spellEnd"/>
      <w:r w:rsidRPr="00A51DF3">
        <w:t>, R. H. and Suarez, D. L.: Carbonate and gypsum, in: Methods of Soil Analysis, John Wiley &amp; Sons, Ltd, 437–474, https://doi.org/10.2136/sssabookser5.3.c15, 1996.</w:t>
      </w:r>
    </w:p>
    <w:p w14:paraId="12687CBB" w14:textId="77777777" w:rsidR="00A51DF3" w:rsidRPr="00A51DF3" w:rsidRDefault="00A51DF3" w:rsidP="00A51DF3">
      <w:pPr>
        <w:pStyle w:val="Bibliographie"/>
      </w:pPr>
      <w:proofErr w:type="spellStart"/>
      <w:r w:rsidRPr="00A51DF3">
        <w:t>Loeppert</w:t>
      </w:r>
      <w:proofErr w:type="spellEnd"/>
      <w:r w:rsidRPr="00A51DF3">
        <w:t>, R. H., Hallmark, C. T., and Koshy, M. M.: Routine procedure for rapid determination of soil carbonates, Soil Sci. Soc. Am. J., 48, 1030–1033, https://doi.org/10.2136/sssaj1984.03615995004800050016x, 1984.</w:t>
      </w:r>
    </w:p>
    <w:p w14:paraId="4D85CC4D" w14:textId="77777777" w:rsidR="00A51DF3" w:rsidRPr="00A51DF3" w:rsidRDefault="00A51DF3" w:rsidP="00A51DF3">
      <w:pPr>
        <w:pStyle w:val="Bibliographie"/>
      </w:pPr>
      <w:r w:rsidRPr="00A51DF3">
        <w:t xml:space="preserve">Malik, R. S., Dutt, D., Tyagi, C. H., Jindal, A. K., and </w:t>
      </w:r>
      <w:proofErr w:type="spellStart"/>
      <w:r w:rsidRPr="00A51DF3">
        <w:t>Lakharia</w:t>
      </w:r>
      <w:proofErr w:type="spellEnd"/>
      <w:r w:rsidRPr="00A51DF3">
        <w:t xml:space="preserve">, L. K.: Morphological, </w:t>
      </w:r>
      <w:proofErr w:type="gramStart"/>
      <w:r w:rsidRPr="00A51DF3">
        <w:t>anatomical</w:t>
      </w:r>
      <w:proofErr w:type="gramEnd"/>
      <w:r w:rsidRPr="00A51DF3">
        <w:t xml:space="preserve"> and chemical characteristics of </w:t>
      </w:r>
      <w:r w:rsidRPr="00A51DF3">
        <w:rPr>
          <w:i/>
          <w:iCs/>
        </w:rPr>
        <w:t xml:space="preserve">Leucaena </w:t>
      </w:r>
      <w:proofErr w:type="spellStart"/>
      <w:r w:rsidRPr="00A51DF3">
        <w:rPr>
          <w:i/>
          <w:iCs/>
        </w:rPr>
        <w:t>leucocephala</w:t>
      </w:r>
      <w:proofErr w:type="spellEnd"/>
      <w:r w:rsidRPr="00A51DF3">
        <w:t xml:space="preserve"> and its impact on pulp and paper making properties, J. Sci. Ind. Res., 63, 125–133, 2004.</w:t>
      </w:r>
    </w:p>
    <w:p w14:paraId="20FB92EC" w14:textId="77777777" w:rsidR="00A51DF3" w:rsidRPr="00A51DF3" w:rsidRDefault="00A51DF3" w:rsidP="00A51DF3">
      <w:pPr>
        <w:pStyle w:val="Bibliographie"/>
      </w:pPr>
      <w:r w:rsidRPr="00A51DF3">
        <w:t xml:space="preserve">McMurdie, P. J. and Holmes, S.: </w:t>
      </w:r>
      <w:proofErr w:type="spellStart"/>
      <w:r w:rsidRPr="00A51DF3">
        <w:t>phyloseq</w:t>
      </w:r>
      <w:proofErr w:type="spellEnd"/>
      <w:r w:rsidRPr="00A51DF3">
        <w:t xml:space="preserve">: An R package for reproducible interactive analysis and graphics of microbiome census data, </w:t>
      </w:r>
      <w:proofErr w:type="spellStart"/>
      <w:r w:rsidRPr="00A51DF3">
        <w:t>PloS</w:t>
      </w:r>
      <w:proofErr w:type="spellEnd"/>
      <w:r w:rsidRPr="00A51DF3">
        <w:t xml:space="preserve"> One, 8, 1–11, https://doi.org/10.1371/journal.pone.0061217, 2013.</w:t>
      </w:r>
    </w:p>
    <w:p w14:paraId="6E401F41" w14:textId="77777777" w:rsidR="00A51DF3" w:rsidRPr="00A51DF3" w:rsidRDefault="00A51DF3" w:rsidP="00A51DF3">
      <w:pPr>
        <w:pStyle w:val="Bibliographie"/>
      </w:pPr>
      <w:r w:rsidRPr="00A51DF3">
        <w:t xml:space="preserve">Minh, B. Q., Schmidt, H. A., </w:t>
      </w:r>
      <w:proofErr w:type="spellStart"/>
      <w:r w:rsidRPr="00A51DF3">
        <w:t>Chernomor</w:t>
      </w:r>
      <w:proofErr w:type="spellEnd"/>
      <w:r w:rsidRPr="00A51DF3">
        <w:t xml:space="preserve">, O., Schrempf, D., Woodhams, M. D., von Haeseler, A., and Lanfear, R.: IQ-TREE 2: New Models and Efficient methods for phylogenetic inference in the genomic era, Mol. Biol. </w:t>
      </w:r>
      <w:proofErr w:type="spellStart"/>
      <w:r w:rsidRPr="00A51DF3">
        <w:t>Evol</w:t>
      </w:r>
      <w:proofErr w:type="spellEnd"/>
      <w:r w:rsidRPr="00A51DF3">
        <w:t>., 37, 1530–1534, https://doi.org/10.1093/molbev/msaa015, 2020.</w:t>
      </w:r>
    </w:p>
    <w:p w14:paraId="2CFBF14F" w14:textId="77777777" w:rsidR="00A51DF3" w:rsidRPr="00A51DF3" w:rsidRDefault="00A51DF3" w:rsidP="00A51DF3">
      <w:pPr>
        <w:pStyle w:val="Bibliographie"/>
      </w:pPr>
      <w:r w:rsidRPr="00A51DF3">
        <w:t xml:space="preserve">Özkurt, E., Fritscher, J., </w:t>
      </w:r>
      <w:proofErr w:type="spellStart"/>
      <w:r w:rsidRPr="00A51DF3">
        <w:t>Soranzo</w:t>
      </w:r>
      <w:proofErr w:type="spellEnd"/>
      <w:r w:rsidRPr="00A51DF3">
        <w:t>, N., Ng, D. Y. K., Davey, R. P., Bahram, M., and Hildebrand, F.: LotuS2: an ultrafast and highly accurate tool for amplicon sequencing analysis, Microbiome, 10, 1–14, https://doi.org/10.1186/s40168-022-01365-1, 2022.</w:t>
      </w:r>
    </w:p>
    <w:p w14:paraId="58651E5E" w14:textId="77777777" w:rsidR="00A51DF3" w:rsidRPr="00A51DF3" w:rsidRDefault="00A51DF3" w:rsidP="00A51DF3">
      <w:pPr>
        <w:pStyle w:val="Bibliographie"/>
      </w:pPr>
      <w:proofErr w:type="spellStart"/>
      <w:r w:rsidRPr="00A51DF3">
        <w:t>Paarakh</w:t>
      </w:r>
      <w:proofErr w:type="spellEnd"/>
      <w:r w:rsidRPr="00A51DF3">
        <w:t xml:space="preserve">, P. M.: </w:t>
      </w:r>
      <w:r w:rsidRPr="00A51DF3">
        <w:rPr>
          <w:i/>
          <w:iCs/>
        </w:rPr>
        <w:t xml:space="preserve">Ficus </w:t>
      </w:r>
      <w:proofErr w:type="spellStart"/>
      <w:r w:rsidRPr="00A51DF3">
        <w:rPr>
          <w:i/>
          <w:iCs/>
        </w:rPr>
        <w:t>racemosa</w:t>
      </w:r>
      <w:proofErr w:type="spellEnd"/>
      <w:r w:rsidRPr="00A51DF3">
        <w:t xml:space="preserve"> Linn. - An overview, Int. Res. J. Modern. Eng. Technol. Sci., 8, 2943–2952, https://doi.org/10.56726/IRJMETS47797, 2009.</w:t>
      </w:r>
    </w:p>
    <w:p w14:paraId="3A4ADE9B" w14:textId="77777777" w:rsidR="00A51DF3" w:rsidRPr="00A51DF3" w:rsidRDefault="00A51DF3" w:rsidP="00A51DF3">
      <w:pPr>
        <w:pStyle w:val="Bibliographie"/>
      </w:pPr>
      <w:r w:rsidRPr="00A51DF3">
        <w:t xml:space="preserve">Pande, J., </w:t>
      </w:r>
      <w:proofErr w:type="spellStart"/>
      <w:r w:rsidRPr="00A51DF3">
        <w:t>Padalia</w:t>
      </w:r>
      <w:proofErr w:type="spellEnd"/>
      <w:r w:rsidRPr="00A51DF3">
        <w:t xml:space="preserve">, H., Donga, S., and Chanda, S.: Development of quality control parameters for the standardization of </w:t>
      </w:r>
      <w:r w:rsidRPr="00A51DF3">
        <w:rPr>
          <w:i/>
          <w:iCs/>
        </w:rPr>
        <w:t xml:space="preserve">Aegle </w:t>
      </w:r>
      <w:proofErr w:type="spellStart"/>
      <w:r w:rsidRPr="00A51DF3">
        <w:rPr>
          <w:i/>
          <w:iCs/>
        </w:rPr>
        <w:t>marmelos</w:t>
      </w:r>
      <w:proofErr w:type="spellEnd"/>
      <w:r w:rsidRPr="00A51DF3">
        <w:t xml:space="preserve"> (</w:t>
      </w:r>
      <w:proofErr w:type="spellStart"/>
      <w:r w:rsidRPr="00A51DF3">
        <w:t>Roxb</w:t>
      </w:r>
      <w:proofErr w:type="spellEnd"/>
      <w:r w:rsidRPr="00A51DF3">
        <w:t>) seed, IJPSR, 9, 2387–2394, https://doi.org/10.13040/IJPSR.0975-8232.9(6).2387-94, 2018.</w:t>
      </w:r>
    </w:p>
    <w:p w14:paraId="654AADB5" w14:textId="77777777" w:rsidR="00A51DF3" w:rsidRPr="00A51DF3" w:rsidRDefault="00A51DF3" w:rsidP="00A51DF3">
      <w:pPr>
        <w:pStyle w:val="Bibliographie"/>
      </w:pPr>
      <w:r w:rsidRPr="00A51DF3">
        <w:t xml:space="preserve">Pierantoni, M., Tenne, R., Rephael, B., </w:t>
      </w:r>
      <w:proofErr w:type="spellStart"/>
      <w:r w:rsidRPr="00A51DF3">
        <w:t>Brumfeld</w:t>
      </w:r>
      <w:proofErr w:type="spellEnd"/>
      <w:r w:rsidRPr="00A51DF3">
        <w:t xml:space="preserve">, V., </w:t>
      </w:r>
      <w:proofErr w:type="spellStart"/>
      <w:r w:rsidRPr="00A51DF3">
        <w:t>Casteren</w:t>
      </w:r>
      <w:proofErr w:type="spellEnd"/>
      <w:r w:rsidRPr="00A51DF3">
        <w:t xml:space="preserve">, A. van, </w:t>
      </w:r>
      <w:proofErr w:type="spellStart"/>
      <w:r w:rsidRPr="00A51DF3">
        <w:t>Kupczik</w:t>
      </w:r>
      <w:proofErr w:type="spellEnd"/>
      <w:r w:rsidRPr="00A51DF3">
        <w:t xml:space="preserve">, K., Oron, D., </w:t>
      </w:r>
      <w:proofErr w:type="spellStart"/>
      <w:r w:rsidRPr="00A51DF3">
        <w:t>Addadi</w:t>
      </w:r>
      <w:proofErr w:type="spellEnd"/>
      <w:r w:rsidRPr="00A51DF3">
        <w:t xml:space="preserve">, L., and Weiner, S.: Mineral deposits in </w:t>
      </w:r>
      <w:r w:rsidRPr="00A51DF3">
        <w:rPr>
          <w:i/>
          <w:iCs/>
        </w:rPr>
        <w:t>Ficus</w:t>
      </w:r>
      <w:r w:rsidRPr="00A51DF3">
        <w:t xml:space="preserve"> leaves: morphologies and locations in relation to function, Plant Physiol., 176, 1751–1763, https://doi.org/10.1104/pp.17.01516, 2018.</w:t>
      </w:r>
    </w:p>
    <w:p w14:paraId="7CF6EAF1" w14:textId="77777777" w:rsidR="00A51DF3" w:rsidRPr="00A51DF3" w:rsidRDefault="00A51DF3" w:rsidP="00A51DF3">
      <w:pPr>
        <w:pStyle w:val="Bibliographie"/>
      </w:pPr>
      <w:r w:rsidRPr="00A51DF3">
        <w:t xml:space="preserve">Pons, S., </w:t>
      </w:r>
      <w:proofErr w:type="spellStart"/>
      <w:r w:rsidRPr="00A51DF3">
        <w:t>Bindschedler</w:t>
      </w:r>
      <w:proofErr w:type="spellEnd"/>
      <w:r w:rsidRPr="00A51DF3">
        <w:t xml:space="preserve">, S., Sebag, D., </w:t>
      </w:r>
      <w:proofErr w:type="spellStart"/>
      <w:r w:rsidRPr="00A51DF3">
        <w:t>Junier</w:t>
      </w:r>
      <w:proofErr w:type="spellEnd"/>
      <w:r w:rsidRPr="00A51DF3">
        <w:t xml:space="preserve">, P., Verrecchia, E., and </w:t>
      </w:r>
      <w:proofErr w:type="spellStart"/>
      <w:r w:rsidRPr="00A51DF3">
        <w:t>Cailleau</w:t>
      </w:r>
      <w:proofErr w:type="spellEnd"/>
      <w:r w:rsidRPr="00A51DF3">
        <w:t xml:space="preserve">, G.: </w:t>
      </w:r>
      <w:proofErr w:type="spellStart"/>
      <w:r w:rsidRPr="00A51DF3">
        <w:t>Biocontrolled</w:t>
      </w:r>
      <w:proofErr w:type="spellEnd"/>
      <w:r w:rsidRPr="00A51DF3">
        <w:t xml:space="preserve"> soil nutrient distribution under the influence of an </w:t>
      </w:r>
      <w:proofErr w:type="spellStart"/>
      <w:r w:rsidRPr="00A51DF3">
        <w:t>oxalogenic-oxalotrophic</w:t>
      </w:r>
      <w:proofErr w:type="spellEnd"/>
      <w:r w:rsidRPr="00A51DF3">
        <w:t xml:space="preserve"> ecosystem, Plant Soil, 425, 145–160, https://doi.org/10.1007/s11104-018-3573-1, 2018.</w:t>
      </w:r>
    </w:p>
    <w:p w14:paraId="27A018DD" w14:textId="77777777" w:rsidR="00A51DF3" w:rsidRPr="00A51DF3" w:rsidRDefault="00A51DF3" w:rsidP="00A51DF3">
      <w:pPr>
        <w:pStyle w:val="Bibliographie"/>
        <w:rPr>
          <w:lang w:val="fr-CH"/>
        </w:rPr>
      </w:pPr>
      <w:r w:rsidRPr="00A51DF3">
        <w:t xml:space="preserve">Prakash, O., Srivastava, R., Kumar, R., Mishra, S., and Srivastava, S.: Preliminary </w:t>
      </w:r>
      <w:proofErr w:type="spellStart"/>
      <w:r w:rsidRPr="00A51DF3">
        <w:t>pharmacognostic</w:t>
      </w:r>
      <w:proofErr w:type="spellEnd"/>
      <w:r w:rsidRPr="00A51DF3">
        <w:t xml:space="preserve"> and phytochemical studies on leaves of </w:t>
      </w:r>
      <w:r w:rsidRPr="00A51DF3">
        <w:rPr>
          <w:i/>
          <w:iCs/>
        </w:rPr>
        <w:t>Artocarpus heterophyllus</w:t>
      </w:r>
      <w:r w:rsidRPr="00A51DF3">
        <w:t xml:space="preserve">, Int J. Nat. </w:t>
      </w:r>
      <w:r w:rsidRPr="00A51DF3">
        <w:rPr>
          <w:lang w:val="fr-CH"/>
        </w:rPr>
        <w:t>Prod Mar Bio, 1, 35–40, 2015.</w:t>
      </w:r>
    </w:p>
    <w:p w14:paraId="43E68CC2" w14:textId="77777777" w:rsidR="00A51DF3" w:rsidRPr="00A51DF3" w:rsidRDefault="00A51DF3" w:rsidP="00A51DF3">
      <w:pPr>
        <w:pStyle w:val="Bibliographie"/>
        <w:rPr>
          <w:lang w:val="fr-CH"/>
        </w:rPr>
      </w:pPr>
      <w:proofErr w:type="spellStart"/>
      <w:r w:rsidRPr="00A51DF3">
        <w:rPr>
          <w:lang w:val="fr-CH"/>
        </w:rPr>
        <w:t>Randevoson</w:t>
      </w:r>
      <w:proofErr w:type="spellEnd"/>
      <w:r w:rsidRPr="00A51DF3">
        <w:rPr>
          <w:lang w:val="fr-CH"/>
        </w:rPr>
        <w:t xml:space="preserve">, M. </w:t>
      </w:r>
      <w:proofErr w:type="gramStart"/>
      <w:r w:rsidRPr="00A51DF3">
        <w:rPr>
          <w:lang w:val="fr-CH"/>
        </w:rPr>
        <w:t>F.:</w:t>
      </w:r>
      <w:proofErr w:type="gramEnd"/>
      <w:r w:rsidRPr="00A51DF3">
        <w:rPr>
          <w:lang w:val="fr-CH"/>
        </w:rPr>
        <w:t xml:space="preserve"> Impacts de la voie oxalate-carbonate sur les caractéristiques édaphiques et organiques des sols forestiers tropicaux (Forêt de </w:t>
      </w:r>
      <w:proofErr w:type="spellStart"/>
      <w:r w:rsidRPr="00A51DF3">
        <w:rPr>
          <w:lang w:val="fr-CH"/>
        </w:rPr>
        <w:t>Kirindy</w:t>
      </w:r>
      <w:proofErr w:type="spellEnd"/>
      <w:r w:rsidRPr="00A51DF3">
        <w:rPr>
          <w:lang w:val="fr-CH"/>
        </w:rPr>
        <w:t xml:space="preserve">, Madagascar), PhD </w:t>
      </w:r>
      <w:proofErr w:type="spellStart"/>
      <w:r w:rsidRPr="00A51DF3">
        <w:rPr>
          <w:lang w:val="fr-CH"/>
        </w:rPr>
        <w:t>thesis</w:t>
      </w:r>
      <w:proofErr w:type="spellEnd"/>
      <w:r w:rsidRPr="00A51DF3">
        <w:rPr>
          <w:lang w:val="fr-CH"/>
        </w:rPr>
        <w:t xml:space="preserve">, </w:t>
      </w:r>
      <w:proofErr w:type="spellStart"/>
      <w:r w:rsidRPr="00A51DF3">
        <w:rPr>
          <w:lang w:val="fr-CH"/>
        </w:rPr>
        <w:t>University</w:t>
      </w:r>
      <w:proofErr w:type="spellEnd"/>
      <w:r w:rsidRPr="00A51DF3">
        <w:rPr>
          <w:lang w:val="fr-CH"/>
        </w:rPr>
        <w:t xml:space="preserve"> of Lausanne, 2019.</w:t>
      </w:r>
    </w:p>
    <w:p w14:paraId="7EB2CA56" w14:textId="77777777" w:rsidR="00A51DF3" w:rsidRPr="00A51DF3" w:rsidRDefault="00A51DF3" w:rsidP="00A51DF3">
      <w:pPr>
        <w:pStyle w:val="Bibliographie"/>
      </w:pPr>
      <w:r w:rsidRPr="00A51DF3">
        <w:lastRenderedPageBreak/>
        <w:t xml:space="preserve">Revell, L. J.: </w:t>
      </w:r>
      <w:proofErr w:type="spellStart"/>
      <w:r w:rsidRPr="00A51DF3">
        <w:t>phytools</w:t>
      </w:r>
      <w:proofErr w:type="spellEnd"/>
      <w:r w:rsidRPr="00A51DF3">
        <w:t xml:space="preserve"> 2.0: an updated R ecosystem for phylogenetic comparative methods (and other things), </w:t>
      </w:r>
      <w:proofErr w:type="spellStart"/>
      <w:r w:rsidRPr="00A51DF3">
        <w:t>PeerJ</w:t>
      </w:r>
      <w:proofErr w:type="spellEnd"/>
      <w:r w:rsidRPr="00A51DF3">
        <w:t>, 12, 1–75, https://doi.org/10.7717/peerj.16505, 2024.</w:t>
      </w:r>
    </w:p>
    <w:p w14:paraId="2C09399B" w14:textId="77777777" w:rsidR="00A51DF3" w:rsidRPr="00A51DF3" w:rsidRDefault="00A51DF3" w:rsidP="00A51DF3">
      <w:pPr>
        <w:pStyle w:val="Bibliographie"/>
      </w:pPr>
      <w:r w:rsidRPr="00A51DF3">
        <w:t xml:space="preserve">Rice, P., Longden, I., and Bleasby, A.: EMBOSS: the </w:t>
      </w:r>
      <w:proofErr w:type="spellStart"/>
      <w:r w:rsidRPr="00A51DF3">
        <w:t>european</w:t>
      </w:r>
      <w:proofErr w:type="spellEnd"/>
      <w:r w:rsidRPr="00A51DF3">
        <w:t xml:space="preserve"> molecular biology open software suite, Trends Genet., 16, 276–277, https://doi.org/10.1016/s0168-9525(00)02024-2, 2000.</w:t>
      </w:r>
    </w:p>
    <w:p w14:paraId="78F3CC97" w14:textId="77777777" w:rsidR="00A51DF3" w:rsidRPr="00A51DF3" w:rsidRDefault="00A51DF3" w:rsidP="00A51DF3">
      <w:pPr>
        <w:pStyle w:val="Bibliographie"/>
      </w:pPr>
      <w:r w:rsidRPr="00A51DF3">
        <w:t xml:space="preserve">Rowley, M. C., Estrada-Medina, H., </w:t>
      </w:r>
      <w:proofErr w:type="spellStart"/>
      <w:r w:rsidRPr="00A51DF3">
        <w:t>Tzec</w:t>
      </w:r>
      <w:proofErr w:type="spellEnd"/>
      <w:r w:rsidRPr="00A51DF3">
        <w:t xml:space="preserve">-Gamboa, M., Rozin, A., </w:t>
      </w:r>
      <w:proofErr w:type="spellStart"/>
      <w:r w:rsidRPr="00A51DF3">
        <w:t>Cailleau</w:t>
      </w:r>
      <w:proofErr w:type="spellEnd"/>
      <w:r w:rsidRPr="00A51DF3">
        <w:t xml:space="preserve">, G., Verrecchia, E. P., and Green, I.: Moving carbon between spheres, the potential oxalate-carbonate pathway of </w:t>
      </w:r>
      <w:r w:rsidRPr="00A51DF3">
        <w:rPr>
          <w:i/>
          <w:iCs/>
        </w:rPr>
        <w:t xml:space="preserve">Brosimum </w:t>
      </w:r>
      <w:proofErr w:type="spellStart"/>
      <w:r w:rsidRPr="00A51DF3">
        <w:rPr>
          <w:i/>
          <w:iCs/>
        </w:rPr>
        <w:t>alicastrum</w:t>
      </w:r>
      <w:proofErr w:type="spellEnd"/>
      <w:r w:rsidRPr="00A51DF3">
        <w:t xml:space="preserve"> Sw.; </w:t>
      </w:r>
      <w:proofErr w:type="spellStart"/>
      <w:r w:rsidRPr="00A51DF3">
        <w:t>Moraceae</w:t>
      </w:r>
      <w:proofErr w:type="spellEnd"/>
      <w:r w:rsidRPr="00A51DF3">
        <w:t>, Plant Soil, 412, 465–479, https://doi.org/10.1007/s11104-016-3135-3, 2017.</w:t>
      </w:r>
    </w:p>
    <w:p w14:paraId="3BFCC287" w14:textId="77777777" w:rsidR="00A51DF3" w:rsidRPr="00A51DF3" w:rsidRDefault="00A51DF3" w:rsidP="00A51DF3">
      <w:pPr>
        <w:pStyle w:val="Bibliographie"/>
      </w:pPr>
      <w:r w:rsidRPr="00A51DF3">
        <w:t xml:space="preserve">Rowley, M. C., Grand, S., Adatte, T., and Verrecchia, E. P.: A cascading influence of calcium carbonate on the biogeochemistry and pedogenic trajectories of subalpine soils, Switzerland, </w:t>
      </w:r>
      <w:proofErr w:type="spellStart"/>
      <w:r w:rsidRPr="00A51DF3">
        <w:t>Geoderma</w:t>
      </w:r>
      <w:proofErr w:type="spellEnd"/>
      <w:r w:rsidRPr="00A51DF3">
        <w:t>, 361, 1–12, https://doi.org/10.1016/j.geoderma.2019.114065, 2020.</w:t>
      </w:r>
    </w:p>
    <w:p w14:paraId="6ABF90AE" w14:textId="77777777" w:rsidR="00A51DF3" w:rsidRPr="00A51DF3" w:rsidRDefault="00A51DF3" w:rsidP="00A51DF3">
      <w:pPr>
        <w:pStyle w:val="Bibliographie"/>
      </w:pPr>
      <w:r w:rsidRPr="00A51DF3">
        <w:t xml:space="preserve">Sahri, M. H., Ibrahim, F. H., and Shukor, N. A. A.: Anatomy of </w:t>
      </w:r>
      <w:r w:rsidRPr="00A51DF3">
        <w:rPr>
          <w:i/>
          <w:iCs/>
        </w:rPr>
        <w:t xml:space="preserve">Acacia </w:t>
      </w:r>
      <w:proofErr w:type="spellStart"/>
      <w:r w:rsidRPr="00A51DF3">
        <w:rPr>
          <w:i/>
          <w:iCs/>
        </w:rPr>
        <w:t>mangium</w:t>
      </w:r>
      <w:proofErr w:type="spellEnd"/>
      <w:r w:rsidRPr="00A51DF3">
        <w:t xml:space="preserve"> grown in Malaysia, IAWA J., 14, 245–251, https://doi.org/10.1163/22941932-90001326, 1993.</w:t>
      </w:r>
    </w:p>
    <w:p w14:paraId="521E42AB" w14:textId="77777777" w:rsidR="00A51DF3" w:rsidRPr="00A51DF3" w:rsidRDefault="00A51DF3" w:rsidP="00A51DF3">
      <w:pPr>
        <w:pStyle w:val="Bibliographie"/>
      </w:pPr>
      <w:proofErr w:type="spellStart"/>
      <w:r w:rsidRPr="00A51DF3">
        <w:t>Sharawy</w:t>
      </w:r>
      <w:proofErr w:type="spellEnd"/>
      <w:r w:rsidRPr="00A51DF3">
        <w:t xml:space="preserve">, S. M.: Numerical taxonomic evaluation of calcium oxalate and calcium carbonate crystals in the leaves of certain </w:t>
      </w:r>
      <w:r w:rsidRPr="00A51DF3">
        <w:rPr>
          <w:i/>
          <w:iCs/>
        </w:rPr>
        <w:t>Ficus</w:t>
      </w:r>
      <w:r w:rsidRPr="00A51DF3">
        <w:t xml:space="preserve"> species (</w:t>
      </w:r>
      <w:proofErr w:type="spellStart"/>
      <w:r w:rsidRPr="00A51DF3">
        <w:t>Moraceae</w:t>
      </w:r>
      <w:proofErr w:type="spellEnd"/>
      <w:r w:rsidRPr="00A51DF3">
        <w:t xml:space="preserve">), Feddes </w:t>
      </w:r>
      <w:proofErr w:type="spellStart"/>
      <w:r w:rsidRPr="00A51DF3">
        <w:t>Repert</w:t>
      </w:r>
      <w:proofErr w:type="spellEnd"/>
      <w:r w:rsidRPr="00A51DF3">
        <w:t>., 115, 441–452, https://doi.org/10.1002/fedr.200411046, 2004.</w:t>
      </w:r>
    </w:p>
    <w:p w14:paraId="6DF083B1" w14:textId="77777777" w:rsidR="00A51DF3" w:rsidRPr="00A51DF3" w:rsidRDefault="00A51DF3" w:rsidP="00A51DF3">
      <w:pPr>
        <w:pStyle w:val="Bibliographie"/>
      </w:pPr>
      <w:r w:rsidRPr="00A51DF3">
        <w:t xml:space="preserve">Sharma, N., Singh, S., and Singh, S. K.: </w:t>
      </w:r>
      <w:proofErr w:type="spellStart"/>
      <w:r w:rsidRPr="00A51DF3">
        <w:t>Pharmacognostical</w:t>
      </w:r>
      <w:proofErr w:type="spellEnd"/>
      <w:r w:rsidRPr="00A51DF3">
        <w:t xml:space="preserve"> standardization and preliminary phytochemical investigations on Acacia </w:t>
      </w:r>
      <w:proofErr w:type="spellStart"/>
      <w:r w:rsidRPr="00A51DF3">
        <w:t>auriculiformis</w:t>
      </w:r>
      <w:proofErr w:type="spellEnd"/>
      <w:r w:rsidRPr="00A51DF3">
        <w:t xml:space="preserve"> A. </w:t>
      </w:r>
      <w:proofErr w:type="spellStart"/>
      <w:r w:rsidRPr="00A51DF3">
        <w:t>Cunn</w:t>
      </w:r>
      <w:proofErr w:type="spellEnd"/>
      <w:r w:rsidRPr="00A51DF3">
        <w:t>. Ex. Benth stem bark, Journal of Medicinal Plants, 5, 398–402, 2017.</w:t>
      </w:r>
    </w:p>
    <w:p w14:paraId="3EF91AE2" w14:textId="77777777" w:rsidR="00A51DF3" w:rsidRPr="00A51DF3" w:rsidRDefault="00A51DF3" w:rsidP="00A51DF3">
      <w:pPr>
        <w:pStyle w:val="Bibliographie"/>
      </w:pPr>
      <w:r w:rsidRPr="00A51DF3">
        <w:t xml:space="preserve">Srivastava, N., Prakash, D., and Behl, H. M.: Biochemical contents, their </w:t>
      </w:r>
      <w:proofErr w:type="gramStart"/>
      <w:r w:rsidRPr="00A51DF3">
        <w:t>variation</w:t>
      </w:r>
      <w:proofErr w:type="gramEnd"/>
      <w:r w:rsidRPr="00A51DF3">
        <w:t xml:space="preserve"> and changes in free amino acids during seed germination in </w:t>
      </w:r>
      <w:r w:rsidRPr="00A51DF3">
        <w:rPr>
          <w:i/>
          <w:iCs/>
        </w:rPr>
        <w:t>Terminalia arjuna</w:t>
      </w:r>
      <w:r w:rsidRPr="00A51DF3">
        <w:t xml:space="preserve">, Int. J. Food Sci. </w:t>
      </w:r>
      <w:proofErr w:type="spellStart"/>
      <w:r w:rsidRPr="00A51DF3">
        <w:t>Nutr</w:t>
      </w:r>
      <w:proofErr w:type="spellEnd"/>
      <w:r w:rsidRPr="00A51DF3">
        <w:t>., 48, 215–219, https://doi.org/10.3109/09637489709012595, 1997.</w:t>
      </w:r>
    </w:p>
    <w:p w14:paraId="7589140F" w14:textId="77777777" w:rsidR="00A51DF3" w:rsidRPr="00A51DF3" w:rsidRDefault="00A51DF3" w:rsidP="00A51DF3">
      <w:pPr>
        <w:pStyle w:val="Bibliographie"/>
      </w:pPr>
      <w:r w:rsidRPr="00A51DF3">
        <w:t xml:space="preserve">Steinmann, O.: </w:t>
      </w:r>
      <w:proofErr w:type="spellStart"/>
      <w:r w:rsidRPr="00A51DF3">
        <w:t>Enquête</w:t>
      </w:r>
      <w:proofErr w:type="spellEnd"/>
      <w:r w:rsidRPr="00A51DF3">
        <w:t xml:space="preserve"> </w:t>
      </w:r>
      <w:proofErr w:type="spellStart"/>
      <w:r w:rsidRPr="00A51DF3">
        <w:t>exploratoire</w:t>
      </w:r>
      <w:proofErr w:type="spellEnd"/>
      <w:r w:rsidRPr="00A51DF3">
        <w:t xml:space="preserve"> de la </w:t>
      </w:r>
      <w:proofErr w:type="spellStart"/>
      <w:r w:rsidRPr="00A51DF3">
        <w:t>voie</w:t>
      </w:r>
      <w:proofErr w:type="spellEnd"/>
      <w:r w:rsidRPr="00A51DF3">
        <w:t xml:space="preserve"> oxalate-carbonate </w:t>
      </w:r>
      <w:proofErr w:type="spellStart"/>
      <w:r w:rsidRPr="00A51DF3">
        <w:t>en</w:t>
      </w:r>
      <w:proofErr w:type="spellEnd"/>
      <w:r w:rsidRPr="00A51DF3">
        <w:t xml:space="preserve"> milieu </w:t>
      </w:r>
      <w:proofErr w:type="spellStart"/>
      <w:r w:rsidRPr="00A51DF3">
        <w:t>karstique</w:t>
      </w:r>
      <w:proofErr w:type="spellEnd"/>
      <w:r w:rsidRPr="00A51DF3">
        <w:t xml:space="preserve"> et </w:t>
      </w:r>
      <w:proofErr w:type="spellStart"/>
      <w:r w:rsidRPr="00A51DF3">
        <w:t>agroforesterie</w:t>
      </w:r>
      <w:proofErr w:type="spellEnd"/>
      <w:r w:rsidRPr="00A51DF3">
        <w:t xml:space="preserve"> </w:t>
      </w:r>
      <w:proofErr w:type="spellStart"/>
      <w:r w:rsidRPr="00A51DF3">
        <w:t>tropicale</w:t>
      </w:r>
      <w:proofErr w:type="spellEnd"/>
      <w:r w:rsidRPr="00A51DF3">
        <w:t xml:space="preserve">, Yucatan, </w:t>
      </w:r>
      <w:proofErr w:type="spellStart"/>
      <w:r w:rsidRPr="00A51DF3">
        <w:t>Mexique</w:t>
      </w:r>
      <w:proofErr w:type="spellEnd"/>
      <w:r w:rsidRPr="00A51DF3">
        <w:t xml:space="preserve">, Master of Science in </w:t>
      </w:r>
      <w:proofErr w:type="spellStart"/>
      <w:r w:rsidRPr="00A51DF3">
        <w:t>Biogeosciences</w:t>
      </w:r>
      <w:proofErr w:type="spellEnd"/>
      <w:r w:rsidRPr="00A51DF3">
        <w:t>, University of Lausanne, Institute of Earth Surface Dynamics, 2020.</w:t>
      </w:r>
    </w:p>
    <w:p w14:paraId="26D379FD" w14:textId="77777777" w:rsidR="00A51DF3" w:rsidRPr="00A51DF3" w:rsidRDefault="00A51DF3" w:rsidP="00A51DF3">
      <w:pPr>
        <w:pStyle w:val="Bibliographie"/>
      </w:pPr>
      <w:r w:rsidRPr="00A51DF3">
        <w:t xml:space="preserve">Subramanian, P., Prabhakaran, R., SenthilKumar, M., Babu, K., and Selvaraj, B.: XRD investigation of clay minerals of the Tertiary formations around </w:t>
      </w:r>
      <w:proofErr w:type="spellStart"/>
      <w:r w:rsidRPr="00A51DF3">
        <w:t>Panrutti</w:t>
      </w:r>
      <w:proofErr w:type="spellEnd"/>
      <w:r w:rsidRPr="00A51DF3">
        <w:t xml:space="preserve">, </w:t>
      </w:r>
      <w:proofErr w:type="spellStart"/>
      <w:r w:rsidRPr="00A51DF3">
        <w:t>Cuddalore</w:t>
      </w:r>
      <w:proofErr w:type="spellEnd"/>
      <w:r w:rsidRPr="00A51DF3">
        <w:t xml:space="preserve"> District, Tamil Nadu, IJRSR, 4, 757–760, 2013.</w:t>
      </w:r>
    </w:p>
    <w:p w14:paraId="19FBA02D" w14:textId="77777777" w:rsidR="00A51DF3" w:rsidRPr="00A51DF3" w:rsidRDefault="00A51DF3" w:rsidP="00A51DF3">
      <w:pPr>
        <w:pStyle w:val="Bibliographie"/>
      </w:pPr>
      <w:r w:rsidRPr="00A51DF3">
        <w:t xml:space="preserve">Sundaram, R., Henderson, R. A., </w:t>
      </w:r>
      <w:proofErr w:type="spellStart"/>
      <w:r w:rsidRPr="00A51DF3">
        <w:t>Ayyasami</w:t>
      </w:r>
      <w:proofErr w:type="spellEnd"/>
      <w:r w:rsidRPr="00A51DF3">
        <w:t xml:space="preserve">, K., and Stilwell, J. D.: A lithostratigraphic revision and </w:t>
      </w:r>
      <w:proofErr w:type="spellStart"/>
      <w:r w:rsidRPr="00A51DF3">
        <w:t>palaeoenvironmental</w:t>
      </w:r>
      <w:proofErr w:type="spellEnd"/>
      <w:r w:rsidRPr="00A51DF3">
        <w:t xml:space="preserve"> assessment of the Cretaceous System exposed in the onshore Cauvery Basin, southern India, </w:t>
      </w:r>
      <w:proofErr w:type="spellStart"/>
      <w:r w:rsidRPr="00A51DF3">
        <w:t>Cretac</w:t>
      </w:r>
      <w:proofErr w:type="spellEnd"/>
      <w:r w:rsidRPr="00A51DF3">
        <w:t>. Res., 22, 743–762, https://doi.org/10.1006/cres.2001.0287, 2001.</w:t>
      </w:r>
    </w:p>
    <w:p w14:paraId="653C99D7" w14:textId="77777777" w:rsidR="00A51DF3" w:rsidRPr="00A51DF3" w:rsidRDefault="00A51DF3" w:rsidP="00A51DF3">
      <w:pPr>
        <w:pStyle w:val="Bibliographie"/>
      </w:pPr>
      <w:proofErr w:type="spellStart"/>
      <w:r w:rsidRPr="00A51DF3">
        <w:t>UniProt</w:t>
      </w:r>
      <w:proofErr w:type="spellEnd"/>
      <w:r w:rsidRPr="00A51DF3">
        <w:t xml:space="preserve"> Consortium: </w:t>
      </w:r>
      <w:proofErr w:type="spellStart"/>
      <w:r w:rsidRPr="00A51DF3">
        <w:t>UniProt</w:t>
      </w:r>
      <w:proofErr w:type="spellEnd"/>
      <w:r w:rsidRPr="00A51DF3">
        <w:t>: the universal protein knowledgebase in 2023, Nucleic Acids Res., 51, D523–D531, https://doi.org/10.1093/nar/gkac1052, 2023.</w:t>
      </w:r>
    </w:p>
    <w:p w14:paraId="60E6AF7C" w14:textId="77777777" w:rsidR="00A51DF3" w:rsidRPr="00A51DF3" w:rsidRDefault="00A51DF3" w:rsidP="00A51DF3">
      <w:pPr>
        <w:pStyle w:val="Bibliographie"/>
      </w:pPr>
      <w:r w:rsidRPr="00A51DF3">
        <w:t xml:space="preserve">Verrecchia, E. P., </w:t>
      </w:r>
      <w:proofErr w:type="spellStart"/>
      <w:r w:rsidRPr="00A51DF3">
        <w:t>Braissant</w:t>
      </w:r>
      <w:proofErr w:type="spellEnd"/>
      <w:r w:rsidRPr="00A51DF3">
        <w:t xml:space="preserve">, O., and </w:t>
      </w:r>
      <w:proofErr w:type="spellStart"/>
      <w:r w:rsidRPr="00A51DF3">
        <w:t>Cailleau</w:t>
      </w:r>
      <w:proofErr w:type="spellEnd"/>
      <w:r w:rsidRPr="00A51DF3">
        <w:t xml:space="preserve">, G.: The oxalate-carbonate pathway in soil carbon storage: the role of fungi and </w:t>
      </w:r>
      <w:proofErr w:type="spellStart"/>
      <w:r w:rsidRPr="00A51DF3">
        <w:t>oxalotrophic</w:t>
      </w:r>
      <w:proofErr w:type="spellEnd"/>
      <w:r w:rsidRPr="00A51DF3">
        <w:t xml:space="preserve"> bacteria, in: Fungi in biogeochemical cycles, vol. 24, edited by: Gadd, G. M., Cambridge University Press, 289–310, 2006.</w:t>
      </w:r>
    </w:p>
    <w:p w14:paraId="0CE714D9" w14:textId="77777777" w:rsidR="00A51DF3" w:rsidRPr="00A51DF3" w:rsidRDefault="00A51DF3" w:rsidP="00A51DF3">
      <w:pPr>
        <w:pStyle w:val="Bibliographie"/>
      </w:pPr>
      <w:r w:rsidRPr="00A51DF3">
        <w:t xml:space="preserve">Vincent, A. and Violette, S.: Why seawater intrusion has not yet occurred in the </w:t>
      </w:r>
      <w:proofErr w:type="spellStart"/>
      <w:r w:rsidRPr="00A51DF3">
        <w:t>Kaluvelli</w:t>
      </w:r>
      <w:proofErr w:type="spellEnd"/>
      <w:r w:rsidRPr="00A51DF3">
        <w:t xml:space="preserve">-Pondicherry basin, Tamil Nadu, India, </w:t>
      </w:r>
      <w:proofErr w:type="spellStart"/>
      <w:r w:rsidRPr="00A51DF3">
        <w:t>Hydrogeol</w:t>
      </w:r>
      <w:proofErr w:type="spellEnd"/>
      <w:r w:rsidRPr="00A51DF3">
        <w:t>. J., 25, 1893–1907, https://doi.org/10.1007/s10040-017-1558-4, 2017.</w:t>
      </w:r>
    </w:p>
    <w:p w14:paraId="1817726C" w14:textId="77777777" w:rsidR="00A51DF3" w:rsidRPr="00A51DF3" w:rsidRDefault="00A51DF3" w:rsidP="00A51DF3">
      <w:pPr>
        <w:pStyle w:val="Bibliographie"/>
      </w:pPr>
      <w:proofErr w:type="spellStart"/>
      <w:r w:rsidRPr="00A51DF3">
        <w:t>Wallnöfer</w:t>
      </w:r>
      <w:proofErr w:type="spellEnd"/>
      <w:r w:rsidRPr="00A51DF3">
        <w:t xml:space="preserve">, B.: The biology and systematics of </w:t>
      </w:r>
      <w:proofErr w:type="spellStart"/>
      <w:r w:rsidRPr="00A51DF3">
        <w:t>Ebenaceae</w:t>
      </w:r>
      <w:proofErr w:type="spellEnd"/>
      <w:r w:rsidRPr="00A51DF3">
        <w:t xml:space="preserve">: a review, Ann. </w:t>
      </w:r>
      <w:proofErr w:type="spellStart"/>
      <w:r w:rsidRPr="00A51DF3">
        <w:t>Naturhist</w:t>
      </w:r>
      <w:proofErr w:type="spellEnd"/>
      <w:r w:rsidRPr="00A51DF3">
        <w:t>. Mus. Wien, B Bot. Zool., 103, 485–512, 2001.</w:t>
      </w:r>
    </w:p>
    <w:p w14:paraId="7F85C38F" w14:textId="04ADE056" w:rsidR="001D4D8F" w:rsidRPr="001D4D8F" w:rsidRDefault="001D4D8F" w:rsidP="0059068E">
      <w:pPr>
        <w:spacing w:line="360" w:lineRule="auto"/>
        <w:rPr>
          <w:lang w:val="en-GB"/>
        </w:rPr>
      </w:pPr>
      <w:r>
        <w:rPr>
          <w:lang w:val="en-GB"/>
        </w:rPr>
        <w:fldChar w:fldCharType="end"/>
      </w:r>
    </w:p>
    <w:sectPr w:rsidR="001D4D8F" w:rsidRPr="001D4D8F" w:rsidSect="00DC6154">
      <w:headerReference w:type="default" r:id="rId28"/>
      <w:footerReference w:type="default" r:id="rId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4BD8BD" w14:textId="77777777" w:rsidR="00F47E39" w:rsidRDefault="00F47E39" w:rsidP="0002719D">
      <w:pPr>
        <w:spacing w:after="0" w:line="240" w:lineRule="auto"/>
      </w:pPr>
      <w:r>
        <w:separator/>
      </w:r>
    </w:p>
  </w:endnote>
  <w:endnote w:type="continuationSeparator" w:id="0">
    <w:p w14:paraId="3BECFEDA" w14:textId="77777777" w:rsidR="00F47E39" w:rsidRDefault="00F47E39" w:rsidP="0002719D">
      <w:pPr>
        <w:spacing w:after="0" w:line="240" w:lineRule="auto"/>
      </w:pPr>
      <w:r>
        <w:continuationSeparator/>
      </w:r>
    </w:p>
  </w:endnote>
  <w:endnote w:type="continuationNotice" w:id="1">
    <w:p w14:paraId="3FB30F30" w14:textId="77777777" w:rsidR="00F47E39" w:rsidRDefault="00F47E3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7804682"/>
      <w:docPartObj>
        <w:docPartGallery w:val="Page Numbers (Bottom of Page)"/>
        <w:docPartUnique/>
      </w:docPartObj>
    </w:sdtPr>
    <w:sdtContent>
      <w:p w14:paraId="614DCC27" w14:textId="3031E578" w:rsidR="00EE5134" w:rsidRDefault="00EE5134">
        <w:pPr>
          <w:pStyle w:val="Pieddepage"/>
          <w:jc w:val="center"/>
        </w:pPr>
        <w:r>
          <w:fldChar w:fldCharType="begin"/>
        </w:r>
        <w:r>
          <w:instrText>PAGE   \* MERGEFORMAT</w:instrText>
        </w:r>
        <w:r>
          <w:fldChar w:fldCharType="separate"/>
        </w:r>
        <w:r>
          <w:rPr>
            <w:lang w:val="fr-FR"/>
          </w:rPr>
          <w:t>2</w:t>
        </w:r>
        <w:r>
          <w:fldChar w:fldCharType="end"/>
        </w:r>
      </w:p>
    </w:sdtContent>
  </w:sdt>
  <w:p w14:paraId="6C8269FE" w14:textId="77777777" w:rsidR="00EE5134" w:rsidRDefault="00EE513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29710217"/>
      <w:docPartObj>
        <w:docPartGallery w:val="Page Numbers (Bottom of Page)"/>
        <w:docPartUnique/>
      </w:docPartObj>
    </w:sdtPr>
    <w:sdtContent>
      <w:p w14:paraId="29E11308" w14:textId="49F3683F" w:rsidR="0002719D" w:rsidRDefault="005E45A6" w:rsidP="005E45A6">
        <w:pPr>
          <w:pStyle w:val="Pieddepage"/>
          <w:jc w:val="center"/>
        </w:pPr>
        <w:r>
          <w:fldChar w:fldCharType="begin"/>
        </w:r>
        <w:r>
          <w:instrText>PAGE   \* MERGEFORMAT</w:instrText>
        </w:r>
        <w:r>
          <w:fldChar w:fldCharType="separate"/>
        </w:r>
        <w:r>
          <w:rPr>
            <w:lang w:val="fr-FR"/>
          </w:rP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38290708"/>
      <w:docPartObj>
        <w:docPartGallery w:val="Page Numbers (Bottom of Page)"/>
        <w:docPartUnique/>
      </w:docPartObj>
    </w:sdtPr>
    <w:sdtContent>
      <w:p w14:paraId="26575AAA" w14:textId="51F6DD40" w:rsidR="0002719D" w:rsidRDefault="005E45A6" w:rsidP="005E45A6">
        <w:pPr>
          <w:pStyle w:val="Pieddepage"/>
          <w:jc w:val="center"/>
        </w:pPr>
        <w:r>
          <w:fldChar w:fldCharType="begin"/>
        </w:r>
        <w:r>
          <w:instrText>PAGE   \* MERGEFORMAT</w:instrText>
        </w:r>
        <w:r>
          <w:fldChar w:fldCharType="separate"/>
        </w:r>
        <w:r>
          <w:rPr>
            <w:lang w:val="fr-FR"/>
          </w:rPr>
          <w:t>2</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52971446"/>
      <w:docPartObj>
        <w:docPartGallery w:val="Page Numbers (Bottom of Page)"/>
        <w:docPartUnique/>
      </w:docPartObj>
    </w:sdtPr>
    <w:sdtContent>
      <w:p w14:paraId="575D3199" w14:textId="0692D49E" w:rsidR="0002719D" w:rsidRDefault="005E45A6" w:rsidP="005E45A6">
        <w:pPr>
          <w:pStyle w:val="Pieddepage"/>
          <w:jc w:val="center"/>
        </w:pPr>
        <w:r>
          <w:fldChar w:fldCharType="begin"/>
        </w:r>
        <w:r>
          <w:instrText>PAGE   \* MERGEFORMAT</w:instrText>
        </w:r>
        <w:r>
          <w:fldChar w:fldCharType="separate"/>
        </w:r>
        <w:r>
          <w:rPr>
            <w:lang w:val="fr-FR"/>
          </w:rPr>
          <w:t>2</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98122692"/>
      <w:docPartObj>
        <w:docPartGallery w:val="Page Numbers (Bottom of Page)"/>
        <w:docPartUnique/>
      </w:docPartObj>
    </w:sdtPr>
    <w:sdtContent>
      <w:p w14:paraId="35B686FF" w14:textId="233EEFFD" w:rsidR="0002719D" w:rsidRDefault="005E45A6" w:rsidP="005E45A6">
        <w:pPr>
          <w:pStyle w:val="Pieddepage"/>
          <w:jc w:val="center"/>
        </w:pPr>
        <w:r>
          <w:fldChar w:fldCharType="begin"/>
        </w:r>
        <w:r>
          <w:instrText>PAGE   \* MERGEFORMAT</w:instrText>
        </w:r>
        <w:r>
          <w:fldChar w:fldCharType="separate"/>
        </w:r>
        <w:r>
          <w:rPr>
            <w:lang w:val="fr-FR"/>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13EBF7" w14:textId="77777777" w:rsidR="00F47E39" w:rsidRDefault="00F47E39" w:rsidP="0002719D">
      <w:pPr>
        <w:spacing w:after="0" w:line="240" w:lineRule="auto"/>
      </w:pPr>
      <w:r>
        <w:separator/>
      </w:r>
    </w:p>
  </w:footnote>
  <w:footnote w:type="continuationSeparator" w:id="0">
    <w:p w14:paraId="3B9C0A7F" w14:textId="77777777" w:rsidR="00F47E39" w:rsidRDefault="00F47E39" w:rsidP="0002719D">
      <w:pPr>
        <w:spacing w:after="0" w:line="240" w:lineRule="auto"/>
      </w:pPr>
      <w:r>
        <w:continuationSeparator/>
      </w:r>
    </w:p>
  </w:footnote>
  <w:footnote w:type="continuationNotice" w:id="1">
    <w:p w14:paraId="27B6E3A2" w14:textId="77777777" w:rsidR="00F47E39" w:rsidRDefault="00F47E3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D943F6" w14:textId="4F70D836" w:rsidR="0002719D" w:rsidRDefault="0002719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4B1A3D" w14:textId="222C0226" w:rsidR="0002719D" w:rsidRDefault="0002719D"/>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B5BFA2" w14:textId="4B0075B5" w:rsidR="0002719D" w:rsidRDefault="0002719D"/>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184567" w14:textId="4AA97DB9" w:rsidR="0002719D" w:rsidRDefault="0002719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8B82A14"/>
    <w:multiLevelType w:val="hybridMultilevel"/>
    <w:tmpl w:val="9E6051CC"/>
    <w:lvl w:ilvl="0" w:tplc="7FFEC1EA">
      <w:start w:val="1"/>
      <w:numFmt w:val="upperLetter"/>
      <w:lvlText w:val="%1.)"/>
      <w:lvlJc w:val="left"/>
      <w:pPr>
        <w:ind w:left="720" w:hanging="360"/>
      </w:pPr>
      <w:rPr>
        <w:rFonts w:asciiTheme="majorHAnsi" w:eastAsiaTheme="majorEastAsia" w:hAnsiTheme="majorHAnsi" w:cstheme="majorBidi"/>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6C7A4031"/>
    <w:multiLevelType w:val="hybridMultilevel"/>
    <w:tmpl w:val="9F9A46BC"/>
    <w:lvl w:ilvl="0" w:tplc="E4D8DFF0">
      <w:start w:val="1"/>
      <w:numFmt w:val="upp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16cid:durableId="1428119757">
    <w:abstractNumId w:val="1"/>
  </w:num>
  <w:num w:numId="2" w16cid:durableId="8401973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Geoderma Copy&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vt0spwfwtxv0wepx9sp9spjdpdv9ds25rf2&quot;&gt;My EndNote Library&lt;record-ids&gt;&lt;item&gt;148&lt;/item&gt;&lt;item&gt;155&lt;/item&gt;&lt;item&gt;156&lt;/item&gt;&lt;item&gt;160&lt;/item&gt;&lt;item&gt;516&lt;/item&gt;&lt;item&gt;651&lt;/item&gt;&lt;item&gt;742&lt;/item&gt;&lt;item&gt;756&lt;/item&gt;&lt;item&gt;775&lt;/item&gt;&lt;item&gt;776&lt;/item&gt;&lt;item&gt;956&lt;/item&gt;&lt;item&gt;1631&lt;/item&gt;&lt;item&gt;1633&lt;/item&gt;&lt;item&gt;1799&lt;/item&gt;&lt;item&gt;1919&lt;/item&gt;&lt;item&gt;1931&lt;/item&gt;&lt;item&gt;1932&lt;/item&gt;&lt;item&gt;2023&lt;/item&gt;&lt;item&gt;2058&lt;/item&gt;&lt;item&gt;2076&lt;/item&gt;&lt;item&gt;2092&lt;/item&gt;&lt;item&gt;2177&lt;/item&gt;&lt;item&gt;2178&lt;/item&gt;&lt;item&gt;2179&lt;/item&gt;&lt;item&gt;2180&lt;/item&gt;&lt;item&gt;2182&lt;/item&gt;&lt;item&gt;2183&lt;/item&gt;&lt;item&gt;2205&lt;/item&gt;&lt;item&gt;2206&lt;/item&gt;&lt;item&gt;2209&lt;/item&gt;&lt;item&gt;2210&lt;/item&gt;&lt;item&gt;2211&lt;/item&gt;&lt;item&gt;2212&lt;/item&gt;&lt;item&gt;2213&lt;/item&gt;&lt;item&gt;2214&lt;/item&gt;&lt;item&gt;2215&lt;/item&gt;&lt;item&gt;2216&lt;/item&gt;&lt;item&gt;2217&lt;/item&gt;&lt;item&gt;2218&lt;/item&gt;&lt;item&gt;2220&lt;/item&gt;&lt;item&gt;2221&lt;/item&gt;&lt;item&gt;2222&lt;/item&gt;&lt;item&gt;2223&lt;/item&gt;&lt;item&gt;2224&lt;/item&gt;&lt;item&gt;2225&lt;/item&gt;&lt;item&gt;2226&lt;/item&gt;&lt;/record-ids&gt;&lt;/item&gt;&lt;/Libraries&gt;"/>
  </w:docVars>
  <w:rsids>
    <w:rsidRoot w:val="009D0754"/>
    <w:rsid w:val="00002534"/>
    <w:rsid w:val="000076C8"/>
    <w:rsid w:val="00010355"/>
    <w:rsid w:val="0001395F"/>
    <w:rsid w:val="00014DEF"/>
    <w:rsid w:val="0002719D"/>
    <w:rsid w:val="00033D0B"/>
    <w:rsid w:val="000468C2"/>
    <w:rsid w:val="00046D10"/>
    <w:rsid w:val="00062C6E"/>
    <w:rsid w:val="000813E9"/>
    <w:rsid w:val="0008389F"/>
    <w:rsid w:val="00091E8E"/>
    <w:rsid w:val="000A046B"/>
    <w:rsid w:val="000A73F2"/>
    <w:rsid w:val="000B705E"/>
    <w:rsid w:val="000B71BB"/>
    <w:rsid w:val="000C2845"/>
    <w:rsid w:val="000C71C7"/>
    <w:rsid w:val="000D01DA"/>
    <w:rsid w:val="000D31F7"/>
    <w:rsid w:val="000F15E0"/>
    <w:rsid w:val="00103E56"/>
    <w:rsid w:val="00105F4F"/>
    <w:rsid w:val="00114CFF"/>
    <w:rsid w:val="001158FC"/>
    <w:rsid w:val="0012082A"/>
    <w:rsid w:val="001265A4"/>
    <w:rsid w:val="001304A1"/>
    <w:rsid w:val="001333B1"/>
    <w:rsid w:val="00134DBA"/>
    <w:rsid w:val="00140306"/>
    <w:rsid w:val="00166D42"/>
    <w:rsid w:val="001710D9"/>
    <w:rsid w:val="00173660"/>
    <w:rsid w:val="00177076"/>
    <w:rsid w:val="001845C8"/>
    <w:rsid w:val="0018748C"/>
    <w:rsid w:val="00192402"/>
    <w:rsid w:val="001A2CDE"/>
    <w:rsid w:val="001A4017"/>
    <w:rsid w:val="001A7C60"/>
    <w:rsid w:val="001B236C"/>
    <w:rsid w:val="001B646F"/>
    <w:rsid w:val="001D01C2"/>
    <w:rsid w:val="001D3043"/>
    <w:rsid w:val="001D4D8F"/>
    <w:rsid w:val="001D5287"/>
    <w:rsid w:val="001D6B36"/>
    <w:rsid w:val="001D7261"/>
    <w:rsid w:val="001E309F"/>
    <w:rsid w:val="001E5127"/>
    <w:rsid w:val="001F2903"/>
    <w:rsid w:val="001F3D6F"/>
    <w:rsid w:val="001F4C71"/>
    <w:rsid w:val="00201DA1"/>
    <w:rsid w:val="00215DE4"/>
    <w:rsid w:val="00217097"/>
    <w:rsid w:val="00220A55"/>
    <w:rsid w:val="002215BE"/>
    <w:rsid w:val="00223ED2"/>
    <w:rsid w:val="002242F1"/>
    <w:rsid w:val="0023081A"/>
    <w:rsid w:val="00231A76"/>
    <w:rsid w:val="00232182"/>
    <w:rsid w:val="0023276B"/>
    <w:rsid w:val="00233568"/>
    <w:rsid w:val="0023391F"/>
    <w:rsid w:val="00233B97"/>
    <w:rsid w:val="00234E13"/>
    <w:rsid w:val="002443C2"/>
    <w:rsid w:val="002494D1"/>
    <w:rsid w:val="0025688E"/>
    <w:rsid w:val="0026080D"/>
    <w:rsid w:val="00261A93"/>
    <w:rsid w:val="00267101"/>
    <w:rsid w:val="00270DC0"/>
    <w:rsid w:val="002745C2"/>
    <w:rsid w:val="002917D2"/>
    <w:rsid w:val="002921D0"/>
    <w:rsid w:val="00292EF5"/>
    <w:rsid w:val="002A46E0"/>
    <w:rsid w:val="002B3075"/>
    <w:rsid w:val="002D1510"/>
    <w:rsid w:val="002E6E40"/>
    <w:rsid w:val="002E7698"/>
    <w:rsid w:val="002F12F2"/>
    <w:rsid w:val="002F4466"/>
    <w:rsid w:val="00304F6E"/>
    <w:rsid w:val="00315331"/>
    <w:rsid w:val="00320449"/>
    <w:rsid w:val="00320BE0"/>
    <w:rsid w:val="0032716C"/>
    <w:rsid w:val="00337A78"/>
    <w:rsid w:val="00347215"/>
    <w:rsid w:val="0035269F"/>
    <w:rsid w:val="00353744"/>
    <w:rsid w:val="00355327"/>
    <w:rsid w:val="00363D92"/>
    <w:rsid w:val="003646D9"/>
    <w:rsid w:val="00366DBE"/>
    <w:rsid w:val="00376CD8"/>
    <w:rsid w:val="00382DB4"/>
    <w:rsid w:val="003906B0"/>
    <w:rsid w:val="003D762C"/>
    <w:rsid w:val="003E4AD8"/>
    <w:rsid w:val="003F0809"/>
    <w:rsid w:val="003F0FC9"/>
    <w:rsid w:val="003F2418"/>
    <w:rsid w:val="003F25FC"/>
    <w:rsid w:val="003F3B09"/>
    <w:rsid w:val="00400C4D"/>
    <w:rsid w:val="00412654"/>
    <w:rsid w:val="004157D3"/>
    <w:rsid w:val="00420051"/>
    <w:rsid w:val="004275D6"/>
    <w:rsid w:val="00427A9E"/>
    <w:rsid w:val="00436730"/>
    <w:rsid w:val="004371C3"/>
    <w:rsid w:val="00440C95"/>
    <w:rsid w:val="00454EA0"/>
    <w:rsid w:val="00456478"/>
    <w:rsid w:val="00460488"/>
    <w:rsid w:val="00465763"/>
    <w:rsid w:val="004678C1"/>
    <w:rsid w:val="00467F03"/>
    <w:rsid w:val="00477152"/>
    <w:rsid w:val="00482758"/>
    <w:rsid w:val="0049526F"/>
    <w:rsid w:val="004A783E"/>
    <w:rsid w:val="004B1B33"/>
    <w:rsid w:val="004C0E1E"/>
    <w:rsid w:val="004C2022"/>
    <w:rsid w:val="004D4581"/>
    <w:rsid w:val="004D460C"/>
    <w:rsid w:val="004D52B1"/>
    <w:rsid w:val="004E2E5E"/>
    <w:rsid w:val="0050760B"/>
    <w:rsid w:val="00534107"/>
    <w:rsid w:val="0055691C"/>
    <w:rsid w:val="00556AB7"/>
    <w:rsid w:val="00557EA8"/>
    <w:rsid w:val="005601AE"/>
    <w:rsid w:val="00565D0E"/>
    <w:rsid w:val="00570423"/>
    <w:rsid w:val="0057183F"/>
    <w:rsid w:val="00580BE3"/>
    <w:rsid w:val="0059068E"/>
    <w:rsid w:val="00592F2B"/>
    <w:rsid w:val="0059303B"/>
    <w:rsid w:val="005A4981"/>
    <w:rsid w:val="005B1648"/>
    <w:rsid w:val="005B24E9"/>
    <w:rsid w:val="005B33C3"/>
    <w:rsid w:val="005D0315"/>
    <w:rsid w:val="005D16CA"/>
    <w:rsid w:val="005D7F04"/>
    <w:rsid w:val="005E45A6"/>
    <w:rsid w:val="005E6DD1"/>
    <w:rsid w:val="005F1711"/>
    <w:rsid w:val="005F3D00"/>
    <w:rsid w:val="005F3E75"/>
    <w:rsid w:val="005F7F6A"/>
    <w:rsid w:val="0060234E"/>
    <w:rsid w:val="00622D0A"/>
    <w:rsid w:val="00642DD9"/>
    <w:rsid w:val="00644946"/>
    <w:rsid w:val="00644DC8"/>
    <w:rsid w:val="006452E1"/>
    <w:rsid w:val="00650475"/>
    <w:rsid w:val="00650CA6"/>
    <w:rsid w:val="0065583C"/>
    <w:rsid w:val="00655A1D"/>
    <w:rsid w:val="00656ED0"/>
    <w:rsid w:val="006835C5"/>
    <w:rsid w:val="00692D6D"/>
    <w:rsid w:val="00696007"/>
    <w:rsid w:val="006A121E"/>
    <w:rsid w:val="006B37BE"/>
    <w:rsid w:val="006B3C71"/>
    <w:rsid w:val="006B3E4F"/>
    <w:rsid w:val="006B69F2"/>
    <w:rsid w:val="006C2E9E"/>
    <w:rsid w:val="006C5C89"/>
    <w:rsid w:val="006D5553"/>
    <w:rsid w:val="006D7710"/>
    <w:rsid w:val="006F4F9F"/>
    <w:rsid w:val="006F59F0"/>
    <w:rsid w:val="00704FD1"/>
    <w:rsid w:val="00705801"/>
    <w:rsid w:val="00715679"/>
    <w:rsid w:val="0073346E"/>
    <w:rsid w:val="0073352F"/>
    <w:rsid w:val="007454E1"/>
    <w:rsid w:val="00755C84"/>
    <w:rsid w:val="007563E7"/>
    <w:rsid w:val="00765F3A"/>
    <w:rsid w:val="0078194A"/>
    <w:rsid w:val="007944CC"/>
    <w:rsid w:val="007953E1"/>
    <w:rsid w:val="007A1467"/>
    <w:rsid w:val="007A2786"/>
    <w:rsid w:val="007A3572"/>
    <w:rsid w:val="007A4982"/>
    <w:rsid w:val="007C477A"/>
    <w:rsid w:val="007C72F4"/>
    <w:rsid w:val="007D4D73"/>
    <w:rsid w:val="007D4DD9"/>
    <w:rsid w:val="007E5B3A"/>
    <w:rsid w:val="007F04D6"/>
    <w:rsid w:val="007F23E6"/>
    <w:rsid w:val="007F2AFA"/>
    <w:rsid w:val="007F3254"/>
    <w:rsid w:val="007F3DB8"/>
    <w:rsid w:val="007F4560"/>
    <w:rsid w:val="008055E9"/>
    <w:rsid w:val="00813A9B"/>
    <w:rsid w:val="00817432"/>
    <w:rsid w:val="00831978"/>
    <w:rsid w:val="00833E6C"/>
    <w:rsid w:val="00841739"/>
    <w:rsid w:val="008436D6"/>
    <w:rsid w:val="008451BF"/>
    <w:rsid w:val="008468F9"/>
    <w:rsid w:val="008515FB"/>
    <w:rsid w:val="00862051"/>
    <w:rsid w:val="008807ED"/>
    <w:rsid w:val="008A564E"/>
    <w:rsid w:val="008A6AFD"/>
    <w:rsid w:val="008B24BA"/>
    <w:rsid w:val="008C0EB2"/>
    <w:rsid w:val="008C4A7D"/>
    <w:rsid w:val="008C7212"/>
    <w:rsid w:val="008D6790"/>
    <w:rsid w:val="008D7E57"/>
    <w:rsid w:val="008E42A4"/>
    <w:rsid w:val="008E6BBD"/>
    <w:rsid w:val="008E6EE3"/>
    <w:rsid w:val="008E7992"/>
    <w:rsid w:val="00901889"/>
    <w:rsid w:val="00905098"/>
    <w:rsid w:val="0090664E"/>
    <w:rsid w:val="00923DD0"/>
    <w:rsid w:val="0093253B"/>
    <w:rsid w:val="00940E2F"/>
    <w:rsid w:val="009454DF"/>
    <w:rsid w:val="00953637"/>
    <w:rsid w:val="00954EDE"/>
    <w:rsid w:val="00964926"/>
    <w:rsid w:val="0097139F"/>
    <w:rsid w:val="00972537"/>
    <w:rsid w:val="00983D30"/>
    <w:rsid w:val="009A1807"/>
    <w:rsid w:val="009A4B42"/>
    <w:rsid w:val="009A6912"/>
    <w:rsid w:val="009A6F75"/>
    <w:rsid w:val="009B2538"/>
    <w:rsid w:val="009C122F"/>
    <w:rsid w:val="009D0437"/>
    <w:rsid w:val="009D0754"/>
    <w:rsid w:val="009D6851"/>
    <w:rsid w:val="009E3CF7"/>
    <w:rsid w:val="009ED7E0"/>
    <w:rsid w:val="009F46A4"/>
    <w:rsid w:val="00A026C5"/>
    <w:rsid w:val="00A2364F"/>
    <w:rsid w:val="00A27BD1"/>
    <w:rsid w:val="00A31821"/>
    <w:rsid w:val="00A33E21"/>
    <w:rsid w:val="00A36534"/>
    <w:rsid w:val="00A447F3"/>
    <w:rsid w:val="00A474AB"/>
    <w:rsid w:val="00A51DF3"/>
    <w:rsid w:val="00A6197D"/>
    <w:rsid w:val="00A63CF0"/>
    <w:rsid w:val="00A64943"/>
    <w:rsid w:val="00A856DD"/>
    <w:rsid w:val="00A86488"/>
    <w:rsid w:val="00A90716"/>
    <w:rsid w:val="00A963CC"/>
    <w:rsid w:val="00A966DD"/>
    <w:rsid w:val="00AA413B"/>
    <w:rsid w:val="00AA67C7"/>
    <w:rsid w:val="00AB3B56"/>
    <w:rsid w:val="00AB4678"/>
    <w:rsid w:val="00AB649E"/>
    <w:rsid w:val="00AB6F1B"/>
    <w:rsid w:val="00AC42D9"/>
    <w:rsid w:val="00AD49D2"/>
    <w:rsid w:val="00AE13E9"/>
    <w:rsid w:val="00AE7CC3"/>
    <w:rsid w:val="00AF65E5"/>
    <w:rsid w:val="00B1058F"/>
    <w:rsid w:val="00B14F21"/>
    <w:rsid w:val="00B154DF"/>
    <w:rsid w:val="00B250CD"/>
    <w:rsid w:val="00B253DC"/>
    <w:rsid w:val="00B313F8"/>
    <w:rsid w:val="00B35093"/>
    <w:rsid w:val="00B54EB3"/>
    <w:rsid w:val="00B57591"/>
    <w:rsid w:val="00B57C5B"/>
    <w:rsid w:val="00B60B3B"/>
    <w:rsid w:val="00B617DC"/>
    <w:rsid w:val="00B63220"/>
    <w:rsid w:val="00B77800"/>
    <w:rsid w:val="00B82AC8"/>
    <w:rsid w:val="00B83456"/>
    <w:rsid w:val="00BA29CB"/>
    <w:rsid w:val="00BB5F90"/>
    <w:rsid w:val="00BC208F"/>
    <w:rsid w:val="00BD10D8"/>
    <w:rsid w:val="00BD3272"/>
    <w:rsid w:val="00BD387F"/>
    <w:rsid w:val="00BD705C"/>
    <w:rsid w:val="00BF287A"/>
    <w:rsid w:val="00BF41E0"/>
    <w:rsid w:val="00C042FD"/>
    <w:rsid w:val="00C05C19"/>
    <w:rsid w:val="00C11304"/>
    <w:rsid w:val="00C12E08"/>
    <w:rsid w:val="00C14BDD"/>
    <w:rsid w:val="00C2142A"/>
    <w:rsid w:val="00C25723"/>
    <w:rsid w:val="00C2726B"/>
    <w:rsid w:val="00C30E88"/>
    <w:rsid w:val="00C31530"/>
    <w:rsid w:val="00C33F19"/>
    <w:rsid w:val="00C35BD6"/>
    <w:rsid w:val="00C53F38"/>
    <w:rsid w:val="00C54814"/>
    <w:rsid w:val="00C60819"/>
    <w:rsid w:val="00C63481"/>
    <w:rsid w:val="00C64BFB"/>
    <w:rsid w:val="00C652B3"/>
    <w:rsid w:val="00C70242"/>
    <w:rsid w:val="00C7026D"/>
    <w:rsid w:val="00C77341"/>
    <w:rsid w:val="00C84C98"/>
    <w:rsid w:val="00C87748"/>
    <w:rsid w:val="00C9222A"/>
    <w:rsid w:val="00C93215"/>
    <w:rsid w:val="00C93449"/>
    <w:rsid w:val="00C93EE1"/>
    <w:rsid w:val="00C9719B"/>
    <w:rsid w:val="00CB67BA"/>
    <w:rsid w:val="00CC246E"/>
    <w:rsid w:val="00CC445B"/>
    <w:rsid w:val="00CD1D79"/>
    <w:rsid w:val="00CD3FCA"/>
    <w:rsid w:val="00CD455D"/>
    <w:rsid w:val="00CD6C77"/>
    <w:rsid w:val="00CE3255"/>
    <w:rsid w:val="00CF0744"/>
    <w:rsid w:val="00CF303B"/>
    <w:rsid w:val="00CF3C9E"/>
    <w:rsid w:val="00D00F96"/>
    <w:rsid w:val="00D04D5B"/>
    <w:rsid w:val="00D10CC9"/>
    <w:rsid w:val="00D22372"/>
    <w:rsid w:val="00D25CD0"/>
    <w:rsid w:val="00D32504"/>
    <w:rsid w:val="00D34316"/>
    <w:rsid w:val="00D45357"/>
    <w:rsid w:val="00D47E72"/>
    <w:rsid w:val="00D54556"/>
    <w:rsid w:val="00D54CF4"/>
    <w:rsid w:val="00D61EA4"/>
    <w:rsid w:val="00D654BA"/>
    <w:rsid w:val="00D65BA3"/>
    <w:rsid w:val="00D65C35"/>
    <w:rsid w:val="00D661E1"/>
    <w:rsid w:val="00D74406"/>
    <w:rsid w:val="00D81D95"/>
    <w:rsid w:val="00D84192"/>
    <w:rsid w:val="00D90175"/>
    <w:rsid w:val="00D976A2"/>
    <w:rsid w:val="00DA3FE1"/>
    <w:rsid w:val="00DA5654"/>
    <w:rsid w:val="00DC080A"/>
    <w:rsid w:val="00DC1054"/>
    <w:rsid w:val="00DC2B3F"/>
    <w:rsid w:val="00DC6154"/>
    <w:rsid w:val="00DD229B"/>
    <w:rsid w:val="00DD4885"/>
    <w:rsid w:val="00DD6DFE"/>
    <w:rsid w:val="00DE0232"/>
    <w:rsid w:val="00DF3146"/>
    <w:rsid w:val="00DF7972"/>
    <w:rsid w:val="00DF7BE9"/>
    <w:rsid w:val="00E01226"/>
    <w:rsid w:val="00E306F2"/>
    <w:rsid w:val="00E41C65"/>
    <w:rsid w:val="00E44257"/>
    <w:rsid w:val="00E44591"/>
    <w:rsid w:val="00E452EB"/>
    <w:rsid w:val="00E57834"/>
    <w:rsid w:val="00E647A5"/>
    <w:rsid w:val="00E711E0"/>
    <w:rsid w:val="00E84A8F"/>
    <w:rsid w:val="00EA011C"/>
    <w:rsid w:val="00EA213A"/>
    <w:rsid w:val="00EB0991"/>
    <w:rsid w:val="00EB5623"/>
    <w:rsid w:val="00EB59BD"/>
    <w:rsid w:val="00EC2B13"/>
    <w:rsid w:val="00ED2152"/>
    <w:rsid w:val="00EE5134"/>
    <w:rsid w:val="00EF11C5"/>
    <w:rsid w:val="00EF577A"/>
    <w:rsid w:val="00F03E82"/>
    <w:rsid w:val="00F042A6"/>
    <w:rsid w:val="00F04660"/>
    <w:rsid w:val="00F04BF2"/>
    <w:rsid w:val="00F05544"/>
    <w:rsid w:val="00F134D0"/>
    <w:rsid w:val="00F141E9"/>
    <w:rsid w:val="00F14699"/>
    <w:rsid w:val="00F14C9F"/>
    <w:rsid w:val="00F14E41"/>
    <w:rsid w:val="00F30E08"/>
    <w:rsid w:val="00F32832"/>
    <w:rsid w:val="00F433FD"/>
    <w:rsid w:val="00F46363"/>
    <w:rsid w:val="00F469CE"/>
    <w:rsid w:val="00F47E39"/>
    <w:rsid w:val="00F47F47"/>
    <w:rsid w:val="00F630E7"/>
    <w:rsid w:val="00F6716C"/>
    <w:rsid w:val="00F720DA"/>
    <w:rsid w:val="00F7556E"/>
    <w:rsid w:val="00F87493"/>
    <w:rsid w:val="00F87B2D"/>
    <w:rsid w:val="00F93D3D"/>
    <w:rsid w:val="00FA309C"/>
    <w:rsid w:val="00FA49E2"/>
    <w:rsid w:val="00FA5897"/>
    <w:rsid w:val="00FA7365"/>
    <w:rsid w:val="00FC2CE0"/>
    <w:rsid w:val="00FD46D7"/>
    <w:rsid w:val="00FD5D74"/>
    <w:rsid w:val="00FE575B"/>
    <w:rsid w:val="00FF6F5A"/>
    <w:rsid w:val="02E34CA9"/>
    <w:rsid w:val="044D1C13"/>
    <w:rsid w:val="05F870E3"/>
    <w:rsid w:val="0707C568"/>
    <w:rsid w:val="07C07F49"/>
    <w:rsid w:val="0860DB27"/>
    <w:rsid w:val="08782EA8"/>
    <w:rsid w:val="09AB4F95"/>
    <w:rsid w:val="09B574D5"/>
    <w:rsid w:val="0A696B47"/>
    <w:rsid w:val="0B6BEB56"/>
    <w:rsid w:val="0BFB8A48"/>
    <w:rsid w:val="0C0A05A9"/>
    <w:rsid w:val="0D432090"/>
    <w:rsid w:val="0DFAF610"/>
    <w:rsid w:val="0F878654"/>
    <w:rsid w:val="0F904304"/>
    <w:rsid w:val="0FA4E363"/>
    <w:rsid w:val="114A4404"/>
    <w:rsid w:val="11B6B000"/>
    <w:rsid w:val="12134CF1"/>
    <w:rsid w:val="1256C4AA"/>
    <w:rsid w:val="1293B446"/>
    <w:rsid w:val="12E166E5"/>
    <w:rsid w:val="1395FB11"/>
    <w:rsid w:val="14FADDEB"/>
    <w:rsid w:val="16659345"/>
    <w:rsid w:val="17DDBD51"/>
    <w:rsid w:val="17E6DE6E"/>
    <w:rsid w:val="19181F12"/>
    <w:rsid w:val="198219D7"/>
    <w:rsid w:val="1B10AAFF"/>
    <w:rsid w:val="1BBA45DD"/>
    <w:rsid w:val="1C318612"/>
    <w:rsid w:val="1C5A8550"/>
    <w:rsid w:val="1DABB52A"/>
    <w:rsid w:val="1E3C8459"/>
    <w:rsid w:val="1EDAE0A1"/>
    <w:rsid w:val="221E3605"/>
    <w:rsid w:val="23647196"/>
    <w:rsid w:val="2479E755"/>
    <w:rsid w:val="25D41D5A"/>
    <w:rsid w:val="25E3BCDF"/>
    <w:rsid w:val="27F14076"/>
    <w:rsid w:val="2B03EC81"/>
    <w:rsid w:val="2B37127D"/>
    <w:rsid w:val="2CDE5EC3"/>
    <w:rsid w:val="2CE0A738"/>
    <w:rsid w:val="2E1128E5"/>
    <w:rsid w:val="302C9626"/>
    <w:rsid w:val="3108193C"/>
    <w:rsid w:val="31590C53"/>
    <w:rsid w:val="325C50D6"/>
    <w:rsid w:val="3366D1EE"/>
    <w:rsid w:val="34AC858C"/>
    <w:rsid w:val="352631C6"/>
    <w:rsid w:val="352E74EF"/>
    <w:rsid w:val="35CFB21C"/>
    <w:rsid w:val="3680D48D"/>
    <w:rsid w:val="37463DED"/>
    <w:rsid w:val="381D3310"/>
    <w:rsid w:val="38A37FDE"/>
    <w:rsid w:val="398B66FA"/>
    <w:rsid w:val="3B51287C"/>
    <w:rsid w:val="3BA0720B"/>
    <w:rsid w:val="3C73E35A"/>
    <w:rsid w:val="412D93D4"/>
    <w:rsid w:val="42472E24"/>
    <w:rsid w:val="4370C321"/>
    <w:rsid w:val="438717DD"/>
    <w:rsid w:val="43CEF429"/>
    <w:rsid w:val="43DA4C39"/>
    <w:rsid w:val="43DC0508"/>
    <w:rsid w:val="43FD68B5"/>
    <w:rsid w:val="45522C7A"/>
    <w:rsid w:val="46A5FCEF"/>
    <w:rsid w:val="46CE353B"/>
    <w:rsid w:val="474CD552"/>
    <w:rsid w:val="48112BF1"/>
    <w:rsid w:val="493418A8"/>
    <w:rsid w:val="4C2EB26E"/>
    <w:rsid w:val="4CC76AAF"/>
    <w:rsid w:val="4CE31DC3"/>
    <w:rsid w:val="4D22B82F"/>
    <w:rsid w:val="4D50C2EF"/>
    <w:rsid w:val="4D7DA34A"/>
    <w:rsid w:val="4FE3FDDC"/>
    <w:rsid w:val="53FF4B21"/>
    <w:rsid w:val="55207E5A"/>
    <w:rsid w:val="57044BEE"/>
    <w:rsid w:val="58B3A0ED"/>
    <w:rsid w:val="5A6D8227"/>
    <w:rsid w:val="5AD96C64"/>
    <w:rsid w:val="5C998BB8"/>
    <w:rsid w:val="5D154343"/>
    <w:rsid w:val="5D270370"/>
    <w:rsid w:val="5D8B2974"/>
    <w:rsid w:val="5DE1374E"/>
    <w:rsid w:val="5EB2F6C4"/>
    <w:rsid w:val="60B273AE"/>
    <w:rsid w:val="61A571A6"/>
    <w:rsid w:val="63502C98"/>
    <w:rsid w:val="666E8EE1"/>
    <w:rsid w:val="67088E53"/>
    <w:rsid w:val="6747E987"/>
    <w:rsid w:val="6766D764"/>
    <w:rsid w:val="6768B578"/>
    <w:rsid w:val="6769CF54"/>
    <w:rsid w:val="676AA475"/>
    <w:rsid w:val="6800CB05"/>
    <w:rsid w:val="697F1698"/>
    <w:rsid w:val="6A03953B"/>
    <w:rsid w:val="6CFCB575"/>
    <w:rsid w:val="6E3FA71E"/>
    <w:rsid w:val="6EA957B0"/>
    <w:rsid w:val="6F077A7C"/>
    <w:rsid w:val="6F89FC3A"/>
    <w:rsid w:val="70A2C95C"/>
    <w:rsid w:val="71F28DED"/>
    <w:rsid w:val="74338202"/>
    <w:rsid w:val="76273B49"/>
    <w:rsid w:val="7732659F"/>
    <w:rsid w:val="78E1C6D7"/>
    <w:rsid w:val="79101006"/>
    <w:rsid w:val="7A359248"/>
    <w:rsid w:val="7B1CD031"/>
    <w:rsid w:val="7EBFEFE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9D5505"/>
  <w15:chartTrackingRefBased/>
  <w15:docId w15:val="{1094D060-31F9-4C58-B3E1-82E4335FE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577A"/>
    <w:pPr>
      <w:spacing w:after="160" w:line="480" w:lineRule="auto"/>
      <w:jc w:val="both"/>
    </w:pPr>
    <w:rPr>
      <w:rFonts w:ascii="Times New Roman" w:hAnsi="Times New Roman" w:cs="Times New Roman"/>
      <w:sz w:val="20"/>
      <w:lang w:val="en-US"/>
    </w:rPr>
  </w:style>
  <w:style w:type="paragraph" w:styleId="Titre1">
    <w:name w:val="heading 1"/>
    <w:basedOn w:val="Normal"/>
    <w:next w:val="Normal"/>
    <w:link w:val="Titre1Car"/>
    <w:uiPriority w:val="9"/>
    <w:qFormat/>
    <w:rsid w:val="007A278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unhideWhenUsed/>
    <w:qFormat/>
    <w:rsid w:val="008055E9"/>
    <w:pPr>
      <w:keepNext/>
      <w:keepLines/>
      <w:spacing w:before="40" w:after="0"/>
      <w:jc w:val="center"/>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uiPriority w:val="9"/>
    <w:unhideWhenUsed/>
    <w:qFormat/>
    <w:rsid w:val="008451B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gende">
    <w:name w:val="caption"/>
    <w:basedOn w:val="Normal"/>
    <w:next w:val="Normal"/>
    <w:uiPriority w:val="35"/>
    <w:unhideWhenUsed/>
    <w:qFormat/>
    <w:rsid w:val="00173660"/>
    <w:pPr>
      <w:spacing w:before="200" w:after="200"/>
    </w:pPr>
    <w:rPr>
      <w:rFonts w:eastAsiaTheme="minorEastAsia"/>
      <w:b/>
      <w:bCs/>
      <w:color w:val="365F91" w:themeColor="accent1" w:themeShade="BF"/>
      <w:kern w:val="0"/>
      <w:sz w:val="16"/>
      <w:szCs w:val="16"/>
      <w:lang w:val="fr-CH"/>
      <w14:ligatures w14:val="none"/>
    </w:rPr>
  </w:style>
  <w:style w:type="character" w:styleId="Marquedecommentaire">
    <w:name w:val="annotation reference"/>
    <w:basedOn w:val="Policepardfaut"/>
    <w:uiPriority w:val="99"/>
    <w:semiHidden/>
    <w:unhideWhenUsed/>
    <w:rsid w:val="00D25CD0"/>
    <w:rPr>
      <w:sz w:val="16"/>
      <w:szCs w:val="16"/>
    </w:rPr>
  </w:style>
  <w:style w:type="paragraph" w:styleId="Commentaire">
    <w:name w:val="annotation text"/>
    <w:basedOn w:val="Normal"/>
    <w:link w:val="CommentaireCar"/>
    <w:uiPriority w:val="99"/>
    <w:unhideWhenUsed/>
    <w:rsid w:val="00D25CD0"/>
    <w:pPr>
      <w:spacing w:line="240" w:lineRule="auto"/>
    </w:pPr>
    <w:rPr>
      <w:szCs w:val="20"/>
    </w:rPr>
  </w:style>
  <w:style w:type="character" w:customStyle="1" w:styleId="CommentaireCar">
    <w:name w:val="Commentaire Car"/>
    <w:basedOn w:val="Policepardfaut"/>
    <w:link w:val="Commentaire"/>
    <w:uiPriority w:val="99"/>
    <w:rsid w:val="00D25CD0"/>
    <w:rPr>
      <w:rFonts w:ascii="Times New Roman" w:hAnsi="Times New Roman" w:cs="Times New Roman"/>
      <w:sz w:val="20"/>
      <w:szCs w:val="20"/>
      <w:lang w:val="en-US"/>
    </w:rPr>
  </w:style>
  <w:style w:type="table" w:styleId="Grilledutableau">
    <w:name w:val="Table Grid"/>
    <w:basedOn w:val="TableauNormal"/>
    <w:uiPriority w:val="59"/>
    <w:rsid w:val="00D25CD0"/>
    <w:pPr>
      <w:spacing w:after="0" w:line="240" w:lineRule="auto"/>
    </w:pPr>
    <w:rPr>
      <w:rFonts w:eastAsiaTheme="minorEastAsia"/>
      <w:kern w:val="0"/>
      <w:lang w:val="fr-CH"/>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8055E9"/>
    <w:rPr>
      <w:rFonts w:asciiTheme="majorHAnsi" w:eastAsiaTheme="majorEastAsia" w:hAnsiTheme="majorHAnsi" w:cstheme="majorBidi"/>
      <w:color w:val="365F91" w:themeColor="accent1" w:themeShade="BF"/>
      <w:sz w:val="26"/>
      <w:szCs w:val="26"/>
      <w:lang w:val="en-US"/>
    </w:rPr>
  </w:style>
  <w:style w:type="paragraph" w:styleId="Paragraphedeliste">
    <w:name w:val="List Paragraph"/>
    <w:basedOn w:val="Normal"/>
    <w:uiPriority w:val="34"/>
    <w:qFormat/>
    <w:rsid w:val="003F2418"/>
    <w:pPr>
      <w:ind w:left="720"/>
      <w:contextualSpacing/>
    </w:pPr>
  </w:style>
  <w:style w:type="character" w:customStyle="1" w:styleId="Titre1Car">
    <w:name w:val="Titre 1 Car"/>
    <w:basedOn w:val="Policepardfaut"/>
    <w:link w:val="Titre1"/>
    <w:uiPriority w:val="9"/>
    <w:rsid w:val="007A2786"/>
    <w:rPr>
      <w:rFonts w:asciiTheme="majorHAnsi" w:eastAsiaTheme="majorEastAsia" w:hAnsiTheme="majorHAnsi" w:cstheme="majorBidi"/>
      <w:color w:val="365F91" w:themeColor="accent1" w:themeShade="BF"/>
      <w:sz w:val="32"/>
      <w:szCs w:val="32"/>
      <w:lang w:val="en-US"/>
    </w:rPr>
  </w:style>
  <w:style w:type="paragraph" w:customStyle="1" w:styleId="EndNoteBibliographyTitle">
    <w:name w:val="EndNote Bibliography Title"/>
    <w:basedOn w:val="Normal"/>
    <w:link w:val="EndNoteBibliographyTitleChar"/>
    <w:rsid w:val="0073352F"/>
    <w:pPr>
      <w:spacing w:after="0"/>
      <w:jc w:val="center"/>
    </w:pPr>
    <w:rPr>
      <w:noProof/>
    </w:rPr>
  </w:style>
  <w:style w:type="character" w:customStyle="1" w:styleId="EndNoteBibliographyTitleChar">
    <w:name w:val="EndNote Bibliography Title Char"/>
    <w:basedOn w:val="Policepardfaut"/>
    <w:link w:val="EndNoteBibliographyTitle"/>
    <w:rsid w:val="0073352F"/>
    <w:rPr>
      <w:rFonts w:ascii="Times New Roman" w:hAnsi="Times New Roman" w:cs="Times New Roman"/>
      <w:noProof/>
      <w:sz w:val="20"/>
      <w:lang w:val="en-US"/>
    </w:rPr>
  </w:style>
  <w:style w:type="paragraph" w:customStyle="1" w:styleId="EndNoteBibliography">
    <w:name w:val="EndNote Bibliography"/>
    <w:basedOn w:val="Normal"/>
    <w:link w:val="EndNoteBibliographyChar"/>
    <w:rsid w:val="0073352F"/>
    <w:pPr>
      <w:spacing w:line="240" w:lineRule="auto"/>
    </w:pPr>
    <w:rPr>
      <w:noProof/>
    </w:rPr>
  </w:style>
  <w:style w:type="character" w:customStyle="1" w:styleId="EndNoteBibliographyChar">
    <w:name w:val="EndNote Bibliography Char"/>
    <w:basedOn w:val="Policepardfaut"/>
    <w:link w:val="EndNoteBibliography"/>
    <w:rsid w:val="0073352F"/>
    <w:rPr>
      <w:rFonts w:ascii="Times New Roman" w:hAnsi="Times New Roman" w:cs="Times New Roman"/>
      <w:noProof/>
      <w:sz w:val="20"/>
      <w:lang w:val="en-US"/>
    </w:rPr>
  </w:style>
  <w:style w:type="character" w:styleId="Textedelespacerserv">
    <w:name w:val="Placeholder Text"/>
    <w:basedOn w:val="Policepardfaut"/>
    <w:uiPriority w:val="99"/>
    <w:semiHidden/>
    <w:rsid w:val="0073352F"/>
    <w:rPr>
      <w:color w:val="666666"/>
    </w:rPr>
  </w:style>
  <w:style w:type="character" w:customStyle="1" w:styleId="Titre3Car">
    <w:name w:val="Titre 3 Car"/>
    <w:basedOn w:val="Policepardfaut"/>
    <w:link w:val="Titre3"/>
    <w:uiPriority w:val="9"/>
    <w:rsid w:val="008451BF"/>
    <w:rPr>
      <w:rFonts w:asciiTheme="majorHAnsi" w:eastAsiaTheme="majorEastAsia" w:hAnsiTheme="majorHAnsi" w:cstheme="majorBidi"/>
      <w:color w:val="243F60" w:themeColor="accent1" w:themeShade="7F"/>
      <w:sz w:val="24"/>
      <w:szCs w:val="24"/>
      <w:lang w:val="en-US"/>
    </w:rPr>
  </w:style>
  <w:style w:type="character" w:styleId="Lienhypertexte">
    <w:name w:val="Hyperlink"/>
    <w:basedOn w:val="Policepardfaut"/>
    <w:uiPriority w:val="99"/>
    <w:unhideWhenUsed/>
    <w:rPr>
      <w:color w:val="0000FF" w:themeColor="hyperlink"/>
      <w:u w:val="single"/>
    </w:rPr>
  </w:style>
  <w:style w:type="paragraph" w:styleId="Objetducommentaire">
    <w:name w:val="annotation subject"/>
    <w:basedOn w:val="Commentaire"/>
    <w:next w:val="Commentaire"/>
    <w:link w:val="ObjetducommentaireCar"/>
    <w:uiPriority w:val="99"/>
    <w:semiHidden/>
    <w:unhideWhenUsed/>
    <w:rsid w:val="0018748C"/>
    <w:rPr>
      <w:b/>
      <w:bCs/>
    </w:rPr>
  </w:style>
  <w:style w:type="character" w:customStyle="1" w:styleId="ObjetducommentaireCar">
    <w:name w:val="Objet du commentaire Car"/>
    <w:basedOn w:val="CommentaireCar"/>
    <w:link w:val="Objetducommentaire"/>
    <w:uiPriority w:val="99"/>
    <w:semiHidden/>
    <w:rsid w:val="0018748C"/>
    <w:rPr>
      <w:rFonts w:ascii="Times New Roman" w:hAnsi="Times New Roman" w:cs="Times New Roman"/>
      <w:b/>
      <w:bCs/>
      <w:sz w:val="20"/>
      <w:szCs w:val="20"/>
      <w:lang w:val="en-US"/>
    </w:rPr>
  </w:style>
  <w:style w:type="paragraph" w:styleId="En-ttedetabledesmatires">
    <w:name w:val="TOC Heading"/>
    <w:basedOn w:val="Titre1"/>
    <w:next w:val="Normal"/>
    <w:uiPriority w:val="39"/>
    <w:unhideWhenUsed/>
    <w:qFormat/>
    <w:rsid w:val="00F630E7"/>
    <w:pPr>
      <w:spacing w:line="259" w:lineRule="auto"/>
      <w:jc w:val="left"/>
      <w:outlineLvl w:val="9"/>
    </w:pPr>
    <w:rPr>
      <w:kern w:val="0"/>
      <w14:ligatures w14:val="none"/>
    </w:rPr>
  </w:style>
  <w:style w:type="paragraph" w:styleId="TM1">
    <w:name w:val="toc 1"/>
    <w:basedOn w:val="Normal"/>
    <w:next w:val="Normal"/>
    <w:autoRedefine/>
    <w:uiPriority w:val="39"/>
    <w:unhideWhenUsed/>
    <w:rsid w:val="00EE5134"/>
    <w:pPr>
      <w:tabs>
        <w:tab w:val="right" w:leader="dot" w:pos="9016"/>
      </w:tabs>
      <w:spacing w:after="100"/>
    </w:pPr>
  </w:style>
  <w:style w:type="paragraph" w:styleId="TM2">
    <w:name w:val="toc 2"/>
    <w:basedOn w:val="Normal"/>
    <w:next w:val="Normal"/>
    <w:autoRedefine/>
    <w:uiPriority w:val="39"/>
    <w:unhideWhenUsed/>
    <w:rsid w:val="00A2364F"/>
    <w:pPr>
      <w:tabs>
        <w:tab w:val="right" w:leader="dot" w:pos="9016"/>
      </w:tabs>
      <w:spacing w:after="100"/>
      <w:ind w:left="200"/>
    </w:pPr>
  </w:style>
  <w:style w:type="paragraph" w:styleId="TM3">
    <w:name w:val="toc 3"/>
    <w:basedOn w:val="Normal"/>
    <w:next w:val="Normal"/>
    <w:autoRedefine/>
    <w:uiPriority w:val="39"/>
    <w:unhideWhenUsed/>
    <w:rsid w:val="00F630E7"/>
    <w:pPr>
      <w:spacing w:after="100"/>
      <w:ind w:left="400"/>
    </w:pPr>
  </w:style>
  <w:style w:type="character" w:styleId="Lienhypertextesuivivisit">
    <w:name w:val="FollowedHyperlink"/>
    <w:basedOn w:val="Policepardfaut"/>
    <w:uiPriority w:val="99"/>
    <w:semiHidden/>
    <w:unhideWhenUsed/>
    <w:rsid w:val="008055E9"/>
    <w:rPr>
      <w:color w:val="800080" w:themeColor="followedHyperlink"/>
      <w:u w:val="single"/>
    </w:rPr>
  </w:style>
  <w:style w:type="paragraph" w:styleId="En-tte">
    <w:name w:val="header"/>
    <w:basedOn w:val="Normal"/>
    <w:link w:val="En-tteCar"/>
    <w:uiPriority w:val="99"/>
    <w:unhideWhenUsed/>
    <w:rsid w:val="00C64BFB"/>
    <w:pPr>
      <w:tabs>
        <w:tab w:val="center" w:pos="4513"/>
        <w:tab w:val="right" w:pos="9026"/>
      </w:tabs>
      <w:spacing w:after="0" w:line="240" w:lineRule="auto"/>
    </w:pPr>
  </w:style>
  <w:style w:type="character" w:customStyle="1" w:styleId="En-tteCar">
    <w:name w:val="En-tête Car"/>
    <w:basedOn w:val="Policepardfaut"/>
    <w:link w:val="En-tte"/>
    <w:uiPriority w:val="99"/>
    <w:rsid w:val="00C64BFB"/>
    <w:rPr>
      <w:rFonts w:ascii="Times New Roman" w:hAnsi="Times New Roman" w:cs="Times New Roman"/>
      <w:sz w:val="20"/>
      <w:lang w:val="en-US"/>
    </w:rPr>
  </w:style>
  <w:style w:type="paragraph" w:styleId="Pieddepage">
    <w:name w:val="footer"/>
    <w:basedOn w:val="Normal"/>
    <w:link w:val="PieddepageCar"/>
    <w:uiPriority w:val="99"/>
    <w:unhideWhenUsed/>
    <w:rsid w:val="00C64BFB"/>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C64BFB"/>
    <w:rPr>
      <w:rFonts w:ascii="Times New Roman" w:hAnsi="Times New Roman" w:cs="Times New Roman"/>
      <w:sz w:val="20"/>
      <w:lang w:val="en-US"/>
    </w:rPr>
  </w:style>
  <w:style w:type="paragraph" w:styleId="Rvision">
    <w:name w:val="Revision"/>
    <w:hidden/>
    <w:uiPriority w:val="99"/>
    <w:semiHidden/>
    <w:rsid w:val="00BD10D8"/>
    <w:pPr>
      <w:spacing w:after="0" w:line="240" w:lineRule="auto"/>
    </w:pPr>
    <w:rPr>
      <w:rFonts w:ascii="Times New Roman" w:hAnsi="Times New Roman" w:cs="Times New Roman"/>
      <w:sz w:val="20"/>
      <w:lang w:val="en-US"/>
    </w:rPr>
  </w:style>
  <w:style w:type="paragraph" w:styleId="Bibliographie">
    <w:name w:val="Bibliography"/>
    <w:basedOn w:val="Normal"/>
    <w:next w:val="Normal"/>
    <w:uiPriority w:val="37"/>
    <w:unhideWhenUsed/>
    <w:rsid w:val="001D4D8F"/>
    <w:pPr>
      <w:spacing w:after="240" w:line="240" w:lineRule="auto"/>
    </w:pPr>
  </w:style>
  <w:style w:type="character" w:styleId="Mentionnonrsolue">
    <w:name w:val="Unresolved Mention"/>
    <w:basedOn w:val="Policepardfaut"/>
    <w:uiPriority w:val="99"/>
    <w:semiHidden/>
    <w:unhideWhenUsed/>
    <w:rsid w:val="00F469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78811625">
      <w:bodyDiv w:val="1"/>
      <w:marLeft w:val="0"/>
      <w:marRight w:val="0"/>
      <w:marTop w:val="0"/>
      <w:marBottom w:val="0"/>
      <w:divBdr>
        <w:top w:val="none" w:sz="0" w:space="0" w:color="auto"/>
        <w:left w:val="none" w:sz="0" w:space="0" w:color="auto"/>
        <w:bottom w:val="none" w:sz="0" w:space="0" w:color="auto"/>
        <w:right w:val="none" w:sz="0" w:space="0" w:color="auto"/>
      </w:divBdr>
    </w:div>
    <w:div w:id="1314062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mille.rieder@unil.ch" TargetMode="External"/><Relationship Id="rId13" Type="http://schemas.openxmlformats.org/officeDocument/2006/relationships/image" Target="media/image5.jpeg"/><Relationship Id="rId18" Type="http://schemas.openxmlformats.org/officeDocument/2006/relationships/footer" Target="footer2.xm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2.xm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eader" Target="header3.xml"/><Relationship Id="rId28" Type="http://schemas.openxmlformats.org/officeDocument/2006/relationships/header" Target="header4.xml"/><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8F6AAF-1BC2-4BE9-B773-88DA917965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17936</Words>
  <Characters>98653</Characters>
  <Application>Microsoft Office Word</Application>
  <DocSecurity>0</DocSecurity>
  <Lines>822</Lines>
  <Paragraphs>232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116357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Rowley (mrowle)</dc:creator>
  <cp:keywords/>
  <dc:description/>
  <cp:lastModifiedBy>Camille Rieder</cp:lastModifiedBy>
  <cp:revision>45</cp:revision>
  <dcterms:created xsi:type="dcterms:W3CDTF">2025-04-23T05:04:00Z</dcterms:created>
  <dcterms:modified xsi:type="dcterms:W3CDTF">2025-07-14T14:58:00Z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id="2cXz4YTa"/&gt;&lt;style id="http://www.zotero.org/styles/copernicus-publications" hasBibliography="1" bibliographyStyleHasBeenSet="1"/&gt;&lt;prefs&gt;&lt;pref name="fieldType" value="Field"/&gt;&lt;/prefs&gt;&lt;/data&gt;</vt:lpwstr>
  </property>
</Properties>
</file>