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52C6" w14:textId="12C9F292" w:rsidR="00465DE3" w:rsidRDefault="00465DE3"/>
    <w:p w14:paraId="4E305F98" w14:textId="77777777" w:rsidR="00465DE3" w:rsidRDefault="00465DE3" w:rsidP="00465DE3">
      <w:pPr>
        <w:rPr>
          <w:color w:val="EE0000"/>
        </w:rPr>
      </w:pPr>
      <w:r w:rsidRPr="00076A5F">
        <w:rPr>
          <w:b/>
          <w:bCs/>
          <w:color w:val="EE0000"/>
        </w:rPr>
        <w:t xml:space="preserve">Changes </w:t>
      </w:r>
      <w:proofErr w:type="gramStart"/>
      <w:r w:rsidRPr="00076A5F">
        <w:rPr>
          <w:b/>
          <w:bCs/>
          <w:color w:val="EE0000"/>
        </w:rPr>
        <w:t>for</w:t>
      </w:r>
      <w:proofErr w:type="gramEnd"/>
      <w:r w:rsidRPr="00076A5F">
        <w:rPr>
          <w:b/>
          <w:bCs/>
          <w:color w:val="EE0000"/>
        </w:rPr>
        <w:t xml:space="preserve"> Text on Current Typeset Pages 25</w:t>
      </w:r>
      <w:r>
        <w:rPr>
          <w:b/>
          <w:bCs/>
          <w:color w:val="EE0000"/>
        </w:rPr>
        <w:t xml:space="preserve"> and</w:t>
      </w:r>
      <w:r w:rsidRPr="00076A5F">
        <w:rPr>
          <w:b/>
          <w:bCs/>
          <w:color w:val="EE0000"/>
        </w:rPr>
        <w:t xml:space="preserve"> 26. There is a new Figure 16 to be added *after* Fig. 15 (formerly Fig 14) </w:t>
      </w:r>
      <w:r>
        <w:rPr>
          <w:b/>
          <w:bCs/>
          <w:color w:val="EE0000"/>
        </w:rPr>
        <w:t xml:space="preserve">currently </w:t>
      </w:r>
      <w:r w:rsidRPr="00076A5F">
        <w:rPr>
          <w:b/>
          <w:bCs/>
          <w:color w:val="EE0000"/>
        </w:rPr>
        <w:t>on page 27</w:t>
      </w:r>
      <w:r>
        <w:rPr>
          <w:b/>
          <w:bCs/>
          <w:color w:val="EE0000"/>
        </w:rPr>
        <w:t xml:space="preserve">. Changes on pages 25 and 26 are too many and messy to insert or delete on typeset pages. Thus, </w:t>
      </w:r>
      <w:r>
        <w:rPr>
          <w:color w:val="EE0000"/>
        </w:rPr>
        <w:t xml:space="preserve">I copied the text on those pages, as typeset. Noted with strikethroughs and </w:t>
      </w:r>
      <w:r w:rsidRPr="00087A01">
        <w:rPr>
          <w:color w:val="EE0000"/>
          <w:highlight w:val="yellow"/>
        </w:rPr>
        <w:t>yellow highlights for additions</w:t>
      </w:r>
      <w:r>
        <w:rPr>
          <w:color w:val="EE0000"/>
        </w:rPr>
        <w:t xml:space="preserve">, the typeset text modifications are as follows:    </w:t>
      </w:r>
    </w:p>
    <w:p w14:paraId="3F87DCA4" w14:textId="535D1DDE" w:rsidR="00465DE3" w:rsidRPr="00076A5F" w:rsidRDefault="00465DE3" w:rsidP="00465DE3">
      <w:pPr>
        <w:rPr>
          <w:color w:val="EE0000"/>
        </w:rPr>
      </w:pPr>
      <w:r>
        <w:rPr>
          <w:color w:val="EE0000"/>
        </w:rPr>
        <w:t xml:space="preserve">   Page </w:t>
      </w:r>
      <w:proofErr w:type="gramStart"/>
      <w:r>
        <w:rPr>
          <w:color w:val="EE0000"/>
        </w:rPr>
        <w:t>25  -</w:t>
      </w:r>
      <w:proofErr w:type="gramEnd"/>
      <w:r>
        <w:rPr>
          <w:color w:val="EE0000"/>
        </w:rPr>
        <w:t xml:space="preserve">  typeset </w:t>
      </w:r>
      <w:proofErr w:type="gramStart"/>
      <w:r>
        <w:rPr>
          <w:color w:val="EE0000"/>
        </w:rPr>
        <w:t>Lines  7</w:t>
      </w:r>
      <w:proofErr w:type="gramEnd"/>
      <w:r>
        <w:rPr>
          <w:color w:val="EE0000"/>
        </w:rPr>
        <w:t>, 9, 10, 13, 14, 18, 27, 37, 41</w:t>
      </w:r>
      <w:proofErr w:type="gramStart"/>
      <w:r w:rsidR="00945362">
        <w:rPr>
          <w:color w:val="EE0000"/>
        </w:rPr>
        <w:t xml:space="preserve">. </w:t>
      </w:r>
      <w:r>
        <w:rPr>
          <w:color w:val="EE0000"/>
        </w:rPr>
        <w:t xml:space="preserve"> Page</w:t>
      </w:r>
      <w:proofErr w:type="gramEnd"/>
      <w:r>
        <w:rPr>
          <w:color w:val="EE0000"/>
        </w:rPr>
        <w:t xml:space="preserve"> 26, changes to typeset Lines 4, 5, 26, 38, 47, 60</w:t>
      </w:r>
    </w:p>
    <w:p w14:paraId="5A28676D" w14:textId="77777777" w:rsidR="00465DE3" w:rsidRDefault="00465DE3" w:rsidP="00465DE3"/>
    <w:p w14:paraId="5B14B75C" w14:textId="77777777" w:rsidR="00465DE3" w:rsidRPr="00076A5F" w:rsidRDefault="00465DE3" w:rsidP="00465DE3">
      <w:r w:rsidRPr="00076A5F">
        <w:t>(</w:t>
      </w:r>
      <w:proofErr w:type="spellStart"/>
      <w:r w:rsidRPr="00076A5F">
        <w:t>Boynard</w:t>
      </w:r>
      <w:proofErr w:type="spellEnd"/>
      <w:r w:rsidRPr="00076A5F">
        <w:t xml:space="preserve"> et al., 2025). Note that the latter study only spans 2008–2023, much less than the SHADOZ data but close to the OMI/MLS period, 2005–2023.</w:t>
      </w:r>
    </w:p>
    <w:p w14:paraId="44CB1A71" w14:textId="77777777" w:rsidR="00465DE3" w:rsidRDefault="00465DE3" w:rsidP="00465DE3">
      <w:r>
        <w:t xml:space="preserve">   </w:t>
      </w:r>
      <w:r w:rsidRPr="00076A5F">
        <w:t xml:space="preserve">The tropical trend study of </w:t>
      </w:r>
      <w:proofErr w:type="spellStart"/>
      <w:r w:rsidRPr="00076A5F">
        <w:t>Gaudel</w:t>
      </w:r>
      <w:proofErr w:type="spellEnd"/>
      <w:r w:rsidRPr="00076A5F">
        <w:t xml:space="preserve"> et al. (2024) groups</w:t>
      </w:r>
      <w:r>
        <w:t xml:space="preserve"> </w:t>
      </w:r>
      <w:r w:rsidRPr="00076A5F">
        <w:t xml:space="preserve">5 SHADOZ and IAGOS profiles somewhat differently from this study and only extends through 2019 (period of trends are shown in the fourth column of Table 6). Our trends and those of </w:t>
      </w:r>
      <w:proofErr w:type="spellStart"/>
      <w:r w:rsidRPr="00076A5F">
        <w:t>Gaudel</w:t>
      </w:r>
      <w:proofErr w:type="spellEnd"/>
      <w:r w:rsidRPr="00076A5F">
        <w:t xml:space="preserve"> et al. (2024) for FT ozone and </w:t>
      </w:r>
      <w:proofErr w:type="spellStart"/>
      <w:r w:rsidRPr="00076A5F">
        <w:t>TrCO</w:t>
      </w:r>
      <w:proofErr w:type="spellEnd"/>
      <w:r w:rsidRPr="00076A5F">
        <w:t xml:space="preserve"> (Table 6</w:t>
      </w:r>
      <w:r>
        <w:t xml:space="preserve">; </w:t>
      </w:r>
      <w:r w:rsidRPr="0027317D">
        <w:rPr>
          <w:highlight w:val="yellow"/>
        </w:rPr>
        <w:t>Fig</w:t>
      </w:r>
      <w:r>
        <w:rPr>
          <w:highlight w:val="yellow"/>
        </w:rPr>
        <w:t>.</w:t>
      </w:r>
      <w:r w:rsidRPr="0027317D">
        <w:rPr>
          <w:highlight w:val="yellow"/>
        </w:rPr>
        <w:t xml:space="preserve"> 16a</w:t>
      </w:r>
      <w:r w:rsidRPr="00076A5F">
        <w:rPr>
          <w:highlight w:val="yellow"/>
        </w:rPr>
        <w:t xml:space="preserve">) </w:t>
      </w:r>
      <w:r>
        <w:t>over</w:t>
      </w:r>
      <w:r w:rsidRPr="00076A5F">
        <w:t xml:space="preserve"> the Equatorial Americas are similar</w:t>
      </w:r>
      <w:r w:rsidRPr="00076A5F">
        <w:rPr>
          <w:strike/>
        </w:rPr>
        <w:t>, although</w:t>
      </w:r>
      <w:r w:rsidRPr="0027317D">
        <w:rPr>
          <w:strike/>
        </w:rPr>
        <w:t xml:space="preserve"> </w:t>
      </w:r>
      <w:r w:rsidRPr="00076A5F">
        <w:rPr>
          <w:strike/>
        </w:rPr>
        <w:t>some are insignificant</w:t>
      </w:r>
      <w:r w:rsidRPr="00076A5F">
        <w:t>. The Equatorial Americas FT ozone trends range from (−0</w:t>
      </w:r>
      <w:r w:rsidRPr="00076A5F">
        <w:rPr>
          <w:i/>
          <w:iCs/>
        </w:rPr>
        <w:t>.</w:t>
      </w:r>
      <w:r w:rsidRPr="00076A5F">
        <w:t>01 %)/decade to (−3</w:t>
      </w:r>
      <w:r w:rsidRPr="00076A5F">
        <w:rPr>
          <w:i/>
          <w:iCs/>
        </w:rPr>
        <w:t>.</w:t>
      </w:r>
      <w:r w:rsidRPr="00076A5F">
        <w:t xml:space="preserve">3 %)/decade. For </w:t>
      </w:r>
      <w:proofErr w:type="spellStart"/>
      <w:r w:rsidRPr="00076A5F">
        <w:t>TrCO</w:t>
      </w:r>
      <w:r w:rsidRPr="00076A5F">
        <w:rPr>
          <w:vertAlign w:val="subscript"/>
        </w:rPr>
        <w:t>sonde</w:t>
      </w:r>
      <w:proofErr w:type="spellEnd"/>
      <w:r w:rsidRPr="00076A5F">
        <w:t>, derived from profiles, the range is (−1</w:t>
      </w:r>
      <w:r w:rsidRPr="00076A5F">
        <w:rPr>
          <w:i/>
          <w:iCs/>
        </w:rPr>
        <w:t>.</w:t>
      </w:r>
      <w:r w:rsidRPr="00076A5F">
        <w:t>0 to −3</w:t>
      </w:r>
      <w:r w:rsidRPr="00076A5F">
        <w:rPr>
          <w:i/>
          <w:iCs/>
        </w:rPr>
        <w:t>.</w:t>
      </w:r>
      <w:r w:rsidRPr="00076A5F">
        <w:t>1) %/decade in between the satellite-based trends</w:t>
      </w:r>
      <w:proofErr w:type="gramStart"/>
      <w:r>
        <w:t xml:space="preserve">: </w:t>
      </w:r>
      <w:r w:rsidRPr="00076A5F">
        <w:rPr>
          <w:strike/>
        </w:rPr>
        <w:t>.</w:t>
      </w:r>
      <w:proofErr w:type="gramEnd"/>
      <w:r w:rsidRPr="00076A5F">
        <w:rPr>
          <w:strike/>
        </w:rPr>
        <w:t xml:space="preserve"> They</w:t>
      </w:r>
      <w:r w:rsidRPr="00076A5F">
        <w:t xml:space="preserve"> are (3.1 ± 2.5) %/decade for OMI/MLS (2005–2023)</w:t>
      </w:r>
      <w:r>
        <w:t xml:space="preserve"> </w:t>
      </w:r>
      <w:r w:rsidRPr="00076A5F">
        <w:t>and (−4</w:t>
      </w:r>
      <w:r w:rsidRPr="00076A5F">
        <w:rPr>
          <w:i/>
          <w:iCs/>
        </w:rPr>
        <w:t>.</w:t>
      </w:r>
      <w:r w:rsidRPr="00076A5F">
        <w:t>0 ± 1.0) %/decade for IASI/</w:t>
      </w:r>
      <w:proofErr w:type="spellStart"/>
      <w:r w:rsidRPr="00076A5F">
        <w:t>Metop</w:t>
      </w:r>
      <w:proofErr w:type="spellEnd"/>
      <w:r w:rsidRPr="00076A5F">
        <w:t xml:space="preserve"> (2008–2023),</w:t>
      </w:r>
      <w:r>
        <w:t xml:space="preserve"> </w:t>
      </w:r>
      <w:r w:rsidRPr="00076A5F">
        <w:t>an offset of 7.1 %/decade for the median trends. Within</w:t>
      </w:r>
      <w:r>
        <w:t xml:space="preserve"> </w:t>
      </w:r>
      <w:r w:rsidRPr="00076A5F">
        <w:t>given uncertainties, IAGOS, IAGOS-SHADOZ-combined and IASI/</w:t>
      </w:r>
      <w:proofErr w:type="spellStart"/>
      <w:r w:rsidRPr="00076A5F">
        <w:t>Metop</w:t>
      </w:r>
      <w:proofErr w:type="spellEnd"/>
      <w:r w:rsidRPr="00076A5F">
        <w:t xml:space="preserve"> agree</w:t>
      </w:r>
      <w:r>
        <w:t xml:space="preserve"> </w:t>
      </w:r>
      <w:r w:rsidRPr="0027317D">
        <w:rPr>
          <w:highlight w:val="yellow"/>
        </w:rPr>
        <w:t>(Fig. 16b)</w:t>
      </w:r>
      <w:r w:rsidRPr="00076A5F">
        <w:rPr>
          <w:strike/>
        </w:rPr>
        <w:t xml:space="preserve"> their trends </w:t>
      </w:r>
      <w:proofErr w:type="gramStart"/>
      <w:r w:rsidRPr="00076A5F">
        <w:rPr>
          <w:strike/>
        </w:rPr>
        <w:t>all</w:t>
      </w:r>
      <w:proofErr w:type="gramEnd"/>
      <w:r w:rsidRPr="00076A5F">
        <w:rPr>
          <w:strike/>
        </w:rPr>
        <w:t xml:space="preserve"> slightly negative</w:t>
      </w:r>
      <w:r w:rsidRPr="00076A5F">
        <w:t>.</w:t>
      </w:r>
    </w:p>
    <w:p w14:paraId="3EC2289C" w14:textId="77777777" w:rsidR="00465DE3" w:rsidRPr="00C6388E" w:rsidRDefault="00465DE3" w:rsidP="00465DE3">
      <w:r>
        <w:t xml:space="preserve">    </w:t>
      </w:r>
      <w:r w:rsidRPr="00076A5F">
        <w:t>For the Atlantic and west Africa regions, the profile-based</w:t>
      </w:r>
      <w:r>
        <w:t xml:space="preserve"> </w:t>
      </w:r>
      <w:r w:rsidRPr="00076A5F">
        <w:t xml:space="preserve">comparisons differ in station-airport combinations among our study, </w:t>
      </w:r>
      <w:proofErr w:type="spellStart"/>
      <w:r w:rsidRPr="00076A5F">
        <w:t>Gaudel</w:t>
      </w:r>
      <w:proofErr w:type="spellEnd"/>
      <w:r w:rsidRPr="00076A5F">
        <w:t xml:space="preserve"> et al. (2024) and the two HEGIFTOM</w:t>
      </w:r>
      <w:r>
        <w:t xml:space="preserve"> </w:t>
      </w:r>
      <w:r w:rsidRPr="00C26378">
        <w:t xml:space="preserve">analyses. The FT and </w:t>
      </w:r>
      <w:proofErr w:type="spellStart"/>
      <w:r w:rsidRPr="00C26378">
        <w:t>TrCO</w:t>
      </w:r>
      <w:proofErr w:type="spellEnd"/>
      <w:r w:rsidRPr="00C26378">
        <w:t xml:space="preserve"> trends among the four </w:t>
      </w:r>
      <w:r w:rsidRPr="0027317D">
        <w:rPr>
          <w:highlight w:val="yellow"/>
        </w:rPr>
        <w:t>studies (Table 6, Figs. 16a and 16b)</w:t>
      </w:r>
      <w:r w:rsidRPr="00C26378">
        <w:t xml:space="preserve"> fall in a relatively small range: (−1.3 ± 2.8) %/decade (FT, </w:t>
      </w:r>
      <w:proofErr w:type="spellStart"/>
      <w:r w:rsidRPr="00C26378">
        <w:t>Gaudel</w:t>
      </w:r>
      <w:proofErr w:type="spellEnd"/>
      <w:r w:rsidRPr="00C26378">
        <w:t xml:space="preserve"> et al., 2024) to (1.9 ± 1.8) %/decade (</w:t>
      </w:r>
      <w:proofErr w:type="spellStart"/>
      <w:r w:rsidRPr="00C26378">
        <w:t>TrCO</w:t>
      </w:r>
      <w:proofErr w:type="spellEnd"/>
      <w:r w:rsidRPr="00C26378">
        <w:t xml:space="preserve">, this study). The larger </w:t>
      </w:r>
      <w:proofErr w:type="spellStart"/>
      <w:r w:rsidRPr="00C26378">
        <w:t>TrCO</w:t>
      </w:r>
      <w:proofErr w:type="spellEnd"/>
      <w:r w:rsidRPr="00C26378">
        <w:t xml:space="preserve"> from the Natal–Ascension com-bination appears to result from a higher positive trend in the UT (3.4 ± 2.9) %/decade</w:t>
      </w:r>
      <w:r>
        <w:t xml:space="preserve"> </w:t>
      </w:r>
      <w:r w:rsidRPr="0027317D">
        <w:rPr>
          <w:highlight w:val="yellow"/>
        </w:rPr>
        <w:t>(Fig. 16c).</w:t>
      </w:r>
      <w:r w:rsidRPr="00C26378">
        <w:t xml:space="preserve"> Because the FT ozone trend of </w:t>
      </w:r>
      <w:proofErr w:type="spellStart"/>
      <w:r w:rsidRPr="00C26378">
        <w:t>Gaudel</w:t>
      </w:r>
      <w:proofErr w:type="spellEnd"/>
      <w:r w:rsidRPr="00C26378">
        <w:t xml:space="preserve"> et al. (2024) is negative and the Nat-</w:t>
      </w:r>
      <w:proofErr w:type="spellStart"/>
      <w:r w:rsidRPr="00C26378">
        <w:t>Asc</w:t>
      </w:r>
      <w:proofErr w:type="spellEnd"/>
      <w:r w:rsidRPr="00C26378">
        <w:t xml:space="preserve"> FT ozone trend is positive (Table 6), combining western African IAGOS profiles with the Natal and Ascension measurements, reduces the larger area trend compared to the sonde-only FT ozone trend. Table 6 shows that for all regions the MLS-derived UT ozone trend estimates fall between</w:t>
      </w:r>
      <w:r>
        <w:t xml:space="preserve"> </w:t>
      </w:r>
      <w:r w:rsidRPr="00C26378">
        <w:t>+3 %/decade and +4 %/decade (</w:t>
      </w:r>
      <w:proofErr w:type="spellStart"/>
      <w:r w:rsidRPr="00C26378">
        <w:t>Froidevaux</w:t>
      </w:r>
      <w:proofErr w:type="spellEnd"/>
      <w:r w:rsidRPr="00C26378">
        <w:t xml:space="preserve"> et al., 2025). Only over the Atlantic region do any of the SHADOZ UT ozone trends fall in this range. Overall, the Atlantic and West Africa FT ozone and </w:t>
      </w:r>
      <w:proofErr w:type="spellStart"/>
      <w:r w:rsidRPr="00C26378">
        <w:t>TrCOsonde</w:t>
      </w:r>
      <w:proofErr w:type="spellEnd"/>
      <w:r w:rsidRPr="00C26378">
        <w:t xml:space="preserve"> trends are</w:t>
      </w:r>
      <w:r>
        <w:t xml:space="preserve"> </w:t>
      </w:r>
      <w:r w:rsidRPr="00087A01">
        <w:rPr>
          <w:highlight w:val="yellow"/>
        </w:rPr>
        <w:t>(0-2) %/decade</w:t>
      </w:r>
      <w:r w:rsidRPr="00C26378">
        <w:t xml:space="preserve"> </w:t>
      </w:r>
      <w:r w:rsidRPr="00087A01">
        <w:rPr>
          <w:strike/>
        </w:rPr>
        <w:t>nearly zero</w:t>
      </w:r>
      <w:r w:rsidRPr="00C26378">
        <w:t>, in agreement with OMI/MLS (1.3 ± 1.4) %/decade. As for the Equatorial Americas, the 2008–2023 trends from IASI/Me-top over the Atlantic and west Africa are much lower:(−4.9 ± 2.0) %/decade. Compare</w:t>
      </w:r>
      <w:r w:rsidRPr="00087A01">
        <w:rPr>
          <w:highlight w:val="yellow"/>
        </w:rPr>
        <w:t>d</w:t>
      </w:r>
      <w:r w:rsidRPr="00C26378">
        <w:t xml:space="preserve"> to the OMI/MLS trend, the IASI/</w:t>
      </w:r>
      <w:proofErr w:type="spellStart"/>
      <w:r w:rsidRPr="00C26378">
        <w:t>Metop</w:t>
      </w:r>
      <w:proofErr w:type="spellEnd"/>
      <w:r w:rsidRPr="00C26378">
        <w:t xml:space="preserve"> median trend has a 6.2 %/decade low bias. The</w:t>
      </w:r>
      <w:r>
        <w:t xml:space="preserve"> </w:t>
      </w:r>
      <w:r w:rsidRPr="00C6388E">
        <w:t xml:space="preserve">picture for east Africa (both SHADOZ and IAGOS profiles over Nairobi) is </w:t>
      </w:r>
      <w:proofErr w:type="gramStart"/>
      <w:r w:rsidRPr="00C6388E">
        <w:t>similar to</w:t>
      </w:r>
      <w:proofErr w:type="gramEnd"/>
      <w:r w:rsidRPr="00C6388E">
        <w:t xml:space="preserve"> the Atlantic and west Africa. FT ozone, </w:t>
      </w:r>
      <w:proofErr w:type="spellStart"/>
      <w:r w:rsidRPr="00C6388E">
        <w:t>TrCO</w:t>
      </w:r>
      <w:r w:rsidRPr="00C6388E">
        <w:rPr>
          <w:vertAlign w:val="subscript"/>
        </w:rPr>
        <w:t>sonde</w:t>
      </w:r>
      <w:proofErr w:type="spellEnd"/>
      <w:r w:rsidRPr="00C6388E">
        <w:t xml:space="preserve"> and OMI/MLS </w:t>
      </w:r>
      <w:proofErr w:type="spellStart"/>
      <w:r w:rsidRPr="00C6388E">
        <w:t>TrCO</w:t>
      </w:r>
      <w:proofErr w:type="spellEnd"/>
      <w:r w:rsidRPr="00C6388E">
        <w:t xml:space="preserve"> trends are ess</w:t>
      </w:r>
      <w:r w:rsidRPr="00087A01">
        <w:rPr>
          <w:highlight w:val="yellow"/>
        </w:rPr>
        <w:t>entia</w:t>
      </w:r>
      <w:r w:rsidRPr="00C6388E">
        <w:t>lly null</w:t>
      </w:r>
      <w:r>
        <w:t xml:space="preserve"> </w:t>
      </w:r>
      <w:r w:rsidRPr="00087A01">
        <w:rPr>
          <w:highlight w:val="yellow"/>
        </w:rPr>
        <w:t xml:space="preserve">(Table 6, Figs. 16 a and 16b), </w:t>
      </w:r>
      <w:proofErr w:type="gramStart"/>
      <w:r w:rsidRPr="00087A01">
        <w:rPr>
          <w:highlight w:val="yellow"/>
        </w:rPr>
        <w:t>similar to</w:t>
      </w:r>
      <w:proofErr w:type="gramEnd"/>
      <w:r w:rsidRPr="00087A01">
        <w:rPr>
          <w:highlight w:val="yellow"/>
        </w:rPr>
        <w:t xml:space="preserve"> HEGIFTOM-1</w:t>
      </w:r>
      <w:r>
        <w:t xml:space="preserve">, </w:t>
      </w:r>
      <w:r w:rsidRPr="00C6388E">
        <w:t>but IASI/</w:t>
      </w:r>
      <w:proofErr w:type="spellStart"/>
      <w:r w:rsidRPr="00C6388E">
        <w:t>Metop</w:t>
      </w:r>
      <w:proofErr w:type="spellEnd"/>
      <w:r w:rsidRPr="00C6388E">
        <w:t xml:space="preserve"> displays a (−3</w:t>
      </w:r>
      <w:r w:rsidRPr="00C6388E">
        <w:rPr>
          <w:i/>
          <w:iCs/>
        </w:rPr>
        <w:t>.</w:t>
      </w:r>
      <w:r w:rsidRPr="00C6388E">
        <w:t>6 ± 1.0) %/decade trend.</w:t>
      </w:r>
    </w:p>
    <w:p w14:paraId="399CAE0E" w14:textId="77777777" w:rsidR="00465DE3" w:rsidRPr="00C6388E" w:rsidRDefault="00465DE3" w:rsidP="00465DE3">
      <w:r>
        <w:t xml:space="preserve">    </w:t>
      </w:r>
      <w:r w:rsidRPr="00C6388E">
        <w:t>There is more variability in trends among the ground</w:t>
      </w:r>
      <w:proofErr w:type="gramStart"/>
      <w:r w:rsidRPr="00C6388E">
        <w:t>- based</w:t>
      </w:r>
      <w:proofErr w:type="gramEnd"/>
      <w:r w:rsidRPr="00C6388E">
        <w:t xml:space="preserve"> studies for the equatorial SE Asia region than the Equatorial Americas, Atlantic and Africa, most likely because different combinations of IAGOS profiles and</w:t>
      </w:r>
      <w:r>
        <w:t xml:space="preserve"> </w:t>
      </w:r>
      <w:r w:rsidRPr="00C6388E">
        <w:t>SHADOZ data were used. Supplementing FT KL-Java SHADOZ profiles with IAGOS data (Tables 3 and 6) in our study, a 50 % increase in sample size, did not change the trend appreciably: (1.0 ± 2.6</w:t>
      </w:r>
      <w:proofErr w:type="gramStart"/>
      <w:r w:rsidRPr="00C6388E">
        <w:t>) %/decade</w:t>
      </w:r>
      <w:proofErr w:type="gramEnd"/>
      <w:r w:rsidRPr="00C6388E">
        <w:t xml:space="preserve"> vs</w:t>
      </w:r>
      <w:r>
        <w:t xml:space="preserve"> </w:t>
      </w:r>
      <w:r w:rsidRPr="00C6388E">
        <w:t xml:space="preserve">(1.6 ± 3.2) %/decade. The corresponding </w:t>
      </w:r>
      <w:proofErr w:type="spellStart"/>
      <w:r w:rsidRPr="00C6388E">
        <w:t>TrCO</w:t>
      </w:r>
      <w:r w:rsidRPr="00C6388E">
        <w:rPr>
          <w:vertAlign w:val="subscript"/>
        </w:rPr>
        <w:t>sonde</w:t>
      </w:r>
      <w:proofErr w:type="spellEnd"/>
      <w:r w:rsidRPr="00C6388E">
        <w:t xml:space="preserve"> over</w:t>
      </w:r>
      <w:r>
        <w:t xml:space="preserve"> </w:t>
      </w:r>
      <w:r w:rsidRPr="00C6388E">
        <w:t xml:space="preserve">KL-Java increased (2.6 ± 2.3) %/decade. S24 computed trends with MLR for KL-Java for 1998–2022: the </w:t>
      </w:r>
      <w:proofErr w:type="spellStart"/>
      <w:r w:rsidRPr="00C6388E">
        <w:t>TrCO</w:t>
      </w:r>
      <w:r w:rsidRPr="00C6388E">
        <w:rPr>
          <w:vertAlign w:val="subscript"/>
        </w:rPr>
        <w:t>sonde</w:t>
      </w:r>
      <w:proofErr w:type="spellEnd"/>
      <w:r>
        <w:rPr>
          <w:vertAlign w:val="subscript"/>
        </w:rPr>
        <w:t xml:space="preserve"> </w:t>
      </w:r>
      <w:r w:rsidRPr="00C6388E">
        <w:t>was (3.4 ± 2.6) %/decade. Although the trend period only differs by 1 year, the smaller trend with the extra year in this study (to 2023) might reflect some COVID impact (columns</w:t>
      </w:r>
      <w:r>
        <w:t xml:space="preserve"> </w:t>
      </w:r>
      <w:r w:rsidRPr="00C6388E">
        <w:t xml:space="preserve">5 and 7 in Table 2). For OMI/MLS </w:t>
      </w:r>
      <w:proofErr w:type="spellStart"/>
      <w:r w:rsidRPr="00C6388E">
        <w:t>TrCO</w:t>
      </w:r>
      <w:proofErr w:type="spellEnd"/>
      <w:r w:rsidRPr="00C6388E">
        <w:t xml:space="preserve">, determined from a mean of changes averaged over 5°×5° grid boxes for KL and </w:t>
      </w:r>
      <w:proofErr w:type="spellStart"/>
      <w:r w:rsidRPr="00C6388E">
        <w:t>Watukosek</w:t>
      </w:r>
      <w:proofErr w:type="spellEnd"/>
      <w:r w:rsidRPr="00C6388E">
        <w:t xml:space="preserve"> (Java), there was a trend of (5.6 ± 6.0) %/decade, 2005–2023. The latter change is nearly the same as </w:t>
      </w:r>
      <w:proofErr w:type="spellStart"/>
      <w:r w:rsidRPr="00C6388E">
        <w:t>Gaudel</w:t>
      </w:r>
      <w:proofErr w:type="spellEnd"/>
      <w:r>
        <w:t xml:space="preserve"> </w:t>
      </w:r>
      <w:r w:rsidRPr="00C6388E">
        <w:t>et al. (2024) for both FT ozone and OMI/MLS changes over</w:t>
      </w:r>
      <w:r>
        <w:t xml:space="preserve"> </w:t>
      </w:r>
      <w:r w:rsidRPr="00C6388E">
        <w:t xml:space="preserve">the same interval. There are several reasons that </w:t>
      </w:r>
      <w:proofErr w:type="spellStart"/>
      <w:r w:rsidRPr="00C6388E">
        <w:t>Gaudel</w:t>
      </w:r>
      <w:proofErr w:type="spellEnd"/>
      <w:r w:rsidRPr="00C6388E">
        <w:t xml:space="preserve"> et al. (2024) FT ozone trends in Table 6</w:t>
      </w:r>
      <w:r>
        <w:t xml:space="preserve"> </w:t>
      </w:r>
      <w:r w:rsidRPr="00AF6768">
        <w:rPr>
          <w:highlight w:val="yellow"/>
        </w:rPr>
        <w:t>and Fig. 16b</w:t>
      </w:r>
      <w:r w:rsidRPr="00C6388E">
        <w:t xml:space="preserve"> are larger than our SHADOZ-IAGOS FT ozone trends. First, the fusing of SHADOZ and IAGOS profiles in </w:t>
      </w:r>
      <w:proofErr w:type="spellStart"/>
      <w:r w:rsidRPr="00C6388E">
        <w:t>Gaudel</w:t>
      </w:r>
      <w:proofErr w:type="spellEnd"/>
      <w:r w:rsidRPr="00C6388E">
        <w:t xml:space="preserve"> et al. (2024) may be more heavily weighted to polluted IAGOS segments than our</w:t>
      </w:r>
      <w:r>
        <w:t xml:space="preserve"> </w:t>
      </w:r>
      <w:r w:rsidRPr="00C6388E">
        <w:t>merging. Second, reprocessed IAGOS profiles have not been</w:t>
      </w:r>
      <w:r>
        <w:t xml:space="preserve"> </w:t>
      </w:r>
      <w:r w:rsidRPr="00C6388E">
        <w:t xml:space="preserve">rigorously compared to SHADOZ data up to this point; a new evaluation of IAGOS instrumentation in the World Calibration Center for </w:t>
      </w:r>
      <w:proofErr w:type="spellStart"/>
      <w:r w:rsidRPr="00C6388E">
        <w:t>Ozonesondes</w:t>
      </w:r>
      <w:proofErr w:type="spellEnd"/>
      <w:r w:rsidRPr="00C6388E">
        <w:t xml:space="preserve"> may facilitate consistent refer- </w:t>
      </w:r>
      <w:proofErr w:type="spellStart"/>
      <w:r w:rsidRPr="00C6388E">
        <w:t>encing</w:t>
      </w:r>
      <w:proofErr w:type="spellEnd"/>
      <w:r w:rsidRPr="00C6388E">
        <w:t xml:space="preserve"> to an absolute ozone standard in the future (Smit et al., 2024, 2025). Third, with the shorter trend period, especially ending in 2019, the data of </w:t>
      </w:r>
      <w:proofErr w:type="spellStart"/>
      <w:r w:rsidRPr="00C6388E">
        <w:t>Gaudel</w:t>
      </w:r>
      <w:proofErr w:type="spellEnd"/>
      <w:r w:rsidRPr="00C6388E">
        <w:t xml:space="preserve"> et al. (2024) would not be affected by lower, COVID-perturbed ozone concentrations in 2020–2023 as some SHADOZ records </w:t>
      </w:r>
      <w:proofErr w:type="spellStart"/>
      <w:r w:rsidRPr="00CE6556">
        <w:rPr>
          <w:highlight w:val="yellow"/>
        </w:rPr>
        <w:t>are</w:t>
      </w:r>
      <w:r w:rsidRPr="00AF6768">
        <w:rPr>
          <w:strike/>
        </w:rPr>
        <w:t>were</w:t>
      </w:r>
      <w:proofErr w:type="spellEnd"/>
      <w:r w:rsidRPr="00C6388E">
        <w:t xml:space="preserve"> (Table 2).</w:t>
      </w:r>
    </w:p>
    <w:p w14:paraId="2B575B60" w14:textId="77777777" w:rsidR="00945362" w:rsidRDefault="00465DE3" w:rsidP="00465DE3">
      <w:r>
        <w:t xml:space="preserve">   </w:t>
      </w:r>
      <w:r w:rsidRPr="00C6388E">
        <w:t xml:space="preserve">The HEGIFTOM-1 FT ozone trend (2000–2022) for Kuala Lumpur is nearly identical to the KL-Java trend, 1998–2023: (2.2 ± 3.0) %/decade. In HEGIFTOM-2 (based on SHADOZ KL and IAGOS from several SE Asia airports) FT ozone increases over a longer period (1995–2022) are (6.2 ± 2.2) %/decade. Thus, in general, over SE Asia, as for the </w:t>
      </w:r>
    </w:p>
    <w:p w14:paraId="64C9B60E" w14:textId="77777777" w:rsidR="00945362" w:rsidRDefault="00945362" w:rsidP="00465DE3"/>
    <w:p w14:paraId="592B67A0" w14:textId="77777777" w:rsidR="00945362" w:rsidRDefault="00945362" w:rsidP="00465DE3">
      <w:r>
        <w:lastRenderedPageBreak/>
        <w:t>Proof Page 35</w:t>
      </w:r>
    </w:p>
    <w:p w14:paraId="4ACE3091" w14:textId="1D90DAED" w:rsidR="00465DE3" w:rsidRPr="00C6388E" w:rsidRDefault="00465DE3" w:rsidP="00465DE3">
      <w:r w:rsidRPr="00C6388E">
        <w:t>Equatorial Americas, Atlantic and Africa, the GB and OMI/MLS trends are in reasonable agreement, given</w:t>
      </w:r>
      <w:r w:rsidRPr="00C6388E">
        <w:rPr>
          <w:strike/>
        </w:rPr>
        <w:t xml:space="preserve"> some</w:t>
      </w:r>
      <w:r w:rsidRPr="00C6388E">
        <w:t xml:space="preserve"> differences in data selection and </w:t>
      </w:r>
      <w:r w:rsidRPr="00C6388E">
        <w:rPr>
          <w:strike/>
        </w:rPr>
        <w:t>minor differences</w:t>
      </w:r>
      <w:r>
        <w:t xml:space="preserve"> </w:t>
      </w:r>
      <w:r w:rsidRPr="00C6388E">
        <w:t xml:space="preserve">in the trend start and end dates: FT and </w:t>
      </w:r>
      <w:proofErr w:type="spellStart"/>
      <w:r w:rsidRPr="00C6388E">
        <w:t>TrCO</w:t>
      </w:r>
      <w:proofErr w:type="spellEnd"/>
      <w:r w:rsidRPr="00C6388E">
        <w:t xml:space="preserve"> ozone </w:t>
      </w:r>
      <w:r w:rsidRPr="00C6388E">
        <w:rPr>
          <w:highlight w:val="yellow"/>
        </w:rPr>
        <w:t>increases</w:t>
      </w:r>
      <w:r w:rsidRPr="00C6388E">
        <w:t xml:space="preserve"> </w:t>
      </w:r>
      <w:r w:rsidRPr="00C6388E">
        <w:rPr>
          <w:rFonts w:ascii="Cambria Math" w:hAnsi="Cambria Math" w:cs="Cambria Math"/>
        </w:rPr>
        <w:t>∼</w:t>
      </w:r>
      <w:r w:rsidRPr="00C6388E">
        <w:t xml:space="preserve"> +(2–8) %/decade. Likewise, the IASI/</w:t>
      </w:r>
      <w:proofErr w:type="spellStart"/>
      <w:r w:rsidRPr="00C6388E">
        <w:t>Metop</w:t>
      </w:r>
      <w:proofErr w:type="spellEnd"/>
      <w:r w:rsidRPr="00C6388E">
        <w:t xml:space="preserve"> trend for </w:t>
      </w:r>
      <w:proofErr w:type="spellStart"/>
      <w:r w:rsidRPr="00C6388E">
        <w:t>TrCO</w:t>
      </w:r>
      <w:proofErr w:type="spellEnd"/>
      <w:r w:rsidRPr="00C6388E">
        <w:t>, (0.0 ± 1.4) %/decade over 2008–2023 (</w:t>
      </w:r>
      <w:proofErr w:type="spellStart"/>
      <w:r w:rsidRPr="00C6388E">
        <w:t>Boynard</w:t>
      </w:r>
      <w:proofErr w:type="spellEnd"/>
      <w:r w:rsidRPr="00C6388E">
        <w:t xml:space="preserve"> et al., 2025), is an outlier over SE Asia.</w:t>
      </w:r>
    </w:p>
    <w:p w14:paraId="632A1094" w14:textId="0E11FD95" w:rsidR="00465DE3" w:rsidRPr="00C6388E" w:rsidRDefault="00465DE3" w:rsidP="00465DE3">
      <w:r>
        <w:t xml:space="preserve">   </w:t>
      </w:r>
      <w:r w:rsidRPr="00C6388E">
        <w:t xml:space="preserve">Nowhere are the satellite data as divergent from the FT sonde trends, near zero change from our study (1998– 2023) and </w:t>
      </w:r>
      <w:proofErr w:type="spellStart"/>
      <w:r w:rsidRPr="00C6388E">
        <w:t>Gaudel</w:t>
      </w:r>
      <w:proofErr w:type="spellEnd"/>
      <w:r w:rsidRPr="00C6388E">
        <w:t xml:space="preserve"> et al. (2024, for 2004–2019) and</w:t>
      </w:r>
      <w:r>
        <w:t xml:space="preserve"> </w:t>
      </w:r>
      <w:r w:rsidRPr="00C6388E">
        <w:t xml:space="preserve">HEGIFTOM-1 (2000–2022) than </w:t>
      </w:r>
      <w:proofErr w:type="gramStart"/>
      <w:r w:rsidRPr="00C6388E">
        <w:t>at</w:t>
      </w:r>
      <w:proofErr w:type="gramEnd"/>
      <w:r w:rsidRPr="00C6388E">
        <w:t xml:space="preserve"> Samoa (Table 6). </w:t>
      </w:r>
      <w:proofErr w:type="spellStart"/>
      <w:r w:rsidRPr="00C6388E">
        <w:t>TrCO</w:t>
      </w:r>
      <w:proofErr w:type="spellEnd"/>
      <w:r w:rsidRPr="00C6388E">
        <w:t xml:space="preserve"> from the SHADOZ sondes has no significant change: (−1</w:t>
      </w:r>
      <w:r w:rsidRPr="00C6388E">
        <w:rPr>
          <w:i/>
          <w:iCs/>
        </w:rPr>
        <w:t>.</w:t>
      </w:r>
      <w:r w:rsidRPr="00C6388E">
        <w:t>4 ± 4.8) %/decade, this study); (−3</w:t>
      </w:r>
      <w:r w:rsidRPr="00C6388E">
        <w:rPr>
          <w:i/>
          <w:iCs/>
        </w:rPr>
        <w:t>.</w:t>
      </w:r>
      <w:r w:rsidRPr="00C6388E">
        <w:t>1 ± 5.4) %/decade (</w:t>
      </w:r>
      <w:proofErr w:type="spellStart"/>
      <w:r w:rsidRPr="00C6388E">
        <w:t>Gaudel</w:t>
      </w:r>
      <w:proofErr w:type="spellEnd"/>
      <w:r w:rsidRPr="00C6388E">
        <w:t xml:space="preserve"> et al. 2024). However, the OMI/MLS trend for </w:t>
      </w:r>
      <w:proofErr w:type="spellStart"/>
      <w:r w:rsidRPr="00C6388E">
        <w:t>TrCO</w:t>
      </w:r>
      <w:proofErr w:type="spellEnd"/>
      <w:r w:rsidRPr="00C6388E">
        <w:t xml:space="preserve"> is (9.1 ± 8.3) %/decade, 2005–2023, and IASI/</w:t>
      </w:r>
      <w:proofErr w:type="spellStart"/>
      <w:r w:rsidRPr="00C6388E">
        <w:t>Metop</w:t>
      </w:r>
      <w:proofErr w:type="spellEnd"/>
    </w:p>
    <w:p w14:paraId="3892BA33" w14:textId="6B727B5F" w:rsidR="00465DE3" w:rsidRPr="00C6388E" w:rsidRDefault="00465DE3" w:rsidP="00465DE3">
      <w:r w:rsidRPr="00C6388E">
        <w:t>is (−9</w:t>
      </w:r>
      <w:r w:rsidRPr="00C6388E">
        <w:rPr>
          <w:i/>
          <w:iCs/>
        </w:rPr>
        <w:t>.</w:t>
      </w:r>
      <w:r w:rsidRPr="00C6388E">
        <w:t>0 ± 1.7) %/decade</w:t>
      </w:r>
      <w:r>
        <w:t xml:space="preserve"> </w:t>
      </w:r>
      <w:r w:rsidRPr="00CE6556">
        <w:rPr>
          <w:highlight w:val="yellow"/>
        </w:rPr>
        <w:t>(Fig. 16a)</w:t>
      </w:r>
      <w:r w:rsidRPr="00C6388E">
        <w:rPr>
          <w:highlight w:val="yellow"/>
        </w:rPr>
        <w:t>.</w:t>
      </w:r>
      <w:r w:rsidRPr="00C6388E">
        <w:t xml:space="preserve"> The large disagreement in trends </w:t>
      </w:r>
      <w:bookmarkStart w:id="0" w:name="Implications_of_this_study_for_TOAR_II_a"/>
      <w:bookmarkEnd w:id="0"/>
      <w:r w:rsidRPr="00C6388E">
        <w:t xml:space="preserve">from sondes and both satellite instruments, the latter with median </w:t>
      </w:r>
      <w:proofErr w:type="spellStart"/>
      <w:r w:rsidRPr="00C6388E">
        <w:t>TrCO</w:t>
      </w:r>
      <w:proofErr w:type="spellEnd"/>
      <w:r w:rsidRPr="00C6388E">
        <w:t xml:space="preserve"> trends that are offset by 18 % from one another, underscores the need for profile-based tropospheric ozone trends as an unbiased reference.</w:t>
      </w:r>
    </w:p>
    <w:p w14:paraId="03EC24EA" w14:textId="77777777" w:rsidR="00465DE3" w:rsidRDefault="00465DE3" w:rsidP="00465DE3">
      <w:pPr>
        <w:rPr>
          <w:i/>
          <w:iCs/>
        </w:rPr>
      </w:pPr>
      <w:r w:rsidRPr="00C6388E">
        <w:rPr>
          <w:i/>
          <w:iCs/>
          <w:highlight w:val="yellow"/>
        </w:rPr>
        <w:t>End of Section 4.2 at line 4 on typeset page 28</w:t>
      </w:r>
    </w:p>
    <w:p w14:paraId="5B1A8CDF" w14:textId="1CE5A2ED" w:rsidR="00465DE3" w:rsidRDefault="00465DE3" w:rsidP="00465DE3">
      <w:r w:rsidRPr="00C6388E">
        <w:rPr>
          <w:i/>
          <w:iCs/>
          <w:highlight w:val="yellow"/>
        </w:rPr>
        <w:t xml:space="preserve">Resume edits on typeset </w:t>
      </w:r>
      <w:r>
        <w:rPr>
          <w:i/>
          <w:iCs/>
          <w:highlight w:val="yellow"/>
        </w:rPr>
        <w:t xml:space="preserve">Proof </w:t>
      </w:r>
      <w:r w:rsidRPr="00C6388E">
        <w:rPr>
          <w:i/>
          <w:iCs/>
          <w:highlight w:val="yellow"/>
        </w:rPr>
        <w:t>page 28</w:t>
      </w:r>
    </w:p>
    <w:p w14:paraId="6229CB05" w14:textId="21F3DAA2" w:rsidR="00945362" w:rsidRDefault="00945362" w:rsidP="00465DE3">
      <w:r>
        <w:t>&gt;&gt;&gt;&gt;&gt;&gt;&gt;&gt;&gt;&gt;&gt;&gt;&gt;&gt;&gt;&gt;&gt;&gt;.</w:t>
      </w:r>
    </w:p>
    <w:p w14:paraId="5D209921" w14:textId="77777777" w:rsidR="00945362" w:rsidRDefault="00945362" w:rsidP="00945362">
      <w:pPr>
        <w:rPr>
          <w:b/>
          <w:bCs/>
        </w:rPr>
      </w:pPr>
      <w:r>
        <w:rPr>
          <w:b/>
          <w:bCs/>
        </w:rPr>
        <w:t>NEW ORDERING OF FIGURE CAPTIONS *AFTER* FIGURE 8 (</w:t>
      </w:r>
      <w:r w:rsidRPr="00090843">
        <w:rPr>
          <w:b/>
          <w:bCs/>
          <w:highlight w:val="yellow"/>
        </w:rPr>
        <w:t>new Figures in highlight</w:t>
      </w:r>
      <w:r>
        <w:rPr>
          <w:b/>
          <w:bCs/>
        </w:rPr>
        <w:t>)</w:t>
      </w:r>
    </w:p>
    <w:p w14:paraId="23130253" w14:textId="77777777" w:rsidR="00945362" w:rsidRDefault="00945362" w:rsidP="00945362">
      <w:pPr>
        <w:rPr>
          <w:b/>
          <w:bCs/>
        </w:rPr>
      </w:pPr>
    </w:p>
    <w:p w14:paraId="469F817F" w14:textId="77777777" w:rsidR="00945362" w:rsidRPr="00090843" w:rsidRDefault="00945362" w:rsidP="00945362">
      <w:pPr>
        <w:rPr>
          <w:rFonts w:asciiTheme="minorHAnsi" w:hAnsiTheme="minorHAnsi"/>
        </w:rPr>
      </w:pPr>
      <w:r w:rsidRPr="00090843">
        <w:rPr>
          <w:rFonts w:asciiTheme="minorHAnsi" w:hAnsiTheme="minorHAnsi"/>
          <w:b/>
          <w:bCs/>
          <w:highlight w:val="yellow"/>
        </w:rPr>
        <w:t xml:space="preserve">Figure 9. </w:t>
      </w:r>
      <w:r w:rsidRPr="00090843">
        <w:rPr>
          <w:rFonts w:asciiTheme="minorHAnsi" w:hAnsiTheme="minorHAnsi"/>
          <w:highlight w:val="yellow"/>
        </w:rPr>
        <w:t>Summary map of the</w:t>
      </w:r>
      <w:r w:rsidRPr="00090843">
        <w:rPr>
          <w:rFonts w:asciiTheme="minorHAnsi" w:hAnsiTheme="minorHAnsi"/>
          <w:b/>
          <w:bCs/>
          <w:highlight w:val="yellow"/>
        </w:rPr>
        <w:t xml:space="preserve"> </w:t>
      </w:r>
      <w:r w:rsidRPr="00090843">
        <w:rPr>
          <w:rFonts w:asciiTheme="minorHAnsi" w:hAnsiTheme="minorHAnsi"/>
          <w:highlight w:val="yellow"/>
        </w:rPr>
        <w:t>annual 1998-2023 MLR trends for five T21 SHADOZ sites for the total tropospheric column ozone (</w:t>
      </w:r>
      <w:proofErr w:type="spellStart"/>
      <w:r w:rsidRPr="00090843">
        <w:rPr>
          <w:rFonts w:asciiTheme="minorHAnsi" w:hAnsiTheme="minorHAnsi"/>
          <w:highlight w:val="yellow"/>
        </w:rPr>
        <w:t>TrCO</w:t>
      </w:r>
      <w:proofErr w:type="spellEnd"/>
      <w:r w:rsidRPr="00090843">
        <w:rPr>
          <w:rFonts w:asciiTheme="minorHAnsi" w:hAnsiTheme="minorHAnsi"/>
          <w:highlight w:val="yellow"/>
        </w:rPr>
        <w:t xml:space="preserve">), surface to tropopause, in %/decade from </w:t>
      </w:r>
      <w:r w:rsidRPr="00090843">
        <w:rPr>
          <w:rFonts w:asciiTheme="minorHAnsi" w:hAnsiTheme="minorHAnsi"/>
          <w:b/>
          <w:bCs/>
          <w:highlight w:val="yellow"/>
        </w:rPr>
        <w:t>Table 2</w:t>
      </w:r>
      <w:r w:rsidRPr="00090843">
        <w:rPr>
          <w:rFonts w:asciiTheme="minorHAnsi" w:hAnsiTheme="minorHAnsi"/>
          <w:highlight w:val="yellow"/>
        </w:rPr>
        <w:t xml:space="preserve"> including the 95% confidence intervals.</w:t>
      </w:r>
      <w:r w:rsidRPr="00090843">
        <w:rPr>
          <w:rFonts w:asciiTheme="minorHAnsi" w:hAnsiTheme="minorHAnsi"/>
        </w:rPr>
        <w:t xml:space="preserve">  </w:t>
      </w:r>
    </w:p>
    <w:p w14:paraId="7037BE4C" w14:textId="77777777" w:rsidR="00945362" w:rsidRPr="00C73812" w:rsidRDefault="00945362" w:rsidP="00945362">
      <w:pPr>
        <w:pStyle w:val="Affiliation"/>
        <w:spacing w:before="0"/>
        <w:rPr>
          <w:rFonts w:asciiTheme="minorHAnsi" w:hAnsiTheme="minorHAnsi" w:cstheme="majorHAnsi"/>
          <w:b/>
          <w:bCs/>
          <w:sz w:val="20"/>
          <w:szCs w:val="20"/>
        </w:rPr>
      </w:pPr>
    </w:p>
    <w:p w14:paraId="258C6FA8" w14:textId="77777777" w:rsidR="00945362" w:rsidRPr="00945362" w:rsidRDefault="00945362" w:rsidP="00945362">
      <w:pPr>
        <w:pStyle w:val="Affiliation"/>
        <w:spacing w:before="0"/>
        <w:ind w:left="288" w:hanging="288"/>
        <w:rPr>
          <w:sz w:val="19"/>
          <w:szCs w:val="19"/>
        </w:rPr>
      </w:pPr>
      <w:r w:rsidRPr="00945362">
        <w:rPr>
          <w:b/>
          <w:bCs/>
          <w:sz w:val="19"/>
          <w:szCs w:val="19"/>
        </w:rPr>
        <w:t>Figure 10</w:t>
      </w:r>
      <w:r w:rsidRPr="00945362">
        <w:rPr>
          <w:sz w:val="19"/>
          <w:szCs w:val="19"/>
        </w:rPr>
        <w:t xml:space="preserve">.  </w:t>
      </w:r>
      <w:r w:rsidRPr="00945362">
        <w:rPr>
          <w:i/>
          <w:iCs/>
          <w:sz w:val="19"/>
          <w:szCs w:val="19"/>
        </w:rPr>
        <w:t>(former Fig 9)</w:t>
      </w:r>
      <w:r w:rsidRPr="00945362">
        <w:rPr>
          <w:sz w:val="19"/>
          <w:szCs w:val="19"/>
        </w:rPr>
        <w:t xml:space="preserve"> (a) Monthly MLR trends (colored dots) derived from SHADOZ T21 stations highlighting a July-October decrease in LMS ozone in 15-20km layer; yellow dots denote the </w:t>
      </w:r>
      <w:proofErr w:type="gramStart"/>
      <w:r w:rsidRPr="00945362">
        <w:rPr>
          <w:sz w:val="19"/>
          <w:szCs w:val="19"/>
        </w:rPr>
        <w:t>mean</w:t>
      </w:r>
      <w:proofErr w:type="gramEnd"/>
      <w:r w:rsidRPr="00945362">
        <w:rPr>
          <w:sz w:val="19"/>
          <w:szCs w:val="19"/>
        </w:rPr>
        <w:t xml:space="preserve"> of all T21 stations, with error bars indicating the 95% confidence intervals.  (b) Corresponding TH trends (380 K potential temperature; θ) derived from the radiosondes.  (c) Same as (a) except trends have been computed for the segments between the tropopause and 5 km above the TH. Compared to (a) the trends in the tropopause referenced ozone column (c) become close to zero throughout the year.</w:t>
      </w:r>
    </w:p>
    <w:p w14:paraId="17A4583A" w14:textId="77777777" w:rsidR="00945362" w:rsidRPr="00945362" w:rsidRDefault="00945362" w:rsidP="00945362">
      <w:pPr>
        <w:ind w:left="288" w:hanging="288"/>
        <w:rPr>
          <w:rFonts w:ascii="Times New Roman" w:hAnsi="Times New Roman" w:cs="Times New Roman"/>
          <w:b/>
          <w:bCs/>
          <w:sz w:val="19"/>
          <w:szCs w:val="19"/>
        </w:rPr>
      </w:pPr>
      <w:r w:rsidRPr="00945362">
        <w:rPr>
          <w:rFonts w:ascii="Times New Roman" w:hAnsi="Times New Roman" w:cs="Times New Roman"/>
          <w:b/>
          <w:bCs/>
          <w:sz w:val="19"/>
          <w:szCs w:val="19"/>
        </w:rPr>
        <w:t>Figure 11.</w:t>
      </w:r>
      <w:r w:rsidRPr="00945362">
        <w:rPr>
          <w:rFonts w:ascii="Times New Roman" w:hAnsi="Times New Roman" w:cs="Times New Roman"/>
          <w:sz w:val="19"/>
          <w:szCs w:val="19"/>
        </w:rPr>
        <w:t xml:space="preserve"> </w:t>
      </w:r>
      <w:r w:rsidRPr="00945362">
        <w:rPr>
          <w:rFonts w:ascii="Times New Roman" w:hAnsi="Times New Roman" w:cs="Times New Roman"/>
          <w:i/>
          <w:iCs/>
          <w:sz w:val="19"/>
          <w:szCs w:val="19"/>
        </w:rPr>
        <w:t>(former Fig 10</w:t>
      </w:r>
      <w:proofErr w:type="gramStart"/>
      <w:r w:rsidRPr="00945362">
        <w:rPr>
          <w:rFonts w:ascii="Times New Roman" w:hAnsi="Times New Roman" w:cs="Times New Roman"/>
          <w:i/>
          <w:iCs/>
          <w:sz w:val="19"/>
          <w:szCs w:val="19"/>
        </w:rPr>
        <w:t>)</w:t>
      </w:r>
      <w:r w:rsidRPr="00945362">
        <w:rPr>
          <w:rFonts w:ascii="Times New Roman" w:hAnsi="Times New Roman" w:cs="Times New Roman"/>
          <w:sz w:val="19"/>
          <w:szCs w:val="19"/>
        </w:rPr>
        <w:t xml:space="preserve">  The</w:t>
      </w:r>
      <w:proofErr w:type="gramEnd"/>
      <w:r w:rsidRPr="00945362">
        <w:rPr>
          <w:rFonts w:ascii="Times New Roman" w:hAnsi="Times New Roman" w:cs="Times New Roman"/>
          <w:sz w:val="19"/>
          <w:szCs w:val="19"/>
        </w:rPr>
        <w:t xml:space="preserve"> total mean annual ozone trend (solid blue line), based on mixing ratio changes in 100-m intervals, from the surface to 22 km for all eight T21 SHADOZ profile datasets in %/decade with the 95% confidence interval range denoted.  The LMS region of interest to the stratospheric community, e.g., the LOTUS activity, while the tropospheric segment is marked as the primary TOAR-II focus. The -4%/decade trend in LMS ozone is </w:t>
      </w:r>
      <w:proofErr w:type="gramStart"/>
      <w:r w:rsidRPr="00945362">
        <w:rPr>
          <w:rFonts w:ascii="Times New Roman" w:hAnsi="Times New Roman" w:cs="Times New Roman"/>
          <w:sz w:val="19"/>
          <w:szCs w:val="19"/>
        </w:rPr>
        <w:t>similar to</w:t>
      </w:r>
      <w:proofErr w:type="gramEnd"/>
      <w:r w:rsidRPr="00945362">
        <w:rPr>
          <w:rFonts w:ascii="Times New Roman" w:hAnsi="Times New Roman" w:cs="Times New Roman"/>
          <w:sz w:val="19"/>
          <w:szCs w:val="19"/>
        </w:rPr>
        <w:t xml:space="preserve"> that derived from satellites in that region. The mean change throughout the FT is negligible and within the uncertainty range except below 2 km where mean increases ~+5%/decade are indicated. The near-surface trends are primarily a result of rapid increases in urbanized regions of equatorial SE Asia (Stauffer et al., 2024).</w:t>
      </w:r>
    </w:p>
    <w:p w14:paraId="16D95488" w14:textId="77777777" w:rsidR="00945362" w:rsidRPr="00945362" w:rsidRDefault="00945362" w:rsidP="00945362">
      <w:pPr>
        <w:pStyle w:val="Affiliation"/>
        <w:spacing w:before="0"/>
        <w:ind w:left="288" w:hanging="288"/>
        <w:rPr>
          <w:sz w:val="19"/>
          <w:szCs w:val="19"/>
        </w:rPr>
      </w:pPr>
      <w:r w:rsidRPr="00945362">
        <w:rPr>
          <w:b/>
          <w:bCs/>
          <w:sz w:val="19"/>
          <w:szCs w:val="19"/>
        </w:rPr>
        <w:t>Figure 12.</w:t>
      </w:r>
      <w:r w:rsidRPr="00945362">
        <w:rPr>
          <w:i/>
          <w:iCs/>
          <w:sz w:val="19"/>
          <w:szCs w:val="19"/>
        </w:rPr>
        <w:t xml:space="preserve"> (former Fig 11</w:t>
      </w:r>
      <w:proofErr w:type="gramStart"/>
      <w:r w:rsidRPr="00945362">
        <w:rPr>
          <w:i/>
          <w:iCs/>
          <w:sz w:val="19"/>
          <w:szCs w:val="19"/>
        </w:rPr>
        <w:t>)</w:t>
      </w:r>
      <w:r w:rsidRPr="00945362">
        <w:rPr>
          <w:sz w:val="19"/>
          <w:szCs w:val="19"/>
        </w:rPr>
        <w:t xml:space="preserve"> </w:t>
      </w:r>
      <w:r w:rsidRPr="00945362">
        <w:rPr>
          <w:b/>
          <w:bCs/>
          <w:sz w:val="19"/>
          <w:szCs w:val="19"/>
        </w:rPr>
        <w:t xml:space="preserve"> </w:t>
      </w:r>
      <w:proofErr w:type="spellStart"/>
      <w:r w:rsidRPr="00945362">
        <w:rPr>
          <w:sz w:val="19"/>
          <w:szCs w:val="19"/>
        </w:rPr>
        <w:t>FTp</w:t>
      </w:r>
      <w:proofErr w:type="spellEnd"/>
      <w:proofErr w:type="gramEnd"/>
      <w:r w:rsidRPr="00945362">
        <w:rPr>
          <w:sz w:val="19"/>
          <w:szCs w:val="19"/>
        </w:rPr>
        <w:t xml:space="preserve"> column ozone segment anomalies (monthly means) from SHADOZ sondes and IAGOS data, as described in </w:t>
      </w:r>
      <w:r w:rsidRPr="00945362">
        <w:rPr>
          <w:b/>
          <w:bCs/>
          <w:sz w:val="19"/>
          <w:szCs w:val="19"/>
        </w:rPr>
        <w:t>Table 3.</w:t>
      </w:r>
      <w:r w:rsidRPr="00945362">
        <w:rPr>
          <w:sz w:val="19"/>
          <w:szCs w:val="19"/>
        </w:rPr>
        <w:t xml:space="preserve"> Each frame displays the anomalies timeseries in DU at the left, a histogram of those anomalies in DU (each has a unique scale, ozone anomaly values for each percentile (dashed lines) are in parentheses) and the trends distribution by quantiles. Trends from annual MLR ozone (median, 50%-</w:t>
      </w:r>
      <w:proofErr w:type="spellStart"/>
      <w:r w:rsidRPr="00945362">
        <w:rPr>
          <w:sz w:val="19"/>
          <w:szCs w:val="19"/>
        </w:rPr>
        <w:t>ile</w:t>
      </w:r>
      <w:proofErr w:type="spellEnd"/>
      <w:r w:rsidRPr="00945362">
        <w:rPr>
          <w:sz w:val="19"/>
          <w:szCs w:val="19"/>
        </w:rPr>
        <w:t>) over 1998-2023 are green circles with their respective +/- 2sigma bars. The same period trends computed with QR by quantiles (0.05= lowest 5%-</w:t>
      </w:r>
      <w:proofErr w:type="spellStart"/>
      <w:r w:rsidRPr="00945362">
        <w:rPr>
          <w:sz w:val="19"/>
          <w:szCs w:val="19"/>
        </w:rPr>
        <w:t>ile</w:t>
      </w:r>
      <w:proofErr w:type="spellEnd"/>
      <w:r w:rsidRPr="00945362">
        <w:rPr>
          <w:sz w:val="19"/>
          <w:szCs w:val="19"/>
        </w:rPr>
        <w:t>), 0.25 (25%-</w:t>
      </w:r>
      <w:proofErr w:type="spellStart"/>
      <w:r w:rsidRPr="00945362">
        <w:rPr>
          <w:sz w:val="19"/>
          <w:szCs w:val="19"/>
        </w:rPr>
        <w:t>ile</w:t>
      </w:r>
      <w:proofErr w:type="spellEnd"/>
      <w:r w:rsidRPr="00945362">
        <w:rPr>
          <w:sz w:val="19"/>
          <w:szCs w:val="19"/>
        </w:rPr>
        <w:t>), 0.50 for median trends, 0.75 (75%-</w:t>
      </w:r>
      <w:proofErr w:type="spellStart"/>
      <w:r w:rsidRPr="00945362">
        <w:rPr>
          <w:sz w:val="19"/>
          <w:szCs w:val="19"/>
        </w:rPr>
        <w:t>ile</w:t>
      </w:r>
      <w:proofErr w:type="spellEnd"/>
      <w:r w:rsidRPr="00945362">
        <w:rPr>
          <w:sz w:val="19"/>
          <w:szCs w:val="19"/>
        </w:rPr>
        <w:t>) and 0.95 (95%-</w:t>
      </w:r>
      <w:proofErr w:type="spellStart"/>
      <w:r w:rsidRPr="00945362">
        <w:rPr>
          <w:sz w:val="19"/>
          <w:szCs w:val="19"/>
        </w:rPr>
        <w:t>ile</w:t>
      </w:r>
      <w:proofErr w:type="spellEnd"/>
      <w:r w:rsidRPr="00945362">
        <w:rPr>
          <w:sz w:val="19"/>
          <w:szCs w:val="19"/>
        </w:rPr>
        <w:t xml:space="preserve">) are blue circles.  Red circles denote p&lt;0.10.  (a) equatorial Americas; (b) Atlantic and West Africa region; (c) east Africa; (d) equatorial southeast Asia.  </w:t>
      </w:r>
    </w:p>
    <w:p w14:paraId="2A8CA65F" w14:textId="77777777" w:rsidR="00945362" w:rsidRPr="00945362" w:rsidRDefault="00945362" w:rsidP="00945362">
      <w:pPr>
        <w:ind w:left="288" w:hanging="288"/>
        <w:rPr>
          <w:rFonts w:ascii="Times New Roman" w:hAnsi="Times New Roman" w:cs="Times New Roman"/>
          <w:sz w:val="19"/>
          <w:szCs w:val="19"/>
        </w:rPr>
      </w:pPr>
      <w:r w:rsidRPr="00945362">
        <w:rPr>
          <w:rFonts w:ascii="Times New Roman" w:hAnsi="Times New Roman" w:cs="Times New Roman"/>
          <w:b/>
          <w:bCs/>
          <w:sz w:val="19"/>
          <w:szCs w:val="19"/>
        </w:rPr>
        <w:t xml:space="preserve">Figure 13. </w:t>
      </w:r>
      <w:r w:rsidRPr="00945362">
        <w:rPr>
          <w:rFonts w:ascii="Times New Roman" w:hAnsi="Times New Roman" w:cs="Times New Roman"/>
          <w:i/>
          <w:iCs/>
          <w:sz w:val="19"/>
          <w:szCs w:val="19"/>
        </w:rPr>
        <w:t>(former Fig 12</w:t>
      </w:r>
      <w:proofErr w:type="gramStart"/>
      <w:r w:rsidRPr="00945362">
        <w:rPr>
          <w:rFonts w:ascii="Times New Roman" w:hAnsi="Times New Roman" w:cs="Times New Roman"/>
          <w:i/>
          <w:iCs/>
          <w:sz w:val="19"/>
          <w:szCs w:val="19"/>
        </w:rPr>
        <w:t>)</w:t>
      </w:r>
      <w:r w:rsidRPr="00945362">
        <w:rPr>
          <w:rFonts w:ascii="Times New Roman" w:hAnsi="Times New Roman" w:cs="Times New Roman"/>
          <w:sz w:val="19"/>
          <w:szCs w:val="19"/>
        </w:rPr>
        <w:t xml:space="preserve"> </w:t>
      </w:r>
      <w:r w:rsidRPr="00945362">
        <w:rPr>
          <w:rFonts w:ascii="Times New Roman" w:hAnsi="Times New Roman" w:cs="Times New Roman"/>
          <w:b/>
          <w:bCs/>
          <w:sz w:val="19"/>
          <w:szCs w:val="19"/>
        </w:rPr>
        <w:t xml:space="preserve"> </w:t>
      </w:r>
      <w:r w:rsidRPr="00945362">
        <w:rPr>
          <w:rFonts w:ascii="Times New Roman" w:hAnsi="Times New Roman" w:cs="Times New Roman"/>
          <w:sz w:val="19"/>
          <w:szCs w:val="19"/>
        </w:rPr>
        <w:t>Monthly</w:t>
      </w:r>
      <w:proofErr w:type="gramEnd"/>
      <w:r w:rsidRPr="00945362">
        <w:rPr>
          <w:rFonts w:ascii="Times New Roman" w:hAnsi="Times New Roman" w:cs="Times New Roman"/>
          <w:sz w:val="19"/>
          <w:szCs w:val="19"/>
        </w:rPr>
        <w:t xml:space="preserve"> and annual MLR ozone trends for 5 combined SHADOZ+IAGOS regions, defined in </w:t>
      </w:r>
      <w:r w:rsidRPr="00945362">
        <w:rPr>
          <w:rFonts w:ascii="Times New Roman" w:hAnsi="Times New Roman" w:cs="Times New Roman"/>
          <w:b/>
          <w:bCs/>
          <w:sz w:val="19"/>
          <w:szCs w:val="19"/>
        </w:rPr>
        <w:t>Table 3</w:t>
      </w:r>
      <w:r w:rsidRPr="00945362">
        <w:rPr>
          <w:rFonts w:ascii="Times New Roman" w:hAnsi="Times New Roman" w:cs="Times New Roman"/>
          <w:sz w:val="19"/>
          <w:szCs w:val="19"/>
        </w:rPr>
        <w:t xml:space="preserve">, for </w:t>
      </w:r>
      <w:proofErr w:type="spellStart"/>
      <w:r w:rsidRPr="00945362">
        <w:rPr>
          <w:rFonts w:ascii="Times New Roman" w:hAnsi="Times New Roman" w:cs="Times New Roman"/>
          <w:sz w:val="19"/>
          <w:szCs w:val="19"/>
        </w:rPr>
        <w:t>FTp</w:t>
      </w:r>
      <w:proofErr w:type="spellEnd"/>
      <w:r w:rsidRPr="00945362">
        <w:rPr>
          <w:rFonts w:ascii="Times New Roman" w:hAnsi="Times New Roman" w:cs="Times New Roman"/>
          <w:sz w:val="19"/>
          <w:szCs w:val="19"/>
        </w:rPr>
        <w:t xml:space="preserve"> column in (a) %/decade and (b) DU/decade. Dots indicate the monthly and annual trends, whereas error bars display the 95% confidence intervals.</w:t>
      </w:r>
    </w:p>
    <w:p w14:paraId="70D7507E" w14:textId="77777777" w:rsidR="00945362" w:rsidRPr="00945362" w:rsidRDefault="00945362" w:rsidP="00945362">
      <w:pPr>
        <w:ind w:left="288" w:hanging="288"/>
        <w:rPr>
          <w:rFonts w:ascii="Times New Roman" w:hAnsi="Times New Roman" w:cs="Times New Roman"/>
          <w:sz w:val="19"/>
          <w:szCs w:val="19"/>
        </w:rPr>
      </w:pPr>
      <w:bookmarkStart w:id="1" w:name="_Hlk183831737"/>
      <w:r w:rsidRPr="00945362">
        <w:rPr>
          <w:rFonts w:ascii="Times New Roman" w:hAnsi="Times New Roman" w:cs="Times New Roman"/>
          <w:b/>
          <w:bCs/>
          <w:sz w:val="19"/>
          <w:szCs w:val="19"/>
        </w:rPr>
        <w:t xml:space="preserve">Figure 14. </w:t>
      </w:r>
      <w:r w:rsidRPr="00945362">
        <w:rPr>
          <w:rFonts w:ascii="Times New Roman" w:hAnsi="Times New Roman" w:cs="Times New Roman"/>
          <w:i/>
          <w:iCs/>
          <w:sz w:val="19"/>
          <w:szCs w:val="19"/>
        </w:rPr>
        <w:t>(former Fig 13</w:t>
      </w:r>
      <w:proofErr w:type="gramStart"/>
      <w:r w:rsidRPr="00945362">
        <w:rPr>
          <w:rFonts w:ascii="Times New Roman" w:hAnsi="Times New Roman" w:cs="Times New Roman"/>
          <w:i/>
          <w:iCs/>
          <w:sz w:val="19"/>
          <w:szCs w:val="19"/>
        </w:rPr>
        <w:t>)</w:t>
      </w:r>
      <w:r w:rsidRPr="00945362">
        <w:rPr>
          <w:rFonts w:ascii="Times New Roman" w:hAnsi="Times New Roman" w:cs="Times New Roman"/>
          <w:sz w:val="19"/>
          <w:szCs w:val="19"/>
        </w:rPr>
        <w:t xml:space="preserve"> </w:t>
      </w:r>
      <w:r w:rsidRPr="00945362">
        <w:rPr>
          <w:rFonts w:ascii="Times New Roman" w:hAnsi="Times New Roman" w:cs="Times New Roman"/>
          <w:b/>
          <w:bCs/>
          <w:sz w:val="19"/>
          <w:szCs w:val="19"/>
        </w:rPr>
        <w:t xml:space="preserve"> </w:t>
      </w:r>
      <w:r w:rsidRPr="00945362">
        <w:rPr>
          <w:rFonts w:ascii="Times New Roman" w:hAnsi="Times New Roman" w:cs="Times New Roman"/>
          <w:sz w:val="19"/>
          <w:szCs w:val="19"/>
        </w:rPr>
        <w:t>The</w:t>
      </w:r>
      <w:proofErr w:type="gramEnd"/>
      <w:r w:rsidRPr="00945362">
        <w:rPr>
          <w:rFonts w:ascii="Times New Roman" w:hAnsi="Times New Roman" w:cs="Times New Roman"/>
          <w:sz w:val="19"/>
          <w:szCs w:val="19"/>
        </w:rPr>
        <w:t xml:space="preserve"> most recent trends, 2005-2023, shown for the equatorial region based on updated OMI/MLS tropospheric total column ozone (</w:t>
      </w:r>
      <w:proofErr w:type="spellStart"/>
      <w:r w:rsidRPr="00945362">
        <w:rPr>
          <w:rFonts w:ascii="Times New Roman" w:hAnsi="Times New Roman" w:cs="Times New Roman"/>
          <w:sz w:val="19"/>
          <w:szCs w:val="19"/>
        </w:rPr>
        <w:t>TrCO</w:t>
      </w:r>
      <w:r w:rsidRPr="00945362">
        <w:rPr>
          <w:rFonts w:ascii="Times New Roman" w:hAnsi="Times New Roman" w:cs="Times New Roman"/>
          <w:sz w:val="19"/>
          <w:szCs w:val="19"/>
          <w:vertAlign w:val="subscript"/>
        </w:rPr>
        <w:t>satellite</w:t>
      </w:r>
      <w:proofErr w:type="spellEnd"/>
      <w:r w:rsidRPr="00945362">
        <w:rPr>
          <w:rFonts w:ascii="Times New Roman" w:hAnsi="Times New Roman" w:cs="Times New Roman"/>
          <w:sz w:val="19"/>
          <w:szCs w:val="19"/>
        </w:rPr>
        <w:t xml:space="preserve">) estimates in which a ~1% per decade positive drift in OMI was corrected.  The corresponding SHADOZ-derived </w:t>
      </w:r>
      <w:proofErr w:type="spellStart"/>
      <w:r w:rsidRPr="00945362">
        <w:rPr>
          <w:rFonts w:ascii="Times New Roman" w:hAnsi="Times New Roman" w:cs="Times New Roman"/>
          <w:sz w:val="19"/>
          <w:szCs w:val="19"/>
        </w:rPr>
        <w:t>TrCO</w:t>
      </w:r>
      <w:r w:rsidRPr="00945362">
        <w:rPr>
          <w:rFonts w:ascii="Times New Roman" w:hAnsi="Times New Roman" w:cs="Times New Roman"/>
          <w:sz w:val="19"/>
          <w:szCs w:val="19"/>
          <w:vertAlign w:val="subscript"/>
        </w:rPr>
        <w:t>sonde</w:t>
      </w:r>
      <w:proofErr w:type="spellEnd"/>
      <w:r w:rsidRPr="00945362">
        <w:rPr>
          <w:rFonts w:ascii="Times New Roman" w:hAnsi="Times New Roman" w:cs="Times New Roman"/>
          <w:sz w:val="19"/>
          <w:szCs w:val="19"/>
        </w:rPr>
        <w:t xml:space="preserve"> column changes for 2005-2023 are superimposed on the map. Stippling indicates where OMI/MLS trends </w:t>
      </w:r>
      <w:r w:rsidRPr="00945362">
        <w:rPr>
          <w:rFonts w:ascii="Times New Roman" w:hAnsi="Times New Roman" w:cs="Times New Roman"/>
          <w:i/>
          <w:iCs/>
          <w:sz w:val="19"/>
          <w:szCs w:val="19"/>
        </w:rPr>
        <w:t>do not</w:t>
      </w:r>
      <w:r w:rsidRPr="00945362">
        <w:rPr>
          <w:rFonts w:ascii="Times New Roman" w:hAnsi="Times New Roman" w:cs="Times New Roman"/>
          <w:sz w:val="19"/>
          <w:szCs w:val="19"/>
        </w:rPr>
        <w:t xml:space="preserve"> exceed the 95% confidence interval (i.e., historically referred to as statistically insignificant).</w:t>
      </w:r>
      <w:bookmarkEnd w:id="1"/>
    </w:p>
    <w:p w14:paraId="6E4B2C96" w14:textId="30A81E3D" w:rsidR="00945362" w:rsidRPr="00C73812" w:rsidRDefault="00945362" w:rsidP="00945362">
      <w:pPr>
        <w:ind w:left="288" w:hanging="288"/>
        <w:rPr>
          <w:rFonts w:asciiTheme="minorHAnsi" w:hAnsiTheme="minorHAnsi"/>
          <w:sz w:val="20"/>
          <w:szCs w:val="20"/>
        </w:rPr>
      </w:pPr>
      <w:bookmarkStart w:id="2" w:name="_Hlk183831801"/>
      <w:r w:rsidRPr="00945362">
        <w:rPr>
          <w:rFonts w:ascii="Times New Roman" w:hAnsi="Times New Roman" w:cs="Times New Roman"/>
          <w:b/>
          <w:bCs/>
          <w:sz w:val="19"/>
          <w:szCs w:val="19"/>
        </w:rPr>
        <w:t>Figure 15.</w:t>
      </w:r>
      <w:r w:rsidRPr="00945362">
        <w:rPr>
          <w:rFonts w:ascii="Times New Roman" w:hAnsi="Times New Roman" w:cs="Times New Roman"/>
          <w:sz w:val="19"/>
          <w:szCs w:val="19"/>
        </w:rPr>
        <w:t xml:space="preserve"> </w:t>
      </w:r>
      <w:r w:rsidRPr="00945362">
        <w:rPr>
          <w:rFonts w:ascii="Times New Roman" w:hAnsi="Times New Roman" w:cs="Times New Roman"/>
          <w:i/>
          <w:iCs/>
          <w:sz w:val="19"/>
          <w:szCs w:val="19"/>
        </w:rPr>
        <w:t>(former Fig 14)</w:t>
      </w:r>
      <w:r w:rsidRPr="00945362">
        <w:rPr>
          <w:rFonts w:ascii="Times New Roman" w:hAnsi="Times New Roman" w:cs="Times New Roman"/>
          <w:sz w:val="19"/>
          <w:szCs w:val="19"/>
        </w:rPr>
        <w:t xml:space="preserve"> Monthly and annual MLR ozone trends in total tropospheric column (defined using the WMO lapse rate tropopause; </w:t>
      </w:r>
      <w:proofErr w:type="spellStart"/>
      <w:r w:rsidRPr="00945362">
        <w:rPr>
          <w:rFonts w:ascii="Times New Roman" w:hAnsi="Times New Roman" w:cs="Times New Roman"/>
          <w:sz w:val="19"/>
          <w:szCs w:val="19"/>
        </w:rPr>
        <w:t>TrCO</w:t>
      </w:r>
      <w:proofErr w:type="spellEnd"/>
      <w:r w:rsidRPr="00945362">
        <w:rPr>
          <w:rFonts w:ascii="Times New Roman" w:hAnsi="Times New Roman" w:cs="Times New Roman"/>
          <w:sz w:val="19"/>
          <w:szCs w:val="19"/>
        </w:rPr>
        <w:t>) for the five T21 stations and the OMI/MLS pixel for each individual SHADOZ station each region. Dots indicate the ozone trend in % (a-e) and DU (f-j) per decade; error bars show the 95% confidence intervals.</w:t>
      </w:r>
      <w:bookmarkEnd w:id="2"/>
    </w:p>
    <w:p w14:paraId="54FA5B7F" w14:textId="3F6F0635" w:rsidR="00945362" w:rsidRDefault="00945362" w:rsidP="00945362">
      <w:pPr>
        <w:rPr>
          <w:rFonts w:asciiTheme="minorHAnsi" w:hAnsiTheme="minorHAnsi" w:cstheme="minorHAnsi"/>
        </w:rPr>
      </w:pPr>
      <w:r w:rsidRPr="00945362">
        <w:rPr>
          <w:rFonts w:asciiTheme="minorHAnsi" w:hAnsiTheme="minorHAnsi" w:cstheme="minorHAnsi"/>
          <w:b/>
          <w:bCs/>
          <w:highlight w:val="yellow"/>
        </w:rPr>
        <w:t>Figure 16.</w:t>
      </w:r>
      <w:r w:rsidRPr="00945362">
        <w:rPr>
          <w:rFonts w:asciiTheme="minorHAnsi" w:hAnsiTheme="minorHAnsi" w:cstheme="minorHAnsi"/>
          <w:highlight w:val="yellow"/>
        </w:rPr>
        <w:t xml:space="preserve"> Summary of (a) </w:t>
      </w:r>
      <w:proofErr w:type="spellStart"/>
      <w:r w:rsidRPr="00945362">
        <w:rPr>
          <w:rFonts w:asciiTheme="minorHAnsi" w:hAnsiTheme="minorHAnsi" w:cstheme="minorHAnsi"/>
          <w:highlight w:val="yellow"/>
        </w:rPr>
        <w:t>TrCO</w:t>
      </w:r>
      <w:proofErr w:type="spellEnd"/>
      <w:r w:rsidRPr="00945362">
        <w:rPr>
          <w:rFonts w:asciiTheme="minorHAnsi" w:hAnsiTheme="minorHAnsi" w:cstheme="minorHAnsi"/>
          <w:highlight w:val="yellow"/>
        </w:rPr>
        <w:t>, (b) FT, and (c) UT trends from multiple TOAR-II studies (detailed in Table 6).  Trends are annual values in %/decade (</w:t>
      </w:r>
      <w:r>
        <w:rPr>
          <w:rFonts w:asciiTheme="minorHAnsi" w:hAnsiTheme="minorHAnsi" w:cstheme="minorHAnsi"/>
          <w:highlight w:val="yellow"/>
        </w:rPr>
        <w:t xml:space="preserve">sometimes </w:t>
      </w:r>
      <w:r w:rsidRPr="00945362">
        <w:rPr>
          <w:rFonts w:asciiTheme="minorHAnsi" w:hAnsiTheme="minorHAnsi" w:cstheme="minorHAnsi"/>
          <w:highlight w:val="yellow"/>
        </w:rPr>
        <w:t xml:space="preserve">estimated from each study); a different color represents each study across (a-c). Note that for trends in (a) and (b), periods differ somewhat: 2004-2019 in </w:t>
      </w:r>
      <w:proofErr w:type="spellStart"/>
      <w:r w:rsidRPr="00945362">
        <w:rPr>
          <w:rFonts w:asciiTheme="minorHAnsi" w:hAnsiTheme="minorHAnsi" w:cstheme="minorHAnsi"/>
          <w:highlight w:val="yellow"/>
        </w:rPr>
        <w:t>Gaudel</w:t>
      </w:r>
      <w:proofErr w:type="spellEnd"/>
      <w:r w:rsidRPr="00945362">
        <w:rPr>
          <w:rFonts w:asciiTheme="minorHAnsi" w:hAnsiTheme="minorHAnsi" w:cstheme="minorHAnsi"/>
          <w:highlight w:val="yellow"/>
        </w:rPr>
        <w:t xml:space="preserve"> et al. </w:t>
      </w:r>
      <w:r w:rsidRPr="00783C54">
        <w:rPr>
          <w:rFonts w:asciiTheme="minorHAnsi" w:hAnsiTheme="minorHAnsi" w:cstheme="minorHAnsi"/>
          <w:highlight w:val="yellow"/>
          <w:lang w:val="de-DE"/>
        </w:rPr>
        <w:t>(2024; Fig. S25)</w:t>
      </w:r>
      <w:r w:rsidR="00D263E2" w:rsidRPr="00783C54">
        <w:rPr>
          <w:rFonts w:asciiTheme="minorHAnsi" w:hAnsiTheme="minorHAnsi" w:cstheme="minorHAnsi"/>
          <w:highlight w:val="yellow"/>
          <w:lang w:val="de-DE"/>
        </w:rPr>
        <w:t>;</w:t>
      </w:r>
      <w:r w:rsidRPr="00783C54">
        <w:rPr>
          <w:rFonts w:asciiTheme="minorHAnsi" w:hAnsiTheme="minorHAnsi" w:cstheme="minorHAnsi"/>
          <w:highlight w:val="yellow"/>
          <w:lang w:val="de-DE"/>
        </w:rPr>
        <w:t xml:space="preserve"> 1998-2022 in Stauffer et al. (2024)</w:t>
      </w:r>
      <w:r w:rsidR="00D263E2" w:rsidRPr="00783C54">
        <w:rPr>
          <w:rFonts w:asciiTheme="minorHAnsi" w:hAnsiTheme="minorHAnsi" w:cstheme="minorHAnsi"/>
          <w:highlight w:val="yellow"/>
          <w:lang w:val="de-DE"/>
        </w:rPr>
        <w:t>;</w:t>
      </w:r>
      <w:r w:rsidRPr="00783C54">
        <w:rPr>
          <w:rFonts w:asciiTheme="minorHAnsi" w:hAnsiTheme="minorHAnsi" w:cstheme="minorHAnsi"/>
          <w:highlight w:val="yellow"/>
          <w:lang w:val="de-DE"/>
        </w:rPr>
        <w:t xml:space="preserve"> 2000-2022 in Van </w:t>
      </w:r>
      <w:proofErr w:type="spellStart"/>
      <w:r w:rsidRPr="00783C54">
        <w:rPr>
          <w:rFonts w:asciiTheme="minorHAnsi" w:hAnsiTheme="minorHAnsi" w:cstheme="minorHAnsi"/>
          <w:highlight w:val="yellow"/>
          <w:lang w:val="de-DE"/>
        </w:rPr>
        <w:t>Malderen</w:t>
      </w:r>
      <w:proofErr w:type="spellEnd"/>
      <w:r w:rsidRPr="00783C54">
        <w:rPr>
          <w:rFonts w:asciiTheme="minorHAnsi" w:hAnsiTheme="minorHAnsi" w:cstheme="minorHAnsi"/>
          <w:highlight w:val="yellow"/>
          <w:lang w:val="de-DE"/>
        </w:rPr>
        <w:t xml:space="preserve"> et al. </w:t>
      </w:r>
      <w:r w:rsidRPr="00945362">
        <w:rPr>
          <w:rFonts w:asciiTheme="minorHAnsi" w:hAnsiTheme="minorHAnsi" w:cstheme="minorHAnsi"/>
          <w:highlight w:val="yellow"/>
        </w:rPr>
        <w:t>(2025a)</w:t>
      </w:r>
      <w:r w:rsidR="00D263E2">
        <w:rPr>
          <w:rFonts w:asciiTheme="minorHAnsi" w:hAnsiTheme="minorHAnsi" w:cstheme="minorHAnsi"/>
          <w:highlight w:val="yellow"/>
        </w:rPr>
        <w:t>;</w:t>
      </w:r>
      <w:r w:rsidRPr="00945362">
        <w:rPr>
          <w:rFonts w:asciiTheme="minorHAnsi" w:hAnsiTheme="minorHAnsi" w:cstheme="minorHAnsi"/>
          <w:highlight w:val="yellow"/>
        </w:rPr>
        <w:t xml:space="preserve"> 1998-2023 in This work. All are based on SHADOZ sondes and/or IAGOS. The satellite periods </w:t>
      </w:r>
      <w:r w:rsidR="00F97869">
        <w:rPr>
          <w:rFonts w:asciiTheme="minorHAnsi" w:hAnsiTheme="minorHAnsi" w:cstheme="minorHAnsi"/>
          <w:highlight w:val="yellow"/>
        </w:rPr>
        <w:t xml:space="preserve">in (c) </w:t>
      </w:r>
      <w:r w:rsidRPr="00945362">
        <w:rPr>
          <w:rFonts w:asciiTheme="minorHAnsi" w:hAnsiTheme="minorHAnsi" w:cstheme="minorHAnsi"/>
          <w:highlight w:val="yellow"/>
        </w:rPr>
        <w:t>are 2005-2023 for OMI/MLS, This work</w:t>
      </w:r>
      <w:r w:rsidR="00D263E2">
        <w:rPr>
          <w:rFonts w:asciiTheme="minorHAnsi" w:hAnsiTheme="minorHAnsi" w:cstheme="minorHAnsi"/>
          <w:highlight w:val="yellow"/>
        </w:rPr>
        <w:t>;</w:t>
      </w:r>
      <w:r w:rsidRPr="00945362">
        <w:rPr>
          <w:rFonts w:asciiTheme="minorHAnsi" w:hAnsiTheme="minorHAnsi" w:cstheme="minorHAnsi"/>
          <w:highlight w:val="yellow"/>
        </w:rPr>
        <w:t xml:space="preserve"> 2005-2020 for MLS in </w:t>
      </w:r>
      <w:proofErr w:type="spellStart"/>
      <w:r w:rsidRPr="00945362">
        <w:rPr>
          <w:rFonts w:asciiTheme="minorHAnsi" w:hAnsiTheme="minorHAnsi" w:cstheme="minorHAnsi"/>
          <w:highlight w:val="yellow"/>
        </w:rPr>
        <w:t>Froidevaux</w:t>
      </w:r>
      <w:proofErr w:type="spellEnd"/>
      <w:r w:rsidRPr="00945362">
        <w:rPr>
          <w:rFonts w:asciiTheme="minorHAnsi" w:hAnsiTheme="minorHAnsi" w:cstheme="minorHAnsi"/>
          <w:highlight w:val="yellow"/>
        </w:rPr>
        <w:t xml:space="preserve"> et al. (2025) and 2008-2019 for IASI from </w:t>
      </w:r>
      <w:proofErr w:type="spellStart"/>
      <w:r w:rsidRPr="00945362">
        <w:rPr>
          <w:rFonts w:asciiTheme="minorHAnsi" w:hAnsiTheme="minorHAnsi" w:cstheme="minorHAnsi"/>
          <w:highlight w:val="yellow"/>
        </w:rPr>
        <w:t>Boynard</w:t>
      </w:r>
      <w:proofErr w:type="spellEnd"/>
      <w:r w:rsidRPr="00945362">
        <w:rPr>
          <w:rFonts w:asciiTheme="minorHAnsi" w:hAnsiTheme="minorHAnsi" w:cstheme="minorHAnsi"/>
          <w:highlight w:val="yellow"/>
        </w:rPr>
        <w:t xml:space="preserve"> et al. (2025). Error bars show the 95% confidence intervals.  If there are multiple values for a region in one study, a mean value is used.</w:t>
      </w:r>
      <w:r w:rsidRPr="00945362">
        <w:rPr>
          <w:rFonts w:asciiTheme="minorHAnsi" w:hAnsiTheme="minorHAnsi" w:cstheme="minorHAnsi"/>
        </w:rPr>
        <w:t xml:space="preserve"> </w:t>
      </w:r>
    </w:p>
    <w:p w14:paraId="4D344B5B" w14:textId="77777777" w:rsidR="00D263E2" w:rsidRPr="00945362" w:rsidRDefault="00D263E2" w:rsidP="00945362">
      <w:pPr>
        <w:rPr>
          <w:rFonts w:asciiTheme="minorHAnsi" w:hAnsiTheme="minorHAnsi" w:cstheme="minorHAnsi"/>
        </w:rPr>
      </w:pPr>
    </w:p>
    <w:p w14:paraId="249B2726" w14:textId="2253386C" w:rsidR="00465DE3" w:rsidRDefault="00945362" w:rsidP="00465DE3">
      <w:r>
        <w:t>Proof Page 36</w:t>
      </w:r>
    </w:p>
    <w:p w14:paraId="12BAE02D" w14:textId="77777777" w:rsidR="00D263E2" w:rsidRPr="00076A5F" w:rsidRDefault="00D263E2" w:rsidP="00465DE3"/>
    <w:p w14:paraId="72004D3C" w14:textId="28F40AD4" w:rsidR="00D263E2" w:rsidRDefault="00945362" w:rsidP="00D263E2">
      <w:pPr>
        <w:tabs>
          <w:tab w:val="left" w:pos="4880"/>
        </w:tabs>
        <w:rPr>
          <w:rFonts w:ascii="Aptos" w:hAnsi="Aptos"/>
          <w:b/>
          <w:bCs/>
        </w:rPr>
      </w:pPr>
      <w:r>
        <w:rPr>
          <w:rFonts w:ascii="Aptos" w:hAnsi="Aptos"/>
          <w:b/>
          <w:bCs/>
        </w:rPr>
        <w:t>NEW FIGURES 9 AND 16 WI</w:t>
      </w:r>
      <w:r w:rsidR="00D263E2">
        <w:rPr>
          <w:rFonts w:ascii="Aptos" w:hAnsi="Aptos"/>
          <w:b/>
          <w:bCs/>
        </w:rPr>
        <w:t>TH CAPTIONS</w:t>
      </w:r>
      <w:r>
        <w:rPr>
          <w:rFonts w:ascii="Aptos" w:hAnsi="Aptos"/>
          <w:b/>
          <w:bCs/>
        </w:rPr>
        <w:t>:</w:t>
      </w:r>
      <w:r w:rsidR="00D263E2">
        <w:rPr>
          <w:rFonts w:ascii="Aptos" w:hAnsi="Aptos"/>
          <w:b/>
          <w:bCs/>
        </w:rPr>
        <w:tab/>
      </w:r>
    </w:p>
    <w:p w14:paraId="645D868A" w14:textId="77777777" w:rsidR="00D263E2" w:rsidRDefault="00D263E2" w:rsidP="00465DE3">
      <w:pPr>
        <w:rPr>
          <w:rFonts w:ascii="Aptos" w:hAnsi="Aptos"/>
          <w:b/>
          <w:bCs/>
        </w:rPr>
      </w:pPr>
    </w:p>
    <w:p w14:paraId="09766CE0" w14:textId="18538794" w:rsidR="00945362" w:rsidRPr="00945362" w:rsidRDefault="00D263E2" w:rsidP="00465DE3">
      <w:pPr>
        <w:rPr>
          <w:rFonts w:ascii="Aptos" w:hAnsi="Aptos"/>
          <w:b/>
          <w:bCs/>
        </w:rPr>
      </w:pPr>
      <w:r>
        <w:rPr>
          <w:noProof/>
        </w:rPr>
        <w:drawing>
          <wp:inline distT="0" distB="0" distL="0" distR="0" wp14:anchorId="5784EA11" wp14:editId="21147BF3">
            <wp:extent cx="5943600" cy="1673860"/>
            <wp:effectExtent l="0" t="0" r="0" b="2540"/>
            <wp:docPr id="626133448" name="Picture 1" descr="A map of the world with red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133448" name="Picture 1" descr="A map of the world with red and blue tex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673860"/>
                    </a:xfrm>
                    <a:prstGeom prst="rect">
                      <a:avLst/>
                    </a:prstGeom>
                    <a:noFill/>
                    <a:ln>
                      <a:noFill/>
                    </a:ln>
                  </pic:spPr>
                </pic:pic>
              </a:graphicData>
            </a:graphic>
          </wp:inline>
        </w:drawing>
      </w:r>
    </w:p>
    <w:p w14:paraId="5AE9A5E5" w14:textId="77777777" w:rsidR="00465DE3" w:rsidRPr="00B776C9" w:rsidRDefault="00465DE3" w:rsidP="000E63DF"/>
    <w:p w14:paraId="4C4DD5E2" w14:textId="4711EF5A" w:rsidR="00D263E2" w:rsidRPr="00D263E2" w:rsidRDefault="00D263E2" w:rsidP="00D263E2">
      <w:r w:rsidRPr="00D263E2">
        <w:rPr>
          <w:b/>
          <w:bCs/>
          <w:highlight w:val="yellow"/>
        </w:rPr>
        <w:t xml:space="preserve">Figure 9. </w:t>
      </w:r>
      <w:r w:rsidRPr="00D263E2">
        <w:rPr>
          <w:highlight w:val="yellow"/>
        </w:rPr>
        <w:t>Summary map of the</w:t>
      </w:r>
      <w:r w:rsidRPr="00D263E2">
        <w:rPr>
          <w:b/>
          <w:bCs/>
          <w:highlight w:val="yellow"/>
        </w:rPr>
        <w:t xml:space="preserve"> </w:t>
      </w:r>
      <w:r w:rsidRPr="00D263E2">
        <w:rPr>
          <w:highlight w:val="yellow"/>
        </w:rPr>
        <w:t>annual 1998-2023 MLR trends for five T21 SHADOZ sites for the total tropospheric column ozone (</w:t>
      </w:r>
      <w:proofErr w:type="spellStart"/>
      <w:r w:rsidRPr="00D263E2">
        <w:rPr>
          <w:highlight w:val="yellow"/>
        </w:rPr>
        <w:t>TrCO</w:t>
      </w:r>
      <w:proofErr w:type="spellEnd"/>
      <w:r w:rsidRPr="00D263E2">
        <w:rPr>
          <w:highlight w:val="yellow"/>
        </w:rPr>
        <w:t xml:space="preserve">), surface to tropopause, in %/decade from </w:t>
      </w:r>
      <w:r w:rsidRPr="00D263E2">
        <w:rPr>
          <w:b/>
          <w:bCs/>
          <w:highlight w:val="yellow"/>
        </w:rPr>
        <w:t>Table 2</w:t>
      </w:r>
      <w:r w:rsidRPr="00D263E2">
        <w:rPr>
          <w:highlight w:val="yellow"/>
        </w:rPr>
        <w:t xml:space="preserve"> including the 95% confidence intervals.</w:t>
      </w:r>
      <w:r w:rsidRPr="00D263E2">
        <w:t xml:space="preserve">  </w:t>
      </w:r>
    </w:p>
    <w:p w14:paraId="35689EF2" w14:textId="77777777" w:rsidR="00D263E2" w:rsidRPr="00D263E2" w:rsidRDefault="00D263E2" w:rsidP="00D263E2">
      <w:pPr>
        <w:rPr>
          <w:sz w:val="24"/>
          <w:szCs w:val="24"/>
        </w:rPr>
      </w:pPr>
    </w:p>
    <w:p w14:paraId="54C00D49" w14:textId="77777777" w:rsidR="00D263E2" w:rsidRDefault="00D263E2" w:rsidP="00D263E2">
      <w:r>
        <w:rPr>
          <w:noProof/>
        </w:rPr>
        <w:drawing>
          <wp:inline distT="0" distB="0" distL="0" distR="0" wp14:anchorId="715951AA" wp14:editId="46BDD2E6">
            <wp:extent cx="3504266" cy="4818366"/>
            <wp:effectExtent l="0" t="0" r="1270" b="1905"/>
            <wp:docPr id="699820267" name="Picture 2"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820267" name="Picture 2" descr="A screenshot of a graph&#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30760" cy="4854795"/>
                    </a:xfrm>
                    <a:prstGeom prst="rect">
                      <a:avLst/>
                    </a:prstGeom>
                    <a:noFill/>
                    <a:ln>
                      <a:noFill/>
                    </a:ln>
                  </pic:spPr>
                </pic:pic>
              </a:graphicData>
            </a:graphic>
          </wp:inline>
        </w:drawing>
      </w:r>
    </w:p>
    <w:p w14:paraId="4E682121" w14:textId="2EA81950" w:rsidR="00D263E2" w:rsidRPr="00D263E2" w:rsidRDefault="00D263E2" w:rsidP="00D263E2">
      <w:pPr>
        <w:rPr>
          <w:sz w:val="20"/>
          <w:szCs w:val="20"/>
        </w:rPr>
      </w:pPr>
      <w:r w:rsidRPr="00D263E2">
        <w:rPr>
          <w:rFonts w:asciiTheme="minorHAnsi" w:hAnsiTheme="minorHAnsi" w:cstheme="minorHAnsi"/>
          <w:b/>
          <w:bCs/>
          <w:sz w:val="21"/>
          <w:szCs w:val="21"/>
          <w:highlight w:val="yellow"/>
        </w:rPr>
        <w:t>Figure 16.</w:t>
      </w:r>
      <w:r w:rsidRPr="00D263E2">
        <w:rPr>
          <w:rFonts w:asciiTheme="minorHAnsi" w:hAnsiTheme="minorHAnsi" w:cstheme="minorHAnsi"/>
          <w:sz w:val="21"/>
          <w:szCs w:val="21"/>
          <w:highlight w:val="yellow"/>
        </w:rPr>
        <w:t xml:space="preserve"> Summary of (a) </w:t>
      </w:r>
      <w:proofErr w:type="spellStart"/>
      <w:r w:rsidRPr="00D263E2">
        <w:rPr>
          <w:rFonts w:asciiTheme="minorHAnsi" w:hAnsiTheme="minorHAnsi" w:cstheme="minorHAnsi"/>
          <w:sz w:val="21"/>
          <w:szCs w:val="21"/>
          <w:highlight w:val="yellow"/>
        </w:rPr>
        <w:t>TrCO</w:t>
      </w:r>
      <w:proofErr w:type="spellEnd"/>
      <w:r w:rsidRPr="00D263E2">
        <w:rPr>
          <w:rFonts w:asciiTheme="minorHAnsi" w:hAnsiTheme="minorHAnsi" w:cstheme="minorHAnsi"/>
          <w:sz w:val="21"/>
          <w:szCs w:val="21"/>
          <w:highlight w:val="yellow"/>
        </w:rPr>
        <w:t xml:space="preserve">, (b) FT, and (c) UT trends from multiple TOAR-II studies (detailed in Table 6).  Trends are annual values in %/decade (sometimes estimated from each study); a different color represents each study across (a-c). Note that for trends in (a) and (b), periods differ somewhat: 2004-2019 in </w:t>
      </w:r>
      <w:proofErr w:type="spellStart"/>
      <w:r w:rsidRPr="00D263E2">
        <w:rPr>
          <w:rFonts w:asciiTheme="minorHAnsi" w:hAnsiTheme="minorHAnsi" w:cstheme="minorHAnsi"/>
          <w:sz w:val="21"/>
          <w:szCs w:val="21"/>
          <w:highlight w:val="yellow"/>
        </w:rPr>
        <w:t>Gaudel</w:t>
      </w:r>
      <w:proofErr w:type="spellEnd"/>
      <w:r w:rsidRPr="00D263E2">
        <w:rPr>
          <w:rFonts w:asciiTheme="minorHAnsi" w:hAnsiTheme="minorHAnsi" w:cstheme="minorHAnsi"/>
          <w:sz w:val="21"/>
          <w:szCs w:val="21"/>
          <w:highlight w:val="yellow"/>
        </w:rPr>
        <w:t xml:space="preserve"> et al. </w:t>
      </w:r>
      <w:r w:rsidRPr="00783C54">
        <w:rPr>
          <w:rFonts w:asciiTheme="minorHAnsi" w:hAnsiTheme="minorHAnsi" w:cstheme="minorHAnsi"/>
          <w:sz w:val="21"/>
          <w:szCs w:val="21"/>
          <w:highlight w:val="yellow"/>
          <w:lang w:val="de-DE"/>
        </w:rPr>
        <w:t xml:space="preserve">(2024; Fig. S25); 1998-2022 in Stauffer et al. (2024); 2000-2022 in Van </w:t>
      </w:r>
      <w:proofErr w:type="spellStart"/>
      <w:r w:rsidRPr="00783C54">
        <w:rPr>
          <w:rFonts w:asciiTheme="minorHAnsi" w:hAnsiTheme="minorHAnsi" w:cstheme="minorHAnsi"/>
          <w:sz w:val="21"/>
          <w:szCs w:val="21"/>
          <w:highlight w:val="yellow"/>
          <w:lang w:val="de-DE"/>
        </w:rPr>
        <w:t>Malderen</w:t>
      </w:r>
      <w:proofErr w:type="spellEnd"/>
      <w:r w:rsidRPr="00783C54">
        <w:rPr>
          <w:rFonts w:asciiTheme="minorHAnsi" w:hAnsiTheme="minorHAnsi" w:cstheme="minorHAnsi"/>
          <w:sz w:val="21"/>
          <w:szCs w:val="21"/>
          <w:highlight w:val="yellow"/>
          <w:lang w:val="de-DE"/>
        </w:rPr>
        <w:t xml:space="preserve"> et al. </w:t>
      </w:r>
      <w:r w:rsidRPr="00D263E2">
        <w:rPr>
          <w:rFonts w:asciiTheme="minorHAnsi" w:hAnsiTheme="minorHAnsi" w:cstheme="minorHAnsi"/>
          <w:sz w:val="21"/>
          <w:szCs w:val="21"/>
          <w:highlight w:val="yellow"/>
        </w:rPr>
        <w:t xml:space="preserve">(2025a); 1998-2023 in This work. All are based on SHADOZ sondes and/or IAGOS. The satellite periods </w:t>
      </w:r>
      <w:r w:rsidR="00F97869">
        <w:rPr>
          <w:rFonts w:asciiTheme="minorHAnsi" w:hAnsiTheme="minorHAnsi" w:cstheme="minorHAnsi"/>
          <w:sz w:val="21"/>
          <w:szCs w:val="21"/>
          <w:highlight w:val="yellow"/>
        </w:rPr>
        <w:t xml:space="preserve">in (c) </w:t>
      </w:r>
      <w:r w:rsidRPr="00D263E2">
        <w:rPr>
          <w:rFonts w:asciiTheme="minorHAnsi" w:hAnsiTheme="minorHAnsi" w:cstheme="minorHAnsi"/>
          <w:sz w:val="21"/>
          <w:szCs w:val="21"/>
          <w:highlight w:val="yellow"/>
        </w:rPr>
        <w:t xml:space="preserve">are 2005-2023 for OMI/MLS, This work; 2005-2020 for MLS in </w:t>
      </w:r>
      <w:proofErr w:type="spellStart"/>
      <w:r w:rsidRPr="00D263E2">
        <w:rPr>
          <w:rFonts w:asciiTheme="minorHAnsi" w:hAnsiTheme="minorHAnsi" w:cstheme="minorHAnsi"/>
          <w:sz w:val="21"/>
          <w:szCs w:val="21"/>
          <w:highlight w:val="yellow"/>
        </w:rPr>
        <w:t>Froidevaux</w:t>
      </w:r>
      <w:proofErr w:type="spellEnd"/>
      <w:r w:rsidRPr="00D263E2">
        <w:rPr>
          <w:rFonts w:asciiTheme="minorHAnsi" w:hAnsiTheme="minorHAnsi" w:cstheme="minorHAnsi"/>
          <w:sz w:val="21"/>
          <w:szCs w:val="21"/>
          <w:highlight w:val="yellow"/>
        </w:rPr>
        <w:t xml:space="preserve"> et al. (2025) and 2008-2019 for IASI from </w:t>
      </w:r>
      <w:proofErr w:type="spellStart"/>
      <w:r w:rsidRPr="00D263E2">
        <w:rPr>
          <w:rFonts w:asciiTheme="minorHAnsi" w:hAnsiTheme="minorHAnsi" w:cstheme="minorHAnsi"/>
          <w:sz w:val="21"/>
          <w:szCs w:val="21"/>
          <w:highlight w:val="yellow"/>
        </w:rPr>
        <w:t>Boynard</w:t>
      </w:r>
      <w:proofErr w:type="spellEnd"/>
      <w:r w:rsidRPr="00D263E2">
        <w:rPr>
          <w:rFonts w:asciiTheme="minorHAnsi" w:hAnsiTheme="minorHAnsi" w:cstheme="minorHAnsi"/>
          <w:sz w:val="21"/>
          <w:szCs w:val="21"/>
          <w:highlight w:val="yellow"/>
        </w:rPr>
        <w:t xml:space="preserve"> et al. (2025). Error bars show the 95% confidence intervals.  If there are multiple values for a </w:t>
      </w:r>
      <w:r w:rsidRPr="00D263E2">
        <w:rPr>
          <w:rFonts w:asciiTheme="minorHAnsi" w:hAnsiTheme="minorHAnsi" w:cstheme="minorHAnsi"/>
          <w:sz w:val="21"/>
          <w:szCs w:val="21"/>
          <w:highlight w:val="yellow"/>
        </w:rPr>
        <w:lastRenderedPageBreak/>
        <w:t>region in one study, a mean value is used.</w:t>
      </w:r>
      <w:bookmarkStart w:id="3" w:name="_Hlk212057297"/>
      <w:bookmarkEnd w:id="3"/>
    </w:p>
    <w:sectPr w:rsidR="00D263E2" w:rsidRPr="00D263E2">
      <w:footerReference w:type="default" r:id="rId8"/>
      <w:type w:val="continuous"/>
      <w:pgSz w:w="11910" w:h="15710"/>
      <w:pgMar w:top="1180" w:right="283" w:bottom="920" w:left="850" w:header="0"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F68B3" w14:textId="77777777" w:rsidR="003E2144" w:rsidRDefault="003E2144">
      <w:r>
        <w:separator/>
      </w:r>
    </w:p>
  </w:endnote>
  <w:endnote w:type="continuationSeparator" w:id="0">
    <w:p w14:paraId="77C8C960" w14:textId="77777777" w:rsidR="003E2144" w:rsidRDefault="003E2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12732" w14:textId="77777777" w:rsidR="00545D99" w:rsidRDefault="008D49B5">
    <w:pPr>
      <w:pStyle w:val="BodyText"/>
      <w:spacing w:line="14" w:lineRule="auto"/>
      <w:ind w:left="0"/>
    </w:pPr>
    <w:r>
      <w:rPr>
        <w:noProof/>
      </w:rPr>
      <mc:AlternateContent>
        <mc:Choice Requires="wps">
          <w:drawing>
            <wp:anchor distT="0" distB="0" distL="0" distR="0" simplePos="0" relativeHeight="487526400" behindDoc="1" locked="0" layoutInCell="1" allowOverlap="1" wp14:anchorId="0FFFE98B" wp14:editId="67AF306B">
              <wp:simplePos x="0" y="0"/>
              <wp:positionH relativeFrom="page">
                <wp:posOffset>3700438</wp:posOffset>
              </wp:positionH>
              <wp:positionV relativeFrom="page">
                <wp:posOffset>9366494</wp:posOffset>
              </wp:positionV>
              <wp:extent cx="152400" cy="1905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90500"/>
                      </a:xfrm>
                      <a:prstGeom prst="rect">
                        <a:avLst/>
                      </a:prstGeom>
                    </wps:spPr>
                    <wps:txbx>
                      <w:txbxContent>
                        <w:p w14:paraId="34455AEF" w14:textId="77777777" w:rsidR="00545D99" w:rsidRDefault="008D49B5">
                          <w:pPr>
                            <w:spacing w:before="24"/>
                            <w:ind w:left="20"/>
                            <w:rPr>
                              <w:b/>
                              <w:sz w:val="20"/>
                            </w:rPr>
                          </w:pPr>
                          <w:r>
                            <w:rPr>
                              <w:b/>
                              <w:spacing w:val="-5"/>
                              <w:sz w:val="20"/>
                            </w:rPr>
                            <w:t>33</w:t>
                          </w:r>
                        </w:p>
                      </w:txbxContent>
                    </wps:txbx>
                    <wps:bodyPr wrap="square" lIns="0" tIns="0" rIns="0" bIns="0" rtlCol="0">
                      <a:noAutofit/>
                    </wps:bodyPr>
                  </wps:wsp>
                </a:graphicData>
              </a:graphic>
            </wp:anchor>
          </w:drawing>
        </mc:Choice>
        <mc:Fallback>
          <w:pict>
            <v:shapetype w14:anchorId="0FFFE98B" id="_x0000_t202" coordsize="21600,21600" o:spt="202" path="m,l,21600r21600,l21600,xe">
              <v:stroke joinstyle="miter"/>
              <v:path gradientshapeok="t" o:connecttype="rect"/>
            </v:shapetype>
            <v:shape id="Textbox 1" o:spid="_x0000_s1028" type="#_x0000_t202" style="position:absolute;margin-left:291.35pt;margin-top:737.5pt;width:12pt;height:15pt;z-index:-1579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" filled="f" stroked="f">
              <v:textbox inset="0,0,0,0">
                <w:txbxContent>
                  <w:p w14:paraId="34455AEF" w14:textId="77777777" w:rsidR="00545D99" w:rsidRDefault="008D49B5">
                    <w:pPr>
                      <w:spacing w:before="24"/>
                      <w:ind w:left="20"/>
                      <w:rPr>
                        <w:b/>
                        <w:sz w:val="20"/>
                      </w:rPr>
                    </w:pPr>
                    <w:r>
                      <w:rPr>
                        <w:b/>
                        <w:spacing w:val="-5"/>
                        <w:sz w:val="20"/>
                      </w:rPr>
                      <w:t>33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0152C" w14:textId="77777777" w:rsidR="003E2144" w:rsidRDefault="003E2144">
      <w:r>
        <w:separator/>
      </w:r>
    </w:p>
  </w:footnote>
  <w:footnote w:type="continuationSeparator" w:id="0">
    <w:p w14:paraId="656E74D2" w14:textId="77777777" w:rsidR="003E2144" w:rsidRDefault="003E21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D99"/>
    <w:rsid w:val="000263D4"/>
    <w:rsid w:val="000E63DF"/>
    <w:rsid w:val="00273349"/>
    <w:rsid w:val="003424A4"/>
    <w:rsid w:val="003E2144"/>
    <w:rsid w:val="00465DE3"/>
    <w:rsid w:val="004A1BCD"/>
    <w:rsid w:val="004F4A7F"/>
    <w:rsid w:val="00545D99"/>
    <w:rsid w:val="00597620"/>
    <w:rsid w:val="00783C54"/>
    <w:rsid w:val="008D49B5"/>
    <w:rsid w:val="008F7875"/>
    <w:rsid w:val="00945362"/>
    <w:rsid w:val="009C1227"/>
    <w:rsid w:val="00D11340"/>
    <w:rsid w:val="00D263E2"/>
    <w:rsid w:val="00F97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3F337"/>
  <w15:docId w15:val="{93141EBA-D15D-4929-8B67-CBA70327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Times" w:hAnsi="Times" w:cs="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9"/>
    </w:pPr>
    <w:rPr>
      <w:sz w:val="20"/>
      <w:szCs w:val="20"/>
    </w:rPr>
  </w:style>
  <w:style w:type="paragraph" w:styleId="Title">
    <w:name w:val="Title"/>
    <w:basedOn w:val="Normal"/>
    <w:uiPriority w:val="10"/>
    <w:qFormat/>
    <w:pPr>
      <w:spacing w:before="24"/>
      <w:ind w:left="20"/>
    </w:pPr>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263D4"/>
    <w:rPr>
      <w:color w:val="0000FF" w:themeColor="hyperlink"/>
      <w:u w:val="single"/>
    </w:rPr>
  </w:style>
  <w:style w:type="character" w:styleId="UnresolvedMention">
    <w:name w:val="Unresolved Mention"/>
    <w:basedOn w:val="DefaultParagraphFont"/>
    <w:uiPriority w:val="99"/>
    <w:semiHidden/>
    <w:unhideWhenUsed/>
    <w:rsid w:val="000263D4"/>
    <w:rPr>
      <w:color w:val="605E5C"/>
      <w:shd w:val="clear" w:color="auto" w:fill="E1DFDD"/>
    </w:rPr>
  </w:style>
  <w:style w:type="character" w:styleId="FollowedHyperlink">
    <w:name w:val="FollowedHyperlink"/>
    <w:basedOn w:val="DefaultParagraphFont"/>
    <w:uiPriority w:val="99"/>
    <w:semiHidden/>
    <w:unhideWhenUsed/>
    <w:rsid w:val="008D49B5"/>
    <w:rPr>
      <w:color w:val="800080" w:themeColor="followedHyperlink"/>
      <w:u w:val="single"/>
    </w:rPr>
  </w:style>
  <w:style w:type="paragraph" w:customStyle="1" w:styleId="Affiliation">
    <w:name w:val="Affiliation"/>
    <w:basedOn w:val="Normal"/>
    <w:qFormat/>
    <w:rsid w:val="00945362"/>
    <w:pPr>
      <w:widowControl/>
      <w:autoSpaceDE/>
      <w:autoSpaceDN/>
      <w:spacing w:before="1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1810</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Thompson</dc:creator>
  <cp:lastModifiedBy>Brigitte Schaper</cp:lastModifiedBy>
  <cp:revision>2</cp:revision>
  <cp:lastPrinted>2025-10-23T02:26:00Z</cp:lastPrinted>
  <dcterms:created xsi:type="dcterms:W3CDTF">2025-10-28T07:35:00Z</dcterms:created>
  <dcterms:modified xsi:type="dcterms:W3CDTF">2025-10-28T07:35:00Z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copernicus.cls Version 2025/03/03 10.1.26 Copernicus papers, produced from XML</vt:lpwstr>
  </property>
  <property fmtid="{D5CDD505-2E9C-101B-9397-08002B2CF9AE}" pid="4" name="LastSaved">
    <vt:filetime>2025-10-22T00:00:00Z</vt:filetime>
  </property>
  <property fmtid="{D5CDD505-2E9C-101B-9397-08002B2CF9AE}" pid="5" name="Producer">
    <vt:lpwstr>pdfTeX-1.40.19</vt:lpwstr>
  </property>
</Properties>
</file>