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048D" w14:textId="77777777" w:rsidR="00830F2C" w:rsidRDefault="00830F2C" w:rsidP="00830F2C">
      <w:pPr>
        <w:pStyle w:val="Heading1"/>
      </w:pPr>
      <w:r>
        <w:t>Supplementary tables</w:t>
      </w:r>
    </w:p>
    <w:tbl>
      <w:tblPr>
        <w:tblStyle w:val="TableGrid"/>
        <w:tblW w:w="10160" w:type="dxa"/>
        <w:tblLook w:val="0420" w:firstRow="1" w:lastRow="0" w:firstColumn="0" w:lastColumn="0" w:noHBand="0" w:noVBand="1"/>
      </w:tblPr>
      <w:tblGrid>
        <w:gridCol w:w="4580"/>
        <w:gridCol w:w="1980"/>
        <w:gridCol w:w="3600"/>
      </w:tblGrid>
      <w:tr w:rsidR="00D041F7" w:rsidRPr="006719BF" w14:paraId="00B99766" w14:textId="77777777" w:rsidTr="008723C6">
        <w:trPr>
          <w:trHeight w:val="584"/>
        </w:trPr>
        <w:tc>
          <w:tcPr>
            <w:tcW w:w="4580" w:type="dxa"/>
            <w:hideMark/>
          </w:tcPr>
          <w:p w14:paraId="19D10ED7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b/>
                <w:bCs/>
                <w:kern w:val="24"/>
                <w:sz w:val="32"/>
                <w:szCs w:val="32"/>
              </w:rPr>
              <w:t>Field (Units)</w:t>
            </w:r>
          </w:p>
          <w:p w14:paraId="04330F99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b/>
                <w:bCs/>
                <w:kern w:val="24"/>
                <w:sz w:val="32"/>
                <w:szCs w:val="32"/>
              </w:rPr>
              <w:t>Annual mean: 2010</w:t>
            </w:r>
          </w:p>
        </w:tc>
        <w:tc>
          <w:tcPr>
            <w:tcW w:w="1980" w:type="dxa"/>
            <w:hideMark/>
          </w:tcPr>
          <w:p w14:paraId="35EA0A9E" w14:textId="77777777" w:rsidR="00D041F7" w:rsidRDefault="00D041F7" w:rsidP="008723C6">
            <w:pPr>
              <w:rPr>
                <w:rFonts w:ascii="Calibri" w:hAnsi="Calibri" w:cs="Calibri"/>
                <w:b/>
                <w:bCs/>
                <w:kern w:val="24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kern w:val="24"/>
                <w:sz w:val="32"/>
                <w:szCs w:val="32"/>
              </w:rPr>
              <w:t>HTAP v3</w:t>
            </w:r>
            <w:r w:rsidRPr="00F010C6">
              <w:rPr>
                <w:rFonts w:ascii="Calibri" w:hAnsi="Calibri" w:cs="Calibri"/>
                <w:b/>
                <w:bCs/>
                <w:kern w:val="24"/>
                <w:sz w:val="32"/>
                <w:szCs w:val="32"/>
              </w:rPr>
              <w:t xml:space="preserve"> </w:t>
            </w:r>
          </w:p>
          <w:p w14:paraId="6EA6256A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b/>
                <w:bCs/>
                <w:kern w:val="24"/>
                <w:sz w:val="32"/>
                <w:szCs w:val="32"/>
              </w:rPr>
              <w:t>(this study)</w:t>
            </w:r>
          </w:p>
        </w:tc>
        <w:tc>
          <w:tcPr>
            <w:tcW w:w="3600" w:type="dxa"/>
            <w:hideMark/>
          </w:tcPr>
          <w:p w14:paraId="76F6416D" w14:textId="77777777" w:rsidR="00D041F7" w:rsidRDefault="00D041F7" w:rsidP="008723C6">
            <w:pPr>
              <w:rPr>
                <w:rFonts w:ascii="Calibri" w:hAnsi="Calibri" w:cs="Calibri"/>
                <w:b/>
                <w:bCs/>
                <w:kern w:val="24"/>
                <w:sz w:val="32"/>
                <w:szCs w:val="32"/>
                <w:lang w:val="de-DE"/>
              </w:rPr>
            </w:pPr>
            <w:r w:rsidRPr="00C404BD">
              <w:rPr>
                <w:rFonts w:ascii="Calibri" w:hAnsi="Calibri" w:cs="Calibri"/>
                <w:b/>
                <w:bCs/>
                <w:kern w:val="24"/>
                <w:sz w:val="32"/>
                <w:szCs w:val="32"/>
                <w:lang w:val="de-DE"/>
              </w:rPr>
              <w:t xml:space="preserve">HTAP v2 </w:t>
            </w:r>
          </w:p>
          <w:p w14:paraId="6038DE6B" w14:textId="77777777" w:rsidR="00D041F7" w:rsidRPr="00C404BD" w:rsidRDefault="00D041F7" w:rsidP="008723C6">
            <w:pPr>
              <w:rPr>
                <w:rFonts w:ascii="Arial" w:hAnsi="Arial" w:cs="Arial"/>
                <w:sz w:val="32"/>
                <w:szCs w:val="32"/>
                <w:lang w:val="de-DE"/>
              </w:rPr>
            </w:pPr>
            <w:r w:rsidRPr="00C404BD">
              <w:rPr>
                <w:rFonts w:ascii="Calibri" w:hAnsi="Calibri" w:cs="Calibri"/>
                <w:b/>
                <w:bCs/>
                <w:kern w:val="24"/>
                <w:sz w:val="32"/>
                <w:szCs w:val="32"/>
                <w:lang w:val="de-DE"/>
              </w:rPr>
              <w:t>(Butler et al. 2020)</w:t>
            </w:r>
          </w:p>
        </w:tc>
      </w:tr>
      <w:tr w:rsidR="00D041F7" w:rsidRPr="00F010C6" w14:paraId="7470958F" w14:textId="77777777" w:rsidTr="008723C6">
        <w:trPr>
          <w:trHeight w:val="584"/>
        </w:trPr>
        <w:tc>
          <w:tcPr>
            <w:tcW w:w="4580" w:type="dxa"/>
            <w:hideMark/>
          </w:tcPr>
          <w:p w14:paraId="6AF1E670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CH4 conc. (ppb)</w:t>
            </w:r>
          </w:p>
        </w:tc>
        <w:tc>
          <w:tcPr>
            <w:tcW w:w="1980" w:type="dxa"/>
            <w:hideMark/>
          </w:tcPr>
          <w:p w14:paraId="5D225458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1788</w:t>
            </w:r>
          </w:p>
        </w:tc>
        <w:tc>
          <w:tcPr>
            <w:tcW w:w="3600" w:type="dxa"/>
            <w:hideMark/>
          </w:tcPr>
          <w:p w14:paraId="090A8A84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1760</w:t>
            </w:r>
          </w:p>
        </w:tc>
      </w:tr>
      <w:tr w:rsidR="00D041F7" w:rsidRPr="00F010C6" w14:paraId="6AAA2BA5" w14:textId="77777777" w:rsidTr="008723C6">
        <w:trPr>
          <w:trHeight w:val="584"/>
        </w:trPr>
        <w:tc>
          <w:tcPr>
            <w:tcW w:w="4580" w:type="dxa"/>
            <w:hideMark/>
          </w:tcPr>
          <w:p w14:paraId="1E268437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Trop. CH4 burden (TgCH4)</w:t>
            </w:r>
          </w:p>
        </w:tc>
        <w:tc>
          <w:tcPr>
            <w:tcW w:w="1980" w:type="dxa"/>
            <w:hideMark/>
          </w:tcPr>
          <w:p w14:paraId="46AAEFCC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4216</w:t>
            </w:r>
          </w:p>
        </w:tc>
        <w:tc>
          <w:tcPr>
            <w:tcW w:w="3600" w:type="dxa"/>
            <w:hideMark/>
          </w:tcPr>
          <w:p w14:paraId="26BE3955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4150</w:t>
            </w:r>
          </w:p>
        </w:tc>
      </w:tr>
      <w:tr w:rsidR="00D041F7" w:rsidRPr="00F010C6" w14:paraId="37EB15FD" w14:textId="77777777" w:rsidTr="008723C6">
        <w:trPr>
          <w:trHeight w:val="584"/>
        </w:trPr>
        <w:tc>
          <w:tcPr>
            <w:tcW w:w="4580" w:type="dxa"/>
            <w:hideMark/>
          </w:tcPr>
          <w:p w14:paraId="1D595ADF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Trop. CH4 loss (TgC)</w:t>
            </w:r>
          </w:p>
        </w:tc>
        <w:tc>
          <w:tcPr>
            <w:tcW w:w="1980" w:type="dxa"/>
            <w:hideMark/>
          </w:tcPr>
          <w:p w14:paraId="07FFCF24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4</w:t>
            </w:r>
            <w:r>
              <w:rPr>
                <w:rFonts w:ascii="Calibri" w:hAnsi="Calibri" w:cs="Calibri"/>
                <w:kern w:val="24"/>
                <w:sz w:val="32"/>
                <w:szCs w:val="32"/>
              </w:rPr>
              <w:t>92.4</w:t>
            </w:r>
          </w:p>
        </w:tc>
        <w:tc>
          <w:tcPr>
            <w:tcW w:w="3600" w:type="dxa"/>
            <w:hideMark/>
          </w:tcPr>
          <w:p w14:paraId="7BBA5F68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410</w:t>
            </w:r>
          </w:p>
        </w:tc>
      </w:tr>
      <w:tr w:rsidR="00D041F7" w:rsidRPr="00F010C6" w14:paraId="15FBC1E1" w14:textId="77777777" w:rsidTr="008723C6">
        <w:trPr>
          <w:trHeight w:val="584"/>
        </w:trPr>
        <w:tc>
          <w:tcPr>
            <w:tcW w:w="4580" w:type="dxa"/>
            <w:hideMark/>
          </w:tcPr>
          <w:p w14:paraId="50B75277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CH4 lifetime (years)</w:t>
            </w:r>
          </w:p>
        </w:tc>
        <w:tc>
          <w:tcPr>
            <w:tcW w:w="1980" w:type="dxa"/>
            <w:hideMark/>
          </w:tcPr>
          <w:p w14:paraId="23E38AFB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alibri" w:hAnsi="Calibri" w:cs="Calibri"/>
                <w:kern w:val="24"/>
                <w:sz w:val="32"/>
                <w:szCs w:val="32"/>
              </w:rPr>
              <w:t>6.42</w:t>
            </w:r>
          </w:p>
        </w:tc>
        <w:tc>
          <w:tcPr>
            <w:tcW w:w="3600" w:type="dxa"/>
            <w:hideMark/>
          </w:tcPr>
          <w:p w14:paraId="6B577A4D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7.59</w:t>
            </w:r>
          </w:p>
        </w:tc>
      </w:tr>
      <w:tr w:rsidR="00D041F7" w:rsidRPr="00F010C6" w14:paraId="26279FBD" w14:textId="77777777" w:rsidTr="008723C6">
        <w:trPr>
          <w:trHeight w:val="584"/>
        </w:trPr>
        <w:tc>
          <w:tcPr>
            <w:tcW w:w="4580" w:type="dxa"/>
            <w:hideMark/>
          </w:tcPr>
          <w:p w14:paraId="76498969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Trop. O3 burden (Tg O3)</w:t>
            </w:r>
          </w:p>
        </w:tc>
        <w:tc>
          <w:tcPr>
            <w:tcW w:w="1980" w:type="dxa"/>
            <w:hideMark/>
          </w:tcPr>
          <w:p w14:paraId="7E297594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3</w:t>
            </w:r>
            <w:r>
              <w:rPr>
                <w:rFonts w:ascii="Calibri" w:hAnsi="Calibri" w:cs="Calibri"/>
                <w:kern w:val="24"/>
                <w:sz w:val="32"/>
                <w:szCs w:val="32"/>
              </w:rPr>
              <w:t>36.4</w:t>
            </w:r>
          </w:p>
        </w:tc>
        <w:tc>
          <w:tcPr>
            <w:tcW w:w="3600" w:type="dxa"/>
            <w:hideMark/>
          </w:tcPr>
          <w:p w14:paraId="1790B976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319</w:t>
            </w:r>
          </w:p>
        </w:tc>
      </w:tr>
      <w:tr w:rsidR="00D041F7" w:rsidRPr="00F010C6" w14:paraId="71E97EDE" w14:textId="77777777" w:rsidTr="008723C6">
        <w:trPr>
          <w:trHeight w:val="584"/>
        </w:trPr>
        <w:tc>
          <w:tcPr>
            <w:tcW w:w="4580" w:type="dxa"/>
            <w:hideMark/>
          </w:tcPr>
          <w:p w14:paraId="5927CE28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Trop. O3_X_CH4 burden (Tg O3)</w:t>
            </w:r>
          </w:p>
        </w:tc>
        <w:tc>
          <w:tcPr>
            <w:tcW w:w="1980" w:type="dxa"/>
            <w:hideMark/>
          </w:tcPr>
          <w:p w14:paraId="671CACB8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alibri" w:hAnsi="Calibri" w:cs="Calibri"/>
                <w:kern w:val="24"/>
                <w:sz w:val="32"/>
                <w:szCs w:val="32"/>
              </w:rPr>
              <w:t>148.52</w:t>
            </w:r>
          </w:p>
        </w:tc>
        <w:tc>
          <w:tcPr>
            <w:tcW w:w="3600" w:type="dxa"/>
            <w:hideMark/>
          </w:tcPr>
          <w:p w14:paraId="521B0707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113</w:t>
            </w:r>
          </w:p>
        </w:tc>
      </w:tr>
      <w:tr w:rsidR="00D041F7" w:rsidRPr="00F010C6" w14:paraId="1F6C8FE9" w14:textId="77777777" w:rsidTr="008723C6">
        <w:trPr>
          <w:trHeight w:val="584"/>
        </w:trPr>
        <w:tc>
          <w:tcPr>
            <w:tcW w:w="4580" w:type="dxa"/>
            <w:hideMark/>
          </w:tcPr>
          <w:p w14:paraId="25B4F6FF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OPE-CH4 (mol O3/ mol C)</w:t>
            </w:r>
          </w:p>
        </w:tc>
        <w:tc>
          <w:tcPr>
            <w:tcW w:w="1980" w:type="dxa"/>
            <w:hideMark/>
          </w:tcPr>
          <w:p w14:paraId="2A74614A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Calibri" w:hAnsi="Calibri" w:cs="Calibri"/>
                <w:kern w:val="24"/>
                <w:sz w:val="32"/>
                <w:szCs w:val="32"/>
              </w:rPr>
              <w:t>0.08</w:t>
            </w:r>
          </w:p>
        </w:tc>
        <w:tc>
          <w:tcPr>
            <w:tcW w:w="3600" w:type="dxa"/>
            <w:hideMark/>
          </w:tcPr>
          <w:p w14:paraId="4DC526C1" w14:textId="77777777" w:rsidR="00D041F7" w:rsidRPr="00F010C6" w:rsidRDefault="00D041F7" w:rsidP="008723C6">
            <w:pPr>
              <w:rPr>
                <w:rFonts w:ascii="Arial" w:hAnsi="Arial" w:cs="Arial"/>
                <w:sz w:val="32"/>
                <w:szCs w:val="32"/>
              </w:rPr>
            </w:pPr>
            <w:r w:rsidRPr="00F010C6">
              <w:rPr>
                <w:rFonts w:ascii="Calibri" w:hAnsi="Calibri" w:cs="Calibri"/>
                <w:kern w:val="24"/>
                <w:sz w:val="32"/>
                <w:szCs w:val="32"/>
              </w:rPr>
              <w:t>0.0</w:t>
            </w:r>
            <w:r>
              <w:rPr>
                <w:rFonts w:ascii="Calibri" w:hAnsi="Calibri" w:cs="Calibri"/>
                <w:kern w:val="24"/>
                <w:sz w:val="32"/>
                <w:szCs w:val="32"/>
              </w:rPr>
              <w:t>7</w:t>
            </w:r>
          </w:p>
        </w:tc>
      </w:tr>
    </w:tbl>
    <w:p w14:paraId="22D9904C" w14:textId="77777777" w:rsidR="00D041F7" w:rsidRPr="00F010C6" w:rsidRDefault="00D041F7" w:rsidP="00D041F7"/>
    <w:p w14:paraId="0F81855C" w14:textId="77777777" w:rsidR="00D041F7" w:rsidRPr="00F010C6" w:rsidRDefault="00D041F7" w:rsidP="00D041F7"/>
    <w:p w14:paraId="76E5D46A" w14:textId="6FCE0105" w:rsidR="00D041F7" w:rsidRPr="00F010C6" w:rsidRDefault="00D041F7" w:rsidP="00D041F7">
      <w:r w:rsidRPr="00205B46">
        <w:rPr>
          <w:b/>
          <w:bCs/>
        </w:rPr>
        <w:t>Table S</w:t>
      </w:r>
      <w:r>
        <w:rPr>
          <w:b/>
          <w:bCs/>
        </w:rPr>
        <w:t>1</w:t>
      </w:r>
      <w:r w:rsidRPr="00F010C6">
        <w:t xml:space="preserve">: Comparison of </w:t>
      </w:r>
      <w:r>
        <w:t xml:space="preserve">various </w:t>
      </w:r>
      <w:r w:rsidRPr="00F010C6">
        <w:t>CH</w:t>
      </w:r>
      <w:r w:rsidRPr="00ED7E40">
        <w:rPr>
          <w:vertAlign w:val="subscript"/>
        </w:rPr>
        <w:t>4</w:t>
      </w:r>
      <w:r>
        <w:t>-</w:t>
      </w:r>
      <w:r w:rsidRPr="00F010C6">
        <w:t>related metrics between this study and Butler et al. 2020, for the year 2010.</w:t>
      </w:r>
    </w:p>
    <w:p w14:paraId="1D246F5D" w14:textId="77777777" w:rsidR="00D041F7" w:rsidRDefault="00D041F7">
      <w:r>
        <w:br w:type="page"/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905"/>
        <w:gridCol w:w="1330"/>
        <w:gridCol w:w="1440"/>
        <w:gridCol w:w="1350"/>
        <w:gridCol w:w="1434"/>
        <w:gridCol w:w="2076"/>
      </w:tblGrid>
      <w:tr w:rsidR="00830F2C" w:rsidRPr="008F6CA3" w14:paraId="07DDADD4" w14:textId="77777777" w:rsidTr="00977525">
        <w:tc>
          <w:tcPr>
            <w:tcW w:w="1905" w:type="dxa"/>
          </w:tcPr>
          <w:p w14:paraId="66E87131" w14:textId="6C23313A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lastRenderedPageBreak/>
              <w:t>Tag</w:t>
            </w:r>
          </w:p>
        </w:tc>
        <w:tc>
          <w:tcPr>
            <w:tcW w:w="1330" w:type="dxa"/>
          </w:tcPr>
          <w:p w14:paraId="7E4B4A7A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Emissions</w:t>
            </w:r>
          </w:p>
          <w:p w14:paraId="297516D1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(Tg</w:t>
            </w:r>
            <w:r>
              <w:rPr>
                <w:b/>
                <w:bCs/>
              </w:rPr>
              <w:t>N</w:t>
            </w:r>
            <w:r w:rsidRPr="008F6CA3">
              <w:rPr>
                <w:b/>
                <w:bCs/>
              </w:rPr>
              <w:t>/yr)</w:t>
            </w:r>
          </w:p>
        </w:tc>
        <w:tc>
          <w:tcPr>
            <w:tcW w:w="1440" w:type="dxa"/>
          </w:tcPr>
          <w:p w14:paraId="0BF92A5E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Trop O3 burden (TgO3)</w:t>
            </w:r>
          </w:p>
        </w:tc>
        <w:tc>
          <w:tcPr>
            <w:tcW w:w="1350" w:type="dxa"/>
          </w:tcPr>
          <w:p w14:paraId="70DB14D6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OPE</w:t>
            </w:r>
          </w:p>
          <w:p w14:paraId="1FBB5AE4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(mol O3</w:t>
            </w:r>
          </w:p>
          <w:p w14:paraId="719AAE1F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/mol C)</w:t>
            </w:r>
          </w:p>
        </w:tc>
        <w:tc>
          <w:tcPr>
            <w:tcW w:w="1434" w:type="dxa"/>
          </w:tcPr>
          <w:p w14:paraId="5616DE89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Surface mean (ppbv)</w:t>
            </w:r>
          </w:p>
        </w:tc>
        <w:tc>
          <w:tcPr>
            <w:tcW w:w="2076" w:type="dxa"/>
          </w:tcPr>
          <w:p w14:paraId="4664109A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Population weighted mean (ppbv)</w:t>
            </w:r>
          </w:p>
        </w:tc>
      </w:tr>
      <w:tr w:rsidR="00830F2C" w:rsidRPr="00F010C6" w14:paraId="7D6CD9FA" w14:textId="77777777" w:rsidTr="00977525">
        <w:tc>
          <w:tcPr>
            <w:tcW w:w="9535" w:type="dxa"/>
            <w:gridSpan w:val="6"/>
          </w:tcPr>
          <w:p w14:paraId="5E62553C" w14:textId="77777777" w:rsidR="00830F2C" w:rsidRPr="00F010C6" w:rsidRDefault="00830F2C" w:rsidP="00977525">
            <w:r w:rsidRPr="00F010C6">
              <w:t>Explicitly tagged regions within the Rest of the World tag in our NOx-tagged simulation</w:t>
            </w:r>
          </w:p>
        </w:tc>
      </w:tr>
      <w:tr w:rsidR="00830F2C" w:rsidRPr="00F010C6" w14:paraId="5FFB7976" w14:textId="77777777" w:rsidTr="00977525">
        <w:tc>
          <w:tcPr>
            <w:tcW w:w="1905" w:type="dxa"/>
          </w:tcPr>
          <w:p w14:paraId="53F33D56" w14:textId="77777777" w:rsidR="00830F2C" w:rsidRPr="00F010C6" w:rsidRDefault="00830F2C" w:rsidP="00977525">
            <w:r w:rsidRPr="00F010C6">
              <w:t>Central Asia</w:t>
            </w:r>
          </w:p>
        </w:tc>
        <w:tc>
          <w:tcPr>
            <w:tcW w:w="1330" w:type="dxa"/>
            <w:vAlign w:val="bottom"/>
          </w:tcPr>
          <w:p w14:paraId="3584ED46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0.55(0.82)</w:t>
            </w:r>
          </w:p>
        </w:tc>
        <w:tc>
          <w:tcPr>
            <w:tcW w:w="1440" w:type="dxa"/>
            <w:vAlign w:val="bottom"/>
          </w:tcPr>
          <w:p w14:paraId="478F78E3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0.91(0.27)</w:t>
            </w:r>
          </w:p>
        </w:tc>
        <w:tc>
          <w:tcPr>
            <w:tcW w:w="1350" w:type="dxa"/>
            <w:vAlign w:val="bottom"/>
          </w:tcPr>
          <w:p w14:paraId="661D69DD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0.48</w:t>
            </w:r>
          </w:p>
        </w:tc>
        <w:tc>
          <w:tcPr>
            <w:tcW w:w="1434" w:type="dxa"/>
            <w:vAlign w:val="bottom"/>
          </w:tcPr>
          <w:p w14:paraId="1173357B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0.17(0.62)</w:t>
            </w:r>
          </w:p>
        </w:tc>
        <w:tc>
          <w:tcPr>
            <w:tcW w:w="2076" w:type="dxa"/>
            <w:vAlign w:val="bottom"/>
          </w:tcPr>
          <w:p w14:paraId="0BD75C45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0.2(0.59)</w:t>
            </w:r>
          </w:p>
        </w:tc>
      </w:tr>
      <w:tr w:rsidR="00830F2C" w:rsidRPr="00F010C6" w14:paraId="4B0923CF" w14:textId="77777777" w:rsidTr="00977525">
        <w:tc>
          <w:tcPr>
            <w:tcW w:w="1905" w:type="dxa"/>
          </w:tcPr>
          <w:p w14:paraId="4D6F9F20" w14:textId="77777777" w:rsidR="00830F2C" w:rsidRPr="00F010C6" w:rsidRDefault="00830F2C" w:rsidP="00977525">
            <w:r w:rsidRPr="00F010C6">
              <w:t>Mexico and Central America</w:t>
            </w:r>
          </w:p>
        </w:tc>
        <w:tc>
          <w:tcPr>
            <w:tcW w:w="1330" w:type="dxa"/>
            <w:vAlign w:val="bottom"/>
          </w:tcPr>
          <w:p w14:paraId="4E3860BF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2.01(3.0)</w:t>
            </w:r>
          </w:p>
        </w:tc>
        <w:tc>
          <w:tcPr>
            <w:tcW w:w="1440" w:type="dxa"/>
            <w:vAlign w:val="bottom"/>
          </w:tcPr>
          <w:p w14:paraId="63E45C39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10.99(3.27)</w:t>
            </w:r>
          </w:p>
        </w:tc>
        <w:tc>
          <w:tcPr>
            <w:tcW w:w="1350" w:type="dxa"/>
            <w:vAlign w:val="bottom"/>
          </w:tcPr>
          <w:p w14:paraId="4AB2D292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1434" w:type="dxa"/>
            <w:vAlign w:val="bottom"/>
          </w:tcPr>
          <w:p w14:paraId="4944F90A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0.8(2.96)</w:t>
            </w:r>
          </w:p>
        </w:tc>
        <w:tc>
          <w:tcPr>
            <w:tcW w:w="2076" w:type="dxa"/>
            <w:vAlign w:val="bottom"/>
          </w:tcPr>
          <w:p w14:paraId="7612D1D7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1.03(3.07)</w:t>
            </w:r>
          </w:p>
        </w:tc>
      </w:tr>
      <w:tr w:rsidR="00830F2C" w:rsidRPr="00F010C6" w14:paraId="408EDB94" w14:textId="77777777" w:rsidTr="00977525">
        <w:tc>
          <w:tcPr>
            <w:tcW w:w="1905" w:type="dxa"/>
          </w:tcPr>
          <w:p w14:paraId="38AF9C09" w14:textId="77777777" w:rsidR="00830F2C" w:rsidRPr="00F010C6" w:rsidRDefault="00830F2C" w:rsidP="00977525">
            <w:r w:rsidRPr="00F010C6">
              <w:t>North Africa</w:t>
            </w:r>
          </w:p>
        </w:tc>
        <w:tc>
          <w:tcPr>
            <w:tcW w:w="1330" w:type="dxa"/>
            <w:vAlign w:val="bottom"/>
          </w:tcPr>
          <w:p w14:paraId="4401C4F5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0.87(1.31)</w:t>
            </w:r>
          </w:p>
        </w:tc>
        <w:tc>
          <w:tcPr>
            <w:tcW w:w="1440" w:type="dxa"/>
            <w:vAlign w:val="bottom"/>
          </w:tcPr>
          <w:p w14:paraId="12EDD3FB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2.08(0.62)</w:t>
            </w:r>
          </w:p>
        </w:tc>
        <w:tc>
          <w:tcPr>
            <w:tcW w:w="1350" w:type="dxa"/>
            <w:vAlign w:val="bottom"/>
          </w:tcPr>
          <w:p w14:paraId="48EA0A04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</w:t>
            </w:r>
          </w:p>
        </w:tc>
        <w:tc>
          <w:tcPr>
            <w:tcW w:w="1434" w:type="dxa"/>
            <w:vAlign w:val="bottom"/>
          </w:tcPr>
          <w:p w14:paraId="558F2061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0.32(1.19)</w:t>
            </w:r>
          </w:p>
        </w:tc>
        <w:tc>
          <w:tcPr>
            <w:tcW w:w="2076" w:type="dxa"/>
            <w:vAlign w:val="bottom"/>
          </w:tcPr>
          <w:p w14:paraId="6EDA1CC6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0.56(1.67)</w:t>
            </w:r>
          </w:p>
        </w:tc>
      </w:tr>
      <w:tr w:rsidR="00830F2C" w:rsidRPr="00F010C6" w14:paraId="11CD0C99" w14:textId="77777777" w:rsidTr="00977525">
        <w:tc>
          <w:tcPr>
            <w:tcW w:w="1905" w:type="dxa"/>
          </w:tcPr>
          <w:p w14:paraId="438A9C26" w14:textId="77777777" w:rsidR="00830F2C" w:rsidRPr="00F010C6" w:rsidRDefault="00830F2C" w:rsidP="00977525">
            <w:r w:rsidRPr="00F010C6">
              <w:t>South-East Asia</w:t>
            </w:r>
          </w:p>
        </w:tc>
        <w:tc>
          <w:tcPr>
            <w:tcW w:w="1330" w:type="dxa"/>
            <w:vAlign w:val="bottom"/>
          </w:tcPr>
          <w:p w14:paraId="37954069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2.58(3.85)</w:t>
            </w:r>
          </w:p>
        </w:tc>
        <w:tc>
          <w:tcPr>
            <w:tcW w:w="1440" w:type="dxa"/>
            <w:vAlign w:val="bottom"/>
          </w:tcPr>
          <w:p w14:paraId="73D4D77B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15.09(4.49)</w:t>
            </w:r>
          </w:p>
        </w:tc>
        <w:tc>
          <w:tcPr>
            <w:tcW w:w="1350" w:type="dxa"/>
            <w:vAlign w:val="bottom"/>
          </w:tcPr>
          <w:p w14:paraId="475B73A2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1.73</w:t>
            </w:r>
          </w:p>
        </w:tc>
        <w:tc>
          <w:tcPr>
            <w:tcW w:w="1434" w:type="dxa"/>
            <w:vAlign w:val="bottom"/>
          </w:tcPr>
          <w:p w14:paraId="1A6FE1B3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0.84(3.11)</w:t>
            </w:r>
          </w:p>
        </w:tc>
        <w:tc>
          <w:tcPr>
            <w:tcW w:w="2076" w:type="dxa"/>
            <w:vAlign w:val="bottom"/>
          </w:tcPr>
          <w:p w14:paraId="51324D51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1.72(5.13)</w:t>
            </w:r>
          </w:p>
        </w:tc>
      </w:tr>
      <w:tr w:rsidR="00830F2C" w:rsidRPr="00F010C6" w14:paraId="6A82D651" w14:textId="77777777" w:rsidTr="00891899">
        <w:tc>
          <w:tcPr>
            <w:tcW w:w="1905" w:type="dxa"/>
          </w:tcPr>
          <w:p w14:paraId="0268F9D7" w14:textId="55A60121" w:rsidR="00830F2C" w:rsidRPr="00F010C6" w:rsidRDefault="0050702D" w:rsidP="00977525">
            <w:r>
              <w:t>Southern Hemisphere regions*</w:t>
            </w:r>
          </w:p>
        </w:tc>
        <w:tc>
          <w:tcPr>
            <w:tcW w:w="1330" w:type="dxa"/>
            <w:vAlign w:val="center"/>
          </w:tcPr>
          <w:p w14:paraId="10455FAF" w14:textId="77777777" w:rsidR="00830F2C" w:rsidRPr="00F010C6" w:rsidRDefault="00830F2C" w:rsidP="00891899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4.55(6.79)</w:t>
            </w:r>
          </w:p>
        </w:tc>
        <w:tc>
          <w:tcPr>
            <w:tcW w:w="1440" w:type="dxa"/>
            <w:vAlign w:val="center"/>
          </w:tcPr>
          <w:p w14:paraId="5074875B" w14:textId="77777777" w:rsidR="00830F2C" w:rsidRPr="00F010C6" w:rsidRDefault="00830F2C" w:rsidP="00891899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22.95(6.82)</w:t>
            </w:r>
          </w:p>
        </w:tc>
        <w:tc>
          <w:tcPr>
            <w:tcW w:w="1350" w:type="dxa"/>
            <w:vAlign w:val="center"/>
          </w:tcPr>
          <w:p w14:paraId="2179832E" w14:textId="77777777" w:rsidR="00830F2C" w:rsidRPr="00F010C6" w:rsidRDefault="00830F2C" w:rsidP="00891899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1.48</w:t>
            </w:r>
          </w:p>
        </w:tc>
        <w:tc>
          <w:tcPr>
            <w:tcW w:w="1434" w:type="dxa"/>
            <w:vAlign w:val="center"/>
          </w:tcPr>
          <w:p w14:paraId="4DAA3C60" w14:textId="77777777" w:rsidR="00830F2C" w:rsidRPr="00F010C6" w:rsidRDefault="00830F2C" w:rsidP="00891899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2.6(9.6)</w:t>
            </w:r>
          </w:p>
        </w:tc>
        <w:tc>
          <w:tcPr>
            <w:tcW w:w="2076" w:type="dxa"/>
            <w:vAlign w:val="center"/>
          </w:tcPr>
          <w:p w14:paraId="16DAFF5A" w14:textId="77777777" w:rsidR="00830F2C" w:rsidRPr="00F010C6" w:rsidRDefault="00830F2C" w:rsidP="00891899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1.66(4.95)</w:t>
            </w:r>
          </w:p>
        </w:tc>
      </w:tr>
    </w:tbl>
    <w:p w14:paraId="3864CB3A" w14:textId="16788C78" w:rsidR="00830F2C" w:rsidRDefault="00A42DBC" w:rsidP="00830F2C">
      <w:r w:rsidRPr="0089003E">
        <w:rPr>
          <w:b/>
          <w:bCs/>
        </w:rPr>
        <w:t>Table S</w:t>
      </w:r>
      <w:r w:rsidR="00D041F7">
        <w:rPr>
          <w:b/>
          <w:bCs/>
        </w:rPr>
        <w:t>2</w:t>
      </w:r>
      <w:r>
        <w:t xml:space="preserve">: </w:t>
      </w:r>
      <w:r w:rsidR="008836DB">
        <w:t>2000-2018</w:t>
      </w:r>
      <w:r w:rsidR="008836DB" w:rsidRPr="00F010C6">
        <w:t xml:space="preserve"> Mean </w:t>
      </w:r>
      <w:r w:rsidR="008836DB">
        <w:t>c</w:t>
      </w:r>
      <w:r w:rsidR="00830F2C" w:rsidRPr="00F010C6">
        <w:t>ontributions from explicitly tagged regions to the “Rest of the World” tag in our NOx-tagged simulation discussed this study.</w:t>
      </w:r>
    </w:p>
    <w:p w14:paraId="5A4DD973" w14:textId="19A4F7D9" w:rsidR="003F559F" w:rsidRPr="00F010C6" w:rsidRDefault="003F559F" w:rsidP="00830F2C">
      <w:r>
        <w:t xml:space="preserve">*Includes southern hemisphere regions: Sahel Africa, </w:t>
      </w:r>
      <w:r w:rsidR="00D6419E">
        <w:t>Pacific-</w:t>
      </w:r>
      <w:r w:rsidR="00DE4BC0">
        <w:t xml:space="preserve">Australia-New Zealand and South America. </w:t>
      </w:r>
    </w:p>
    <w:p w14:paraId="0DD535D5" w14:textId="77777777" w:rsidR="00830F2C" w:rsidRDefault="00830F2C" w:rsidP="00830F2C"/>
    <w:p w14:paraId="477EE3FA" w14:textId="77777777" w:rsidR="00830F2C" w:rsidRDefault="00830F2C" w:rsidP="00830F2C">
      <w:pPr>
        <w:spacing w:after="160" w:line="259" w:lineRule="auto"/>
        <w:jc w:val="left"/>
      </w:pPr>
      <w:r>
        <w:br w:type="page"/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882"/>
        <w:gridCol w:w="1428"/>
        <w:gridCol w:w="1434"/>
        <w:gridCol w:w="1326"/>
        <w:gridCol w:w="1417"/>
        <w:gridCol w:w="2048"/>
      </w:tblGrid>
      <w:tr w:rsidR="00830F2C" w:rsidRPr="008F6CA3" w14:paraId="6F8365C2" w14:textId="77777777" w:rsidTr="00977525">
        <w:tc>
          <w:tcPr>
            <w:tcW w:w="1882" w:type="dxa"/>
          </w:tcPr>
          <w:p w14:paraId="69FCBF1E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lastRenderedPageBreak/>
              <w:t>Tag</w:t>
            </w:r>
          </w:p>
        </w:tc>
        <w:tc>
          <w:tcPr>
            <w:tcW w:w="1428" w:type="dxa"/>
          </w:tcPr>
          <w:p w14:paraId="203CBED0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Emissions</w:t>
            </w:r>
          </w:p>
          <w:p w14:paraId="5570EE07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(Tg</w:t>
            </w:r>
            <w:r>
              <w:rPr>
                <w:b/>
                <w:bCs/>
              </w:rPr>
              <w:t>N</w:t>
            </w:r>
            <w:r w:rsidRPr="008F6CA3">
              <w:rPr>
                <w:b/>
                <w:bCs/>
              </w:rPr>
              <w:t>/yr</w:t>
            </w:r>
            <w:r w:rsidRPr="00B92EE5">
              <w:rPr>
                <w:b/>
                <w:bCs/>
                <w:vertAlign w:val="superscript"/>
              </w:rPr>
              <w:t>2</w:t>
            </w:r>
            <w:r w:rsidRPr="008F6CA3">
              <w:rPr>
                <w:b/>
                <w:bCs/>
              </w:rPr>
              <w:t>)</w:t>
            </w:r>
          </w:p>
        </w:tc>
        <w:tc>
          <w:tcPr>
            <w:tcW w:w="1434" w:type="dxa"/>
          </w:tcPr>
          <w:p w14:paraId="686872C9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Trop O3 burden (TgO3/yr)</w:t>
            </w:r>
          </w:p>
        </w:tc>
        <w:tc>
          <w:tcPr>
            <w:tcW w:w="1326" w:type="dxa"/>
          </w:tcPr>
          <w:p w14:paraId="0A08669C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OPE</w:t>
            </w:r>
          </w:p>
          <w:p w14:paraId="7F551D20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(mol O3</w:t>
            </w:r>
          </w:p>
          <w:p w14:paraId="7F4B4623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/mol C</w:t>
            </w:r>
            <w:r>
              <w:rPr>
                <w:b/>
                <w:bCs/>
              </w:rPr>
              <w:t>/yr</w:t>
            </w:r>
            <w:r w:rsidRPr="008F6CA3">
              <w:rPr>
                <w:b/>
                <w:bCs/>
              </w:rPr>
              <w:t>)</w:t>
            </w:r>
          </w:p>
        </w:tc>
        <w:tc>
          <w:tcPr>
            <w:tcW w:w="1417" w:type="dxa"/>
          </w:tcPr>
          <w:p w14:paraId="05CEB41D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Surface mean (ppbv</w:t>
            </w:r>
            <w:r>
              <w:rPr>
                <w:b/>
                <w:bCs/>
              </w:rPr>
              <w:t>/yr</w:t>
            </w:r>
            <w:r w:rsidRPr="008F6CA3">
              <w:rPr>
                <w:b/>
                <w:bCs/>
              </w:rPr>
              <w:t>)</w:t>
            </w:r>
          </w:p>
        </w:tc>
        <w:tc>
          <w:tcPr>
            <w:tcW w:w="2048" w:type="dxa"/>
          </w:tcPr>
          <w:p w14:paraId="65E078B3" w14:textId="77777777" w:rsidR="00830F2C" w:rsidRPr="008F6CA3" w:rsidRDefault="00830F2C" w:rsidP="00977525">
            <w:pPr>
              <w:rPr>
                <w:b/>
                <w:bCs/>
              </w:rPr>
            </w:pPr>
            <w:r w:rsidRPr="008F6CA3">
              <w:rPr>
                <w:b/>
                <w:bCs/>
              </w:rPr>
              <w:t>Population weighted mean (ppbv</w:t>
            </w:r>
            <w:r>
              <w:rPr>
                <w:b/>
                <w:bCs/>
              </w:rPr>
              <w:t>/yr</w:t>
            </w:r>
            <w:r w:rsidRPr="008F6CA3">
              <w:rPr>
                <w:b/>
                <w:bCs/>
              </w:rPr>
              <w:t>)</w:t>
            </w:r>
          </w:p>
        </w:tc>
      </w:tr>
      <w:tr w:rsidR="00830F2C" w:rsidRPr="00F010C6" w14:paraId="201F1B42" w14:textId="77777777" w:rsidTr="00977525">
        <w:tc>
          <w:tcPr>
            <w:tcW w:w="9535" w:type="dxa"/>
            <w:gridSpan w:val="6"/>
          </w:tcPr>
          <w:p w14:paraId="1EE3B18C" w14:textId="77777777" w:rsidR="00830F2C" w:rsidRPr="00F010C6" w:rsidRDefault="00830F2C" w:rsidP="00977525">
            <w:r w:rsidRPr="00F010C6">
              <w:t>Explicitly tagged regions within the Rest of the World tag in our NOx-tagged simulation</w:t>
            </w:r>
          </w:p>
        </w:tc>
      </w:tr>
      <w:tr w:rsidR="00830F2C" w:rsidRPr="00F010C6" w14:paraId="652016C7" w14:textId="77777777" w:rsidTr="00977525">
        <w:tc>
          <w:tcPr>
            <w:tcW w:w="1882" w:type="dxa"/>
          </w:tcPr>
          <w:p w14:paraId="64656CD2" w14:textId="77777777" w:rsidR="00830F2C" w:rsidRPr="008A40A7" w:rsidRDefault="00830F2C" w:rsidP="00977525">
            <w:r w:rsidRPr="008A40A7">
              <w:t>Central Asia</w:t>
            </w:r>
          </w:p>
        </w:tc>
        <w:tc>
          <w:tcPr>
            <w:tcW w:w="1428" w:type="dxa"/>
            <w:vAlign w:val="bottom"/>
          </w:tcPr>
          <w:p w14:paraId="220C96D2" w14:textId="77777777" w:rsidR="00830F2C" w:rsidRPr="008A40A7" w:rsidRDefault="00830F2C" w:rsidP="00977525"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0.01(2.9)</w:t>
            </w:r>
          </w:p>
        </w:tc>
        <w:tc>
          <w:tcPr>
            <w:tcW w:w="1434" w:type="dxa"/>
            <w:vAlign w:val="bottom"/>
          </w:tcPr>
          <w:p w14:paraId="5802CAA8" w14:textId="77777777" w:rsidR="00830F2C" w:rsidRPr="008A40A7" w:rsidRDefault="00830F2C" w:rsidP="00977525"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0.01(1.49)</w:t>
            </w:r>
          </w:p>
        </w:tc>
        <w:tc>
          <w:tcPr>
            <w:tcW w:w="1326" w:type="dxa"/>
            <w:vAlign w:val="bottom"/>
          </w:tcPr>
          <w:p w14:paraId="7E257D19" w14:textId="77777777" w:rsidR="00830F2C" w:rsidRPr="008A40A7" w:rsidRDefault="00830F2C" w:rsidP="00977525"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-0.004</w:t>
            </w:r>
          </w:p>
        </w:tc>
        <w:tc>
          <w:tcPr>
            <w:tcW w:w="1417" w:type="dxa"/>
            <w:vAlign w:val="bottom"/>
          </w:tcPr>
          <w:p w14:paraId="7F3D21C3" w14:textId="24202DFE" w:rsidR="00830F2C" w:rsidRPr="008A40A7" w:rsidRDefault="00830F2C" w:rsidP="00977525"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0.0</w:t>
            </w:r>
            <w:r w:rsidR="006719BF"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03</w:t>
            </w:r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(1.97)</w:t>
            </w:r>
          </w:p>
        </w:tc>
        <w:tc>
          <w:tcPr>
            <w:tcW w:w="2048" w:type="dxa"/>
            <w:vAlign w:val="bottom"/>
          </w:tcPr>
          <w:p w14:paraId="67453571" w14:textId="382276C0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</w:t>
            </w:r>
            <w:r w:rsidR="006719BF"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(1.27)</w:t>
            </w:r>
          </w:p>
        </w:tc>
      </w:tr>
      <w:tr w:rsidR="00830F2C" w:rsidRPr="00F010C6" w14:paraId="6D2687E1" w14:textId="77777777" w:rsidTr="00977525">
        <w:tc>
          <w:tcPr>
            <w:tcW w:w="1882" w:type="dxa"/>
          </w:tcPr>
          <w:p w14:paraId="1B16AB42" w14:textId="77777777" w:rsidR="00830F2C" w:rsidRPr="008A40A7" w:rsidRDefault="00830F2C" w:rsidP="00977525">
            <w:r w:rsidRPr="008A40A7">
              <w:t>Mexico and Central America</w:t>
            </w:r>
          </w:p>
        </w:tc>
        <w:tc>
          <w:tcPr>
            <w:tcW w:w="1428" w:type="dxa"/>
            <w:vAlign w:val="bottom"/>
          </w:tcPr>
          <w:p w14:paraId="4FB4CA15" w14:textId="713861E3" w:rsidR="00830F2C" w:rsidRPr="008A40A7" w:rsidRDefault="008A40A7" w:rsidP="00977525"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Insig</w:t>
            </w:r>
          </w:p>
        </w:tc>
        <w:tc>
          <w:tcPr>
            <w:tcW w:w="1434" w:type="dxa"/>
            <w:vAlign w:val="bottom"/>
          </w:tcPr>
          <w:p w14:paraId="65B96FED" w14:textId="77777777" w:rsidR="00830F2C" w:rsidRPr="008A40A7" w:rsidRDefault="00830F2C" w:rsidP="00977525"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0.06(0.58)</w:t>
            </w:r>
          </w:p>
        </w:tc>
        <w:tc>
          <w:tcPr>
            <w:tcW w:w="1326" w:type="dxa"/>
            <w:vAlign w:val="bottom"/>
          </w:tcPr>
          <w:p w14:paraId="1607D14F" w14:textId="77777777" w:rsidR="00830F2C" w:rsidRPr="008A40A7" w:rsidRDefault="00830F2C" w:rsidP="00977525"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0.008</w:t>
            </w:r>
          </w:p>
        </w:tc>
        <w:tc>
          <w:tcPr>
            <w:tcW w:w="1417" w:type="dxa"/>
            <w:vAlign w:val="bottom"/>
          </w:tcPr>
          <w:p w14:paraId="44F580FE" w14:textId="77777777" w:rsidR="00830F2C" w:rsidRPr="008A40A7" w:rsidRDefault="00830F2C" w:rsidP="00977525">
            <w:r w:rsidRPr="008A40A7">
              <w:rPr>
                <w:rFonts w:ascii="Calibri" w:hAnsi="Calibri" w:cs="Calibri"/>
                <w:color w:val="000000"/>
                <w:sz w:val="22"/>
                <w:szCs w:val="22"/>
              </w:rPr>
              <w:t>Insig</w:t>
            </w:r>
          </w:p>
        </w:tc>
        <w:tc>
          <w:tcPr>
            <w:tcW w:w="2048" w:type="dxa"/>
            <w:vAlign w:val="bottom"/>
          </w:tcPr>
          <w:p w14:paraId="19625A15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Insig</w:t>
            </w:r>
          </w:p>
        </w:tc>
      </w:tr>
      <w:tr w:rsidR="00830F2C" w:rsidRPr="00F010C6" w14:paraId="2378CDFC" w14:textId="77777777" w:rsidTr="00977525">
        <w:tc>
          <w:tcPr>
            <w:tcW w:w="1882" w:type="dxa"/>
          </w:tcPr>
          <w:p w14:paraId="7A37C20A" w14:textId="77777777" w:rsidR="00830F2C" w:rsidRPr="00F010C6" w:rsidRDefault="00830F2C" w:rsidP="00977525">
            <w:r w:rsidRPr="00F010C6">
              <w:t>North Africa</w:t>
            </w:r>
          </w:p>
        </w:tc>
        <w:tc>
          <w:tcPr>
            <w:tcW w:w="1428" w:type="dxa"/>
            <w:vAlign w:val="bottom"/>
          </w:tcPr>
          <w:p w14:paraId="481BEAD9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0.03(5.52)</w:t>
            </w:r>
          </w:p>
        </w:tc>
        <w:tc>
          <w:tcPr>
            <w:tcW w:w="1434" w:type="dxa"/>
            <w:vAlign w:val="bottom"/>
          </w:tcPr>
          <w:p w14:paraId="720D725A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0.06(3.81)</w:t>
            </w:r>
          </w:p>
        </w:tc>
        <w:tc>
          <w:tcPr>
            <w:tcW w:w="1326" w:type="dxa"/>
            <w:vAlign w:val="bottom"/>
          </w:tcPr>
          <w:p w14:paraId="08E8D9A4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-0.007</w:t>
            </w:r>
          </w:p>
        </w:tc>
        <w:tc>
          <w:tcPr>
            <w:tcW w:w="1417" w:type="dxa"/>
            <w:vAlign w:val="bottom"/>
          </w:tcPr>
          <w:p w14:paraId="67F20E44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0.01(3.33)</w:t>
            </w:r>
          </w:p>
        </w:tc>
        <w:tc>
          <w:tcPr>
            <w:tcW w:w="2048" w:type="dxa"/>
            <w:vAlign w:val="bottom"/>
          </w:tcPr>
          <w:p w14:paraId="4C1A2E8E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0.01(3.01)</w:t>
            </w:r>
          </w:p>
        </w:tc>
      </w:tr>
      <w:tr w:rsidR="00830F2C" w:rsidRPr="00F010C6" w14:paraId="3F50F180" w14:textId="77777777" w:rsidTr="00977525">
        <w:tc>
          <w:tcPr>
            <w:tcW w:w="1882" w:type="dxa"/>
          </w:tcPr>
          <w:p w14:paraId="6C831290" w14:textId="77777777" w:rsidR="00830F2C" w:rsidRPr="00F010C6" w:rsidRDefault="00830F2C" w:rsidP="00977525">
            <w:r w:rsidRPr="00F010C6">
              <w:t>South-East Asia</w:t>
            </w:r>
          </w:p>
        </w:tc>
        <w:tc>
          <w:tcPr>
            <w:tcW w:w="1428" w:type="dxa"/>
            <w:vAlign w:val="bottom"/>
          </w:tcPr>
          <w:p w14:paraId="7B6C0C3B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0.08(4.19)</w:t>
            </w:r>
          </w:p>
        </w:tc>
        <w:tc>
          <w:tcPr>
            <w:tcW w:w="1434" w:type="dxa"/>
            <w:vAlign w:val="bottom"/>
          </w:tcPr>
          <w:p w14:paraId="7B1E1F41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0.3(2.16)</w:t>
            </w:r>
          </w:p>
        </w:tc>
        <w:tc>
          <w:tcPr>
            <w:tcW w:w="1326" w:type="dxa"/>
            <w:vAlign w:val="bottom"/>
          </w:tcPr>
          <w:p w14:paraId="4DA1E923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-0.019</w:t>
            </w:r>
          </w:p>
        </w:tc>
        <w:tc>
          <w:tcPr>
            <w:tcW w:w="1417" w:type="dxa"/>
            <w:vAlign w:val="bottom"/>
          </w:tcPr>
          <w:p w14:paraId="5779CC8A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0.02(2.1)</w:t>
            </w:r>
          </w:p>
        </w:tc>
        <w:tc>
          <w:tcPr>
            <w:tcW w:w="2048" w:type="dxa"/>
            <w:vAlign w:val="bottom"/>
          </w:tcPr>
          <w:p w14:paraId="76A8A864" w14:textId="77777777" w:rsidR="00830F2C" w:rsidRPr="00F010C6" w:rsidRDefault="00830F2C" w:rsidP="00977525"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0.03(2.1)</w:t>
            </w:r>
          </w:p>
        </w:tc>
      </w:tr>
      <w:tr w:rsidR="00830F2C" w:rsidRPr="00F010C6" w14:paraId="1CD4C232" w14:textId="77777777" w:rsidTr="008B3F61">
        <w:tc>
          <w:tcPr>
            <w:tcW w:w="1882" w:type="dxa"/>
          </w:tcPr>
          <w:p w14:paraId="1F4D8801" w14:textId="72C626F0" w:rsidR="00830F2C" w:rsidRPr="00F010C6" w:rsidRDefault="006808C3" w:rsidP="00977525">
            <w:pPr>
              <w:spacing w:after="240"/>
            </w:pPr>
            <w:r>
              <w:t>Southern Hemisphere regions*</w:t>
            </w:r>
          </w:p>
        </w:tc>
        <w:tc>
          <w:tcPr>
            <w:tcW w:w="1428" w:type="dxa"/>
            <w:vAlign w:val="center"/>
          </w:tcPr>
          <w:p w14:paraId="7C67534B" w14:textId="77777777" w:rsidR="00830F2C" w:rsidRPr="00F010C6" w:rsidRDefault="00830F2C" w:rsidP="008B3F61">
            <w:pPr>
              <w:spacing w:after="24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0.09(2.57)</w:t>
            </w:r>
          </w:p>
        </w:tc>
        <w:tc>
          <w:tcPr>
            <w:tcW w:w="1434" w:type="dxa"/>
            <w:vAlign w:val="center"/>
          </w:tcPr>
          <w:p w14:paraId="22F368A6" w14:textId="77777777" w:rsidR="00830F2C" w:rsidRPr="00F010C6" w:rsidRDefault="00830F2C" w:rsidP="008B3F61">
            <w:pPr>
              <w:spacing w:after="24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0.38(1.93)</w:t>
            </w:r>
          </w:p>
        </w:tc>
        <w:tc>
          <w:tcPr>
            <w:tcW w:w="1326" w:type="dxa"/>
            <w:vAlign w:val="center"/>
          </w:tcPr>
          <w:p w14:paraId="6F025A48" w14:textId="77777777" w:rsidR="00830F2C" w:rsidRPr="00F010C6" w:rsidRDefault="00830F2C" w:rsidP="008B3F61">
            <w:pPr>
              <w:spacing w:after="24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-0.005</w:t>
            </w:r>
          </w:p>
        </w:tc>
        <w:tc>
          <w:tcPr>
            <w:tcW w:w="1417" w:type="dxa"/>
            <w:vAlign w:val="center"/>
          </w:tcPr>
          <w:p w14:paraId="484E5BEA" w14:textId="77777777" w:rsidR="00830F2C" w:rsidRPr="00F010C6" w:rsidRDefault="00830F2C" w:rsidP="008B3F61">
            <w:pPr>
              <w:spacing w:after="24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0.03(1.14)</w:t>
            </w:r>
          </w:p>
        </w:tc>
        <w:tc>
          <w:tcPr>
            <w:tcW w:w="2048" w:type="dxa"/>
            <w:vAlign w:val="center"/>
          </w:tcPr>
          <w:p w14:paraId="0128FF3F" w14:textId="77777777" w:rsidR="00830F2C" w:rsidRPr="00F010C6" w:rsidRDefault="00830F2C" w:rsidP="008B3F61">
            <w:pPr>
              <w:spacing w:after="24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0.04(2.62)</w:t>
            </w:r>
          </w:p>
        </w:tc>
      </w:tr>
    </w:tbl>
    <w:p w14:paraId="292AB562" w14:textId="0A7EFE0B" w:rsidR="00830F2C" w:rsidRDefault="00A42DBC" w:rsidP="00830F2C">
      <w:r w:rsidRPr="0089003E">
        <w:rPr>
          <w:b/>
          <w:bCs/>
        </w:rPr>
        <w:t>Table S</w:t>
      </w:r>
      <w:r w:rsidR="00D041F7">
        <w:rPr>
          <w:b/>
          <w:bCs/>
        </w:rPr>
        <w:t>3</w:t>
      </w:r>
      <w:r>
        <w:t xml:space="preserve">: </w:t>
      </w:r>
      <w:r w:rsidR="00830F2C" w:rsidRPr="007B0D2B">
        <w:t>Theil-Sen estimator/slope</w:t>
      </w:r>
      <w:r w:rsidR="00830F2C">
        <w:t xml:space="preserve"> of t</w:t>
      </w:r>
      <w:r w:rsidR="00830F2C" w:rsidRPr="00F010C6">
        <w:t>rends in contributions from explicitly tagged regions to the “Rest of the World” tag in our NOx-tagged simulation discussed this study.</w:t>
      </w:r>
      <w:r w:rsidR="00830F2C" w:rsidRPr="00196EC3">
        <w:t xml:space="preserve"> </w:t>
      </w:r>
      <w:r w:rsidR="00830F2C">
        <w:t xml:space="preserve">Trend slope and significance has been estimated by an original Mann-Kendall test at 5 % significance level using the pymannkendall python module described in </w:t>
      </w:r>
      <w:r w:rsidR="00C06391">
        <w:t>Hussain and Mahmud</w:t>
      </w:r>
      <w:r w:rsidR="00830F2C">
        <w:t xml:space="preserve"> 2019.</w:t>
      </w:r>
    </w:p>
    <w:p w14:paraId="624AC6C8" w14:textId="396BD6E7" w:rsidR="00BF6EFE" w:rsidRPr="00935437" w:rsidRDefault="00D411D7" w:rsidP="00BF6EFE">
      <w:r>
        <w:t xml:space="preserve">*Includes southern hemisphere regions: Sahel Africa, Pacific-Australia-New </w:t>
      </w:r>
      <w:r w:rsidR="00D35B94">
        <w:t>Zealand,</w:t>
      </w:r>
      <w:r>
        <w:t xml:space="preserve"> and South America. </w:t>
      </w:r>
    </w:p>
    <w:p w14:paraId="72611B6A" w14:textId="77777777" w:rsidR="00BF6EFE" w:rsidRDefault="00BF6EFE" w:rsidP="00BF6EFE">
      <w:pPr>
        <w:rPr>
          <w:rFonts w:ascii="Helvetica" w:hAnsi="Helvetica" w:cs="Helvetica"/>
          <w:i/>
          <w:iCs/>
          <w:color w:val="797979"/>
          <w:shd w:val="clear" w:color="auto" w:fill="FDFDFD"/>
        </w:rPr>
      </w:pPr>
    </w:p>
    <w:p w14:paraId="60E6D5BB" w14:textId="77777777" w:rsidR="00BF6EFE" w:rsidRDefault="00BF6EFE" w:rsidP="00BF6EFE">
      <w:pPr>
        <w:rPr>
          <w:rFonts w:ascii="Helvetica" w:hAnsi="Helvetica" w:cs="Helvetica"/>
          <w:i/>
          <w:iCs/>
          <w:color w:val="797979"/>
          <w:shd w:val="clear" w:color="auto" w:fill="FDFDFD"/>
        </w:rPr>
      </w:pPr>
    </w:p>
    <w:p w14:paraId="5D11708B" w14:textId="124810D0" w:rsidR="00BF6EFE" w:rsidRPr="008265CF" w:rsidRDefault="00C06391" w:rsidP="00BF6EFE">
      <w:pPr>
        <w:rPr>
          <w:sz w:val="22"/>
          <w:szCs w:val="28"/>
        </w:rPr>
      </w:pPr>
      <w:r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>Hussain and Mahmud</w:t>
      </w:r>
      <w:r w:rsidR="00BF6EFE" w:rsidRPr="008265CF"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 xml:space="preserve">, (2019). pyMannKendall: a python package for </w:t>
      </w:r>
      <w:r w:rsidR="002B4C82" w:rsidRPr="008265CF"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>non-parametric</w:t>
      </w:r>
      <w:r w:rsidR="00BF6EFE" w:rsidRPr="008265CF"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 xml:space="preserve"> Mann Kendall family of trend </w:t>
      </w:r>
      <w:r w:rsidR="001828AD" w:rsidRPr="008265CF"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>tests.</w:t>
      </w:r>
      <w:r w:rsidR="00BF6EFE" w:rsidRPr="008265CF"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 xml:space="preserve"> Journal of </w:t>
      </w:r>
      <w:r w:rsidR="002B4C82" w:rsidRPr="008265CF"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>Open-Source</w:t>
      </w:r>
      <w:r w:rsidR="00BF6EFE" w:rsidRPr="008265CF"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 xml:space="preserve"> Software, 4(39), 1556, </w:t>
      </w:r>
      <w:hyperlink r:id="rId4" w:history="1">
        <w:r w:rsidR="00BF6EFE" w:rsidRPr="008265CF">
          <w:rPr>
            <w:rStyle w:val="Hyperlink"/>
            <w:rFonts w:ascii="Helvetica" w:hAnsi="Helvetica" w:cs="Helvetica"/>
            <w:i/>
            <w:iCs/>
            <w:color w:val="006DAD"/>
            <w:sz w:val="22"/>
            <w:szCs w:val="28"/>
            <w:shd w:val="clear" w:color="auto" w:fill="FDFDFD"/>
          </w:rPr>
          <w:t>https://doi.org/10.21105/joss.01556</w:t>
        </w:r>
      </w:hyperlink>
    </w:p>
    <w:p w14:paraId="2F07AFCC" w14:textId="77777777" w:rsidR="007A1E50" w:rsidRDefault="007A1E50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0"/>
        <w:gridCol w:w="3030"/>
        <w:gridCol w:w="3030"/>
      </w:tblGrid>
      <w:tr w:rsidR="00205B46" w14:paraId="31B0E210" w14:textId="77777777" w:rsidTr="00C923F1">
        <w:tc>
          <w:tcPr>
            <w:tcW w:w="3290" w:type="dxa"/>
            <w:vAlign w:val="center"/>
          </w:tcPr>
          <w:p w14:paraId="72F13C13" w14:textId="77777777" w:rsidR="00205B46" w:rsidRPr="00B97BB3" w:rsidRDefault="00205B46" w:rsidP="00C923F1">
            <w:pPr>
              <w:jc w:val="center"/>
              <w:rPr>
                <w:b/>
                <w:bCs/>
              </w:rPr>
            </w:pPr>
            <w:r w:rsidRPr="00B97BB3">
              <w:rPr>
                <w:b/>
                <w:bCs/>
              </w:rPr>
              <w:lastRenderedPageBreak/>
              <w:t>Region</w:t>
            </w:r>
          </w:p>
        </w:tc>
        <w:tc>
          <w:tcPr>
            <w:tcW w:w="3030" w:type="dxa"/>
            <w:vAlign w:val="center"/>
          </w:tcPr>
          <w:p w14:paraId="2B9A9752" w14:textId="77777777" w:rsidR="00205B46" w:rsidRPr="00B97BB3" w:rsidRDefault="00205B46" w:rsidP="00C923F1">
            <w:pPr>
              <w:jc w:val="center"/>
              <w:rPr>
                <w:b/>
                <w:bCs/>
              </w:rPr>
            </w:pPr>
            <w:r w:rsidRPr="00B97BB3">
              <w:rPr>
                <w:b/>
                <w:bCs/>
              </w:rPr>
              <w:t>Population</w:t>
            </w:r>
          </w:p>
        </w:tc>
        <w:tc>
          <w:tcPr>
            <w:tcW w:w="3030" w:type="dxa"/>
            <w:vAlign w:val="center"/>
          </w:tcPr>
          <w:p w14:paraId="64ABE659" w14:textId="77777777" w:rsidR="00205B46" w:rsidRPr="00B97BB3" w:rsidRDefault="00205B46" w:rsidP="00C923F1">
            <w:pPr>
              <w:jc w:val="center"/>
              <w:rPr>
                <w:b/>
                <w:bCs/>
              </w:rPr>
            </w:pPr>
            <w:r w:rsidRPr="00B97BB3">
              <w:rPr>
                <w:b/>
                <w:bCs/>
              </w:rPr>
              <w:t>Population percentage</w:t>
            </w:r>
          </w:p>
        </w:tc>
      </w:tr>
      <w:tr w:rsidR="00205B46" w14:paraId="30963E5F" w14:textId="77777777" w:rsidTr="00EA3153">
        <w:tc>
          <w:tcPr>
            <w:tcW w:w="3290" w:type="dxa"/>
          </w:tcPr>
          <w:p w14:paraId="69DD51B5" w14:textId="77777777" w:rsidR="00205B46" w:rsidRDefault="00205B46" w:rsidP="001F4140">
            <w:r>
              <w:t>Total</w:t>
            </w:r>
          </w:p>
        </w:tc>
        <w:tc>
          <w:tcPr>
            <w:tcW w:w="3030" w:type="dxa"/>
            <w:vAlign w:val="center"/>
          </w:tcPr>
          <w:p w14:paraId="6A947B0C" w14:textId="564B1A3F" w:rsidR="00205B46" w:rsidRPr="00190BDF" w:rsidRDefault="00190BDF" w:rsidP="00EA3153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7954963550</w:t>
            </w:r>
          </w:p>
        </w:tc>
        <w:tc>
          <w:tcPr>
            <w:tcW w:w="3030" w:type="dxa"/>
            <w:vAlign w:val="center"/>
          </w:tcPr>
          <w:p w14:paraId="5D416395" w14:textId="77777777" w:rsidR="00205B46" w:rsidRDefault="00205B46" w:rsidP="00EA3153">
            <w:pPr>
              <w:jc w:val="center"/>
            </w:pPr>
            <w:r>
              <w:t>100</w:t>
            </w:r>
          </w:p>
        </w:tc>
      </w:tr>
      <w:tr w:rsidR="00025572" w14:paraId="55C57741" w14:textId="77777777" w:rsidTr="00EA3153">
        <w:tc>
          <w:tcPr>
            <w:tcW w:w="3290" w:type="dxa"/>
          </w:tcPr>
          <w:p w14:paraId="0EE383ED" w14:textId="77777777" w:rsidR="00025572" w:rsidRDefault="00025572" w:rsidP="00025572">
            <w:r>
              <w:t>Europe</w:t>
            </w:r>
          </w:p>
        </w:tc>
        <w:tc>
          <w:tcPr>
            <w:tcW w:w="3030" w:type="dxa"/>
            <w:vAlign w:val="center"/>
          </w:tcPr>
          <w:p w14:paraId="4948E487" w14:textId="424BD64B" w:rsidR="00025572" w:rsidRPr="00A6725B" w:rsidRDefault="00025572" w:rsidP="00EA3153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645060000</w:t>
            </w:r>
          </w:p>
        </w:tc>
        <w:tc>
          <w:tcPr>
            <w:tcW w:w="3030" w:type="dxa"/>
            <w:vAlign w:val="center"/>
          </w:tcPr>
          <w:p w14:paraId="0C73E92F" w14:textId="7268DFCC" w:rsidR="00025572" w:rsidRDefault="00025572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8.1089</w:t>
            </w:r>
          </w:p>
        </w:tc>
      </w:tr>
      <w:tr w:rsidR="00B66AB0" w14:paraId="50E591DB" w14:textId="77777777" w:rsidTr="00EA3153">
        <w:tc>
          <w:tcPr>
            <w:tcW w:w="3290" w:type="dxa"/>
          </w:tcPr>
          <w:p w14:paraId="137CE7E3" w14:textId="77777777" w:rsidR="00B66AB0" w:rsidRDefault="00B66AB0" w:rsidP="00B66AB0">
            <w:r>
              <w:t>North America</w:t>
            </w:r>
          </w:p>
        </w:tc>
        <w:tc>
          <w:tcPr>
            <w:tcW w:w="3030" w:type="dxa"/>
          </w:tcPr>
          <w:p w14:paraId="39D898D3" w14:textId="0AEB8127" w:rsidR="00B66AB0" w:rsidRDefault="00B66AB0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378064000</w:t>
            </w:r>
          </w:p>
        </w:tc>
        <w:tc>
          <w:tcPr>
            <w:tcW w:w="3030" w:type="dxa"/>
            <w:vAlign w:val="center"/>
          </w:tcPr>
          <w:p w14:paraId="456BBAAE" w14:textId="07C67383" w:rsidR="00B66AB0" w:rsidRDefault="00B66AB0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4.752555</w:t>
            </w:r>
          </w:p>
        </w:tc>
      </w:tr>
      <w:tr w:rsidR="00B66AB0" w14:paraId="21A26D02" w14:textId="77777777" w:rsidTr="00EA3153">
        <w:tc>
          <w:tcPr>
            <w:tcW w:w="3290" w:type="dxa"/>
          </w:tcPr>
          <w:p w14:paraId="121966F0" w14:textId="77777777" w:rsidR="00B66AB0" w:rsidRDefault="00B66AB0" w:rsidP="00B66AB0">
            <w:r>
              <w:t>East Asia</w:t>
            </w:r>
          </w:p>
        </w:tc>
        <w:tc>
          <w:tcPr>
            <w:tcW w:w="3030" w:type="dxa"/>
          </w:tcPr>
          <w:p w14:paraId="738EB9A2" w14:textId="1FE91905" w:rsidR="00B66AB0" w:rsidRDefault="00B66AB0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1686480000</w:t>
            </w:r>
          </w:p>
        </w:tc>
        <w:tc>
          <w:tcPr>
            <w:tcW w:w="3030" w:type="dxa"/>
            <w:vAlign w:val="center"/>
          </w:tcPr>
          <w:p w14:paraId="457481C0" w14:textId="4C71951B" w:rsidR="00B66AB0" w:rsidRDefault="00B66AB0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21.20035</w:t>
            </w:r>
          </w:p>
        </w:tc>
      </w:tr>
      <w:tr w:rsidR="00A262D5" w14:paraId="19D0AA1A" w14:textId="77777777" w:rsidTr="00EA3153">
        <w:tc>
          <w:tcPr>
            <w:tcW w:w="3290" w:type="dxa"/>
          </w:tcPr>
          <w:p w14:paraId="6F3C996D" w14:textId="77777777" w:rsidR="00A262D5" w:rsidRDefault="00A262D5" w:rsidP="00A262D5">
            <w:r>
              <w:t>Russia, Belarus, Ukraine</w:t>
            </w:r>
          </w:p>
        </w:tc>
        <w:tc>
          <w:tcPr>
            <w:tcW w:w="3030" w:type="dxa"/>
            <w:vAlign w:val="center"/>
          </w:tcPr>
          <w:p w14:paraId="02D6D12E" w14:textId="106AD6A7" w:rsidR="00A262D5" w:rsidRDefault="00A262D5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205763000</w:t>
            </w:r>
          </w:p>
        </w:tc>
        <w:tc>
          <w:tcPr>
            <w:tcW w:w="3030" w:type="dxa"/>
            <w:vAlign w:val="center"/>
          </w:tcPr>
          <w:p w14:paraId="06237874" w14:textId="6DB9822E" w:rsidR="00A262D5" w:rsidRDefault="00A262D5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2.586599</w:t>
            </w:r>
          </w:p>
        </w:tc>
      </w:tr>
      <w:tr w:rsidR="003904F7" w14:paraId="76A9F5BD" w14:textId="77777777" w:rsidTr="00EA3153">
        <w:tc>
          <w:tcPr>
            <w:tcW w:w="3290" w:type="dxa"/>
          </w:tcPr>
          <w:p w14:paraId="751A5524" w14:textId="77777777" w:rsidR="003904F7" w:rsidRDefault="003904F7" w:rsidP="003904F7">
            <w:r>
              <w:t>South Asia</w:t>
            </w:r>
          </w:p>
        </w:tc>
        <w:tc>
          <w:tcPr>
            <w:tcW w:w="3030" w:type="dxa"/>
            <w:vAlign w:val="center"/>
          </w:tcPr>
          <w:p w14:paraId="0E412F65" w14:textId="12B88BBD" w:rsidR="003904F7" w:rsidRDefault="003904F7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1882710000</w:t>
            </w:r>
          </w:p>
        </w:tc>
        <w:tc>
          <w:tcPr>
            <w:tcW w:w="3030" w:type="dxa"/>
            <w:vAlign w:val="center"/>
          </w:tcPr>
          <w:p w14:paraId="75C3E15F" w14:textId="4CD59F36" w:rsidR="003904F7" w:rsidRDefault="003904F7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23.66711</w:t>
            </w:r>
          </w:p>
        </w:tc>
      </w:tr>
      <w:tr w:rsidR="00A262D5" w14:paraId="348721B6" w14:textId="77777777" w:rsidTr="00EA3153">
        <w:tc>
          <w:tcPr>
            <w:tcW w:w="3290" w:type="dxa"/>
          </w:tcPr>
          <w:p w14:paraId="71455A27" w14:textId="77777777" w:rsidR="00A262D5" w:rsidRDefault="00A262D5" w:rsidP="00A262D5">
            <w:r>
              <w:t>Middle East</w:t>
            </w:r>
          </w:p>
        </w:tc>
        <w:tc>
          <w:tcPr>
            <w:tcW w:w="3030" w:type="dxa"/>
            <w:vAlign w:val="center"/>
          </w:tcPr>
          <w:p w14:paraId="0CA08C2C" w14:textId="457430E1" w:rsidR="00A262D5" w:rsidRDefault="00A262D5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278477000</w:t>
            </w:r>
          </w:p>
        </w:tc>
        <w:tc>
          <w:tcPr>
            <w:tcW w:w="3030" w:type="dxa"/>
            <w:vAlign w:val="center"/>
          </w:tcPr>
          <w:p w14:paraId="062E2D29" w14:textId="15840720" w:rsidR="00A262D5" w:rsidRDefault="00A262D5" w:rsidP="00EA3153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3.50067</w:t>
            </w:r>
          </w:p>
        </w:tc>
      </w:tr>
      <w:tr w:rsidR="00205B46" w14:paraId="41A10223" w14:textId="77777777" w:rsidTr="00EA3153">
        <w:tc>
          <w:tcPr>
            <w:tcW w:w="3290" w:type="dxa"/>
          </w:tcPr>
          <w:p w14:paraId="3F251637" w14:textId="77777777" w:rsidR="00205B46" w:rsidRDefault="00205B46" w:rsidP="001F4140">
            <w:r>
              <w:t>Rest of the World</w:t>
            </w:r>
          </w:p>
        </w:tc>
        <w:tc>
          <w:tcPr>
            <w:tcW w:w="3030" w:type="dxa"/>
            <w:vAlign w:val="center"/>
          </w:tcPr>
          <w:p w14:paraId="0CD20052" w14:textId="317D4893" w:rsidR="00205B46" w:rsidRPr="00136B15" w:rsidRDefault="006744C9" w:rsidP="00EA31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6B15">
              <w:rPr>
                <w:rFonts w:asciiTheme="minorHAnsi" w:hAnsiTheme="minorHAnsi" w:cstheme="minorHAnsi"/>
                <w:sz w:val="22"/>
                <w:szCs w:val="22"/>
              </w:rPr>
              <w:t>2875973800</w:t>
            </w:r>
          </w:p>
        </w:tc>
        <w:tc>
          <w:tcPr>
            <w:tcW w:w="3030" w:type="dxa"/>
            <w:vAlign w:val="center"/>
          </w:tcPr>
          <w:p w14:paraId="6F62F013" w14:textId="1753A85E" w:rsidR="00205B46" w:rsidRPr="00136B15" w:rsidRDefault="00F53CC7" w:rsidP="00EA31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6B15">
              <w:rPr>
                <w:rFonts w:asciiTheme="minorHAnsi" w:hAnsiTheme="minorHAnsi" w:cstheme="minorHAnsi"/>
                <w:sz w:val="22"/>
                <w:szCs w:val="22"/>
              </w:rPr>
              <w:t>36.1532</w:t>
            </w:r>
          </w:p>
        </w:tc>
      </w:tr>
      <w:tr w:rsidR="00205B46" w14:paraId="0393E9FD" w14:textId="77777777" w:rsidTr="001F4140">
        <w:tc>
          <w:tcPr>
            <w:tcW w:w="9350" w:type="dxa"/>
            <w:gridSpan w:val="3"/>
          </w:tcPr>
          <w:p w14:paraId="58DBCEA8" w14:textId="77777777" w:rsidR="00205B46" w:rsidRDefault="00205B46" w:rsidP="001F4140">
            <w:pPr>
              <w:jc w:val="center"/>
            </w:pPr>
            <w:r>
              <w:t>E</w:t>
            </w:r>
            <w:r w:rsidRPr="00F010C6">
              <w:t>xplicitly tagged regions in our NOx-tagged simulation</w:t>
            </w:r>
            <w:r>
              <w:t xml:space="preserve"> within</w:t>
            </w:r>
            <w:r w:rsidRPr="00F010C6">
              <w:t xml:space="preserve"> the “Rest of the World” tag </w:t>
            </w:r>
          </w:p>
        </w:tc>
      </w:tr>
      <w:tr w:rsidR="0007577F" w14:paraId="053C9356" w14:textId="77777777" w:rsidTr="00A41D85">
        <w:tc>
          <w:tcPr>
            <w:tcW w:w="3290" w:type="dxa"/>
          </w:tcPr>
          <w:p w14:paraId="5C84320D" w14:textId="77777777" w:rsidR="0007577F" w:rsidRDefault="0007577F" w:rsidP="0007577F">
            <w:r>
              <w:t>Southeast Asia</w:t>
            </w:r>
          </w:p>
        </w:tc>
        <w:tc>
          <w:tcPr>
            <w:tcW w:w="3030" w:type="dxa"/>
            <w:vAlign w:val="bottom"/>
          </w:tcPr>
          <w:p w14:paraId="5680FDD4" w14:textId="0A006E97" w:rsidR="0007577F" w:rsidRDefault="0007577F" w:rsidP="0007577F">
            <w:pPr>
              <w:tabs>
                <w:tab w:val="left" w:pos="700"/>
              </w:tabs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714549000</w:t>
            </w:r>
          </w:p>
        </w:tc>
        <w:tc>
          <w:tcPr>
            <w:tcW w:w="3030" w:type="dxa"/>
            <w:vAlign w:val="bottom"/>
          </w:tcPr>
          <w:p w14:paraId="2D969771" w14:textId="4D9F501A" w:rsidR="0007577F" w:rsidRDefault="0007577F" w:rsidP="0007577F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8.98243</w:t>
            </w:r>
          </w:p>
        </w:tc>
      </w:tr>
      <w:tr w:rsidR="0007577F" w14:paraId="626CEB4A" w14:textId="77777777" w:rsidTr="006D57A0">
        <w:tc>
          <w:tcPr>
            <w:tcW w:w="3290" w:type="dxa"/>
          </w:tcPr>
          <w:p w14:paraId="7FECF014" w14:textId="77777777" w:rsidR="0007577F" w:rsidRDefault="0007577F" w:rsidP="0007577F">
            <w:r>
              <w:t>Mexico and Central America</w:t>
            </w:r>
          </w:p>
        </w:tc>
        <w:tc>
          <w:tcPr>
            <w:tcW w:w="3030" w:type="dxa"/>
            <w:vAlign w:val="bottom"/>
          </w:tcPr>
          <w:p w14:paraId="3FC3250E" w14:textId="691FF7ED" w:rsidR="0007577F" w:rsidRDefault="0007577F" w:rsidP="0007577F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341845000</w:t>
            </w:r>
          </w:p>
        </w:tc>
        <w:tc>
          <w:tcPr>
            <w:tcW w:w="3030" w:type="dxa"/>
            <w:vAlign w:val="bottom"/>
          </w:tcPr>
          <w:p w14:paraId="3C71523E" w14:textId="0A7721B5" w:rsidR="0007577F" w:rsidRDefault="0007577F" w:rsidP="0007577F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4.297254</w:t>
            </w:r>
          </w:p>
        </w:tc>
      </w:tr>
      <w:tr w:rsidR="00F30D2C" w14:paraId="7187D57E" w14:textId="77777777" w:rsidTr="00BF2D00">
        <w:tc>
          <w:tcPr>
            <w:tcW w:w="3290" w:type="dxa"/>
          </w:tcPr>
          <w:p w14:paraId="078B5CC3" w14:textId="77777777" w:rsidR="00F30D2C" w:rsidRDefault="00F30D2C" w:rsidP="00F30D2C">
            <w:r>
              <w:t>North Africa</w:t>
            </w:r>
          </w:p>
        </w:tc>
        <w:tc>
          <w:tcPr>
            <w:tcW w:w="3030" w:type="dxa"/>
            <w:vAlign w:val="bottom"/>
          </w:tcPr>
          <w:p w14:paraId="08726761" w14:textId="20D37CF3" w:rsidR="00F30D2C" w:rsidRDefault="00F30D2C" w:rsidP="00F30D2C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310292000</w:t>
            </w:r>
          </w:p>
        </w:tc>
        <w:tc>
          <w:tcPr>
            <w:tcW w:w="3030" w:type="dxa"/>
            <w:vAlign w:val="bottom"/>
          </w:tcPr>
          <w:p w14:paraId="27F4B31B" w14:textId="6C6D2987" w:rsidR="00F30D2C" w:rsidRDefault="00F30D2C" w:rsidP="00F30D2C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3.900609</w:t>
            </w:r>
          </w:p>
        </w:tc>
      </w:tr>
      <w:tr w:rsidR="00B25A3A" w14:paraId="6665D815" w14:textId="77777777" w:rsidTr="00730AE5">
        <w:tc>
          <w:tcPr>
            <w:tcW w:w="3290" w:type="dxa"/>
          </w:tcPr>
          <w:p w14:paraId="031635F1" w14:textId="77777777" w:rsidR="00B25A3A" w:rsidRDefault="00B25A3A" w:rsidP="00B25A3A">
            <w:r>
              <w:t>Central Asia</w:t>
            </w:r>
          </w:p>
        </w:tc>
        <w:tc>
          <w:tcPr>
            <w:tcW w:w="3030" w:type="dxa"/>
            <w:vAlign w:val="bottom"/>
          </w:tcPr>
          <w:p w14:paraId="06201913" w14:textId="37C6C98B" w:rsidR="00B25A3A" w:rsidRDefault="00B25A3A" w:rsidP="00B25A3A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77050900</w:t>
            </w:r>
          </w:p>
        </w:tc>
        <w:tc>
          <w:tcPr>
            <w:tcW w:w="3030" w:type="dxa"/>
            <w:vAlign w:val="bottom"/>
          </w:tcPr>
          <w:p w14:paraId="186E9C10" w14:textId="602EB8CE" w:rsidR="00B25A3A" w:rsidRDefault="00B25A3A" w:rsidP="00B25A3A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0.968589</w:t>
            </w:r>
          </w:p>
        </w:tc>
      </w:tr>
      <w:tr w:rsidR="00205B46" w14:paraId="223649A2" w14:textId="77777777" w:rsidTr="001F4140">
        <w:tc>
          <w:tcPr>
            <w:tcW w:w="3290" w:type="dxa"/>
          </w:tcPr>
          <w:p w14:paraId="6C1F9D1E" w14:textId="680BECB3" w:rsidR="00205B46" w:rsidRDefault="0091209C" w:rsidP="001F4140">
            <w:r>
              <w:t>Southern Hemisphere regions</w:t>
            </w:r>
            <w:r w:rsidR="00402CAE">
              <w:t>*</w:t>
            </w:r>
          </w:p>
        </w:tc>
        <w:tc>
          <w:tcPr>
            <w:tcW w:w="3030" w:type="dxa"/>
          </w:tcPr>
          <w:p w14:paraId="13DB773F" w14:textId="058F4709" w:rsidR="00205B46" w:rsidRPr="00136B15" w:rsidRDefault="00F53CC7" w:rsidP="001F4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6B15">
              <w:rPr>
                <w:rFonts w:asciiTheme="minorHAnsi" w:hAnsiTheme="minorHAnsi" w:cstheme="minorHAnsi"/>
                <w:sz w:val="22"/>
                <w:szCs w:val="22"/>
              </w:rPr>
              <w:t>1432236900</w:t>
            </w:r>
          </w:p>
        </w:tc>
        <w:tc>
          <w:tcPr>
            <w:tcW w:w="3030" w:type="dxa"/>
          </w:tcPr>
          <w:p w14:paraId="657A5C5D" w14:textId="23FB204B" w:rsidR="00205B46" w:rsidRPr="00136B15" w:rsidRDefault="00F53CC7" w:rsidP="001F41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6B15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</w:tr>
    </w:tbl>
    <w:p w14:paraId="05631887" w14:textId="77777777" w:rsidR="00205B46" w:rsidRDefault="00205B46" w:rsidP="00205B46"/>
    <w:p w14:paraId="45B0A997" w14:textId="05E6F585" w:rsidR="00205B46" w:rsidRPr="00F010C6" w:rsidRDefault="00205B46" w:rsidP="00205B46">
      <w:r w:rsidRPr="00205B46">
        <w:rPr>
          <w:b/>
          <w:bCs/>
        </w:rPr>
        <w:t>Table S</w:t>
      </w:r>
      <w:r w:rsidR="005E4C08">
        <w:rPr>
          <w:b/>
          <w:bCs/>
        </w:rPr>
        <w:t>4</w:t>
      </w:r>
      <w:r>
        <w:t>: Population at various regions considered in this study.</w:t>
      </w:r>
      <w:r w:rsidR="00B561E2">
        <w:t xml:space="preserve"> These numbers are </w:t>
      </w:r>
      <w:r w:rsidR="003C4016">
        <w:t xml:space="preserve">approximate numbers </w:t>
      </w:r>
      <w:r w:rsidR="00B561E2">
        <w:t>derived from re</w:t>
      </w:r>
      <w:r w:rsidR="00AE41CC">
        <w:t>-</w:t>
      </w:r>
      <w:r w:rsidR="00B561E2">
        <w:t xml:space="preserve">gridding </w:t>
      </w:r>
      <w:r w:rsidR="003C4016">
        <w:t>a</w:t>
      </w:r>
      <w:r w:rsidR="00287376">
        <w:t xml:space="preserve"> fine resolution</w:t>
      </w:r>
      <w:r w:rsidR="00B561E2">
        <w:t xml:space="preserve"> dataset</w:t>
      </w:r>
      <w:r w:rsidR="00287376">
        <w:t xml:space="preserve"> to a coarser </w:t>
      </w:r>
      <w:r w:rsidR="00BD18BF">
        <w:t>resolution grid used in our study</w:t>
      </w:r>
      <w:r w:rsidR="00B561E2">
        <w:t>.</w:t>
      </w:r>
    </w:p>
    <w:p w14:paraId="2C848544" w14:textId="6E883A36" w:rsidR="00402CAE" w:rsidRPr="00F010C6" w:rsidRDefault="00402CAE" w:rsidP="00402CAE">
      <w:r>
        <w:t xml:space="preserve">*Includes southern hemisphere regions: Sahel Africa, Pacific-Australia-New </w:t>
      </w:r>
      <w:r w:rsidR="00AE41CC">
        <w:t>Zealand,</w:t>
      </w:r>
      <w:r>
        <w:t xml:space="preserve"> and South America. </w:t>
      </w:r>
    </w:p>
    <w:p w14:paraId="7E1451CC" w14:textId="60A801DA" w:rsidR="00CA4AB6" w:rsidRDefault="00CA4AB6">
      <w:pPr>
        <w:spacing w:after="160" w:line="259" w:lineRule="auto"/>
        <w:jc w:val="left"/>
      </w:pPr>
      <w:r>
        <w:br w:type="page"/>
      </w:r>
    </w:p>
    <w:p w14:paraId="1343E0AC" w14:textId="0CBF47E7" w:rsidR="00BB0CF7" w:rsidRDefault="005F3AC8">
      <w:pPr>
        <w:spacing w:after="160" w:line="259" w:lineRule="auto"/>
        <w:jc w:val="left"/>
      </w:pPr>
      <w:r>
        <w:rPr>
          <w:noProof/>
        </w:rPr>
        <w:lastRenderedPageBreak/>
        <w:drawing>
          <wp:inline distT="0" distB="0" distL="0" distR="0" wp14:anchorId="451BFE49" wp14:editId="1BE3D41B">
            <wp:extent cx="5937250" cy="4946650"/>
            <wp:effectExtent l="0" t="0" r="6350" b="6350"/>
            <wp:docPr id="9346060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4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BF7EA" w14:textId="0453C0F8" w:rsidR="00CA4AB6" w:rsidRDefault="00BB0CF7">
      <w:pPr>
        <w:spacing w:after="160" w:line="259" w:lineRule="auto"/>
        <w:jc w:val="left"/>
      </w:pPr>
      <w:r w:rsidRPr="00EE36C1">
        <w:rPr>
          <w:b/>
          <w:bCs/>
        </w:rPr>
        <w:t>Figure S1</w:t>
      </w:r>
      <w:r w:rsidR="00612FB9">
        <w:t>: Relative contribution</w:t>
      </w:r>
      <w:r w:rsidR="00EE36C1">
        <w:t xml:space="preserve"> of each of the </w:t>
      </w:r>
      <w:r w:rsidR="00EA458E">
        <w:t xml:space="preserve">tagged emissions (in %) to the </w:t>
      </w:r>
      <w:r w:rsidR="00E811F0">
        <w:t>global</w:t>
      </w:r>
      <w:r w:rsidR="00EA458E">
        <w:t xml:space="preserve"> </w:t>
      </w:r>
      <w:r w:rsidR="001D0615">
        <w:t xml:space="preserve">annual </w:t>
      </w:r>
      <w:r w:rsidR="00E811F0">
        <w:t xml:space="preserve">total </w:t>
      </w:r>
      <w:r w:rsidR="00EA458E">
        <w:t>emissions</w:t>
      </w:r>
      <w:r w:rsidR="003B1A17">
        <w:t xml:space="preserve"> (Black line</w:t>
      </w:r>
      <w:r w:rsidR="00191E38">
        <w:t>s shown in Fig. 3 of the main text</w:t>
      </w:r>
      <w:r w:rsidR="003B1A17">
        <w:t>)</w:t>
      </w:r>
      <w:r w:rsidR="00191E38">
        <w:t xml:space="preserve"> of NOx (left panels) and </w:t>
      </w:r>
      <w:r w:rsidR="00021068">
        <w:t>reactive carbon (right panels).</w:t>
      </w:r>
      <w:r w:rsidR="00CA4AB6">
        <w:br w:type="page"/>
      </w:r>
    </w:p>
    <w:p w14:paraId="75E17303" w14:textId="3D94DD18" w:rsidR="00B543EB" w:rsidRDefault="005F3AC8">
      <w:r>
        <w:rPr>
          <w:noProof/>
        </w:rPr>
        <w:lastRenderedPageBreak/>
        <w:drawing>
          <wp:inline distT="0" distB="0" distL="0" distR="0" wp14:anchorId="4E84730D" wp14:editId="1E2566C2">
            <wp:extent cx="5937250" cy="4946650"/>
            <wp:effectExtent l="0" t="0" r="6350" b="6350"/>
            <wp:docPr id="2633063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4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AB458" w14:textId="603BDCEE" w:rsidR="00B543EB" w:rsidRDefault="009C7287">
      <w:pPr>
        <w:spacing w:after="160" w:line="259" w:lineRule="auto"/>
        <w:jc w:val="left"/>
      </w:pPr>
      <w:r w:rsidRPr="00EE36C1">
        <w:rPr>
          <w:b/>
          <w:bCs/>
        </w:rPr>
        <w:t>Figure S</w:t>
      </w:r>
      <w:r>
        <w:rPr>
          <w:b/>
          <w:bCs/>
        </w:rPr>
        <w:t>2</w:t>
      </w:r>
      <w:r w:rsidR="00612FB9">
        <w:t>: Relative contribution</w:t>
      </w:r>
      <w:r>
        <w:t xml:space="preserve"> of each of the tagged </w:t>
      </w:r>
      <w:r w:rsidR="007B38C5">
        <w:t>components</w:t>
      </w:r>
      <w:r>
        <w:t xml:space="preserve"> (in %) to the total </w:t>
      </w:r>
      <w:r w:rsidR="007B38C5">
        <w:t xml:space="preserve">annual mean </w:t>
      </w:r>
      <w:r w:rsidR="002758E4">
        <w:t>tropospheric ozone burden</w:t>
      </w:r>
      <w:r>
        <w:t xml:space="preserve"> (Black lines shown in Fig. </w:t>
      </w:r>
      <w:r w:rsidR="002758E4">
        <w:t>5</w:t>
      </w:r>
      <w:r>
        <w:t xml:space="preserve"> of the main text) </w:t>
      </w:r>
      <w:r w:rsidR="002758E4">
        <w:t>from</w:t>
      </w:r>
      <w:r>
        <w:t xml:space="preserve"> </w:t>
      </w:r>
      <w:r w:rsidR="003E7811">
        <w:t xml:space="preserve">the </w:t>
      </w:r>
      <w:r>
        <w:t>NOx</w:t>
      </w:r>
      <w:r w:rsidR="002758E4">
        <w:t>-tagged</w:t>
      </w:r>
      <w:r>
        <w:t xml:space="preserve"> (left panels) and </w:t>
      </w:r>
      <w:r w:rsidR="002758E4">
        <w:t>RC-tagged</w:t>
      </w:r>
      <w:r>
        <w:t xml:space="preserve"> (right panels)</w:t>
      </w:r>
      <w:r w:rsidR="002758E4">
        <w:t xml:space="preserve"> simulations</w:t>
      </w:r>
      <w:r>
        <w:t>.</w:t>
      </w:r>
      <w:r w:rsidR="00B543EB">
        <w:br w:type="page"/>
      </w:r>
    </w:p>
    <w:p w14:paraId="337D15E9" w14:textId="339498E0" w:rsidR="00456457" w:rsidRDefault="005F3AC8">
      <w:pPr>
        <w:spacing w:after="160" w:line="259" w:lineRule="auto"/>
        <w:jc w:val="left"/>
      </w:pPr>
      <w:r>
        <w:rPr>
          <w:noProof/>
        </w:rPr>
        <w:lastRenderedPageBreak/>
        <w:drawing>
          <wp:inline distT="0" distB="0" distL="0" distR="0" wp14:anchorId="032AFF19" wp14:editId="1EFE5591">
            <wp:extent cx="5937250" cy="4946650"/>
            <wp:effectExtent l="0" t="0" r="6350" b="6350"/>
            <wp:docPr id="201080927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4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8550" w14:textId="1628EFB7" w:rsidR="00B543EB" w:rsidRDefault="00456457">
      <w:pPr>
        <w:spacing w:after="160" w:line="259" w:lineRule="auto"/>
        <w:jc w:val="left"/>
      </w:pPr>
      <w:r w:rsidRPr="00EE36C1">
        <w:rPr>
          <w:b/>
          <w:bCs/>
        </w:rPr>
        <w:t>Figure S</w:t>
      </w:r>
      <w:r w:rsidR="004E7C92">
        <w:rPr>
          <w:b/>
          <w:bCs/>
        </w:rPr>
        <w:t>3</w:t>
      </w:r>
      <w:r w:rsidR="00612FB9">
        <w:t>: Relative contribution</w:t>
      </w:r>
      <w:r>
        <w:t xml:space="preserve"> of each of the tagged components (in %) to the total global annual area-weighted</w:t>
      </w:r>
      <w:r w:rsidR="004E7C92">
        <w:t xml:space="preserve"> mean surface ozone</w:t>
      </w:r>
      <w:r>
        <w:t xml:space="preserve"> (Black lines shown in Fig. </w:t>
      </w:r>
      <w:r w:rsidR="004E7C92">
        <w:t>7</w:t>
      </w:r>
      <w:r>
        <w:t xml:space="preserve"> of the main text) from</w:t>
      </w:r>
      <w:r w:rsidR="003E7811">
        <w:t xml:space="preserve"> the</w:t>
      </w:r>
      <w:r>
        <w:t xml:space="preserve"> NOx-tagged (left panels) and RC-tagged (right panels) simulations.</w:t>
      </w:r>
      <w:r w:rsidR="00B543EB">
        <w:br w:type="page"/>
      </w:r>
    </w:p>
    <w:p w14:paraId="11AC0E65" w14:textId="6F3DE153" w:rsidR="00A12B6E" w:rsidRDefault="005F3AC8">
      <w:r>
        <w:rPr>
          <w:noProof/>
        </w:rPr>
        <w:lastRenderedPageBreak/>
        <w:drawing>
          <wp:inline distT="0" distB="0" distL="0" distR="0" wp14:anchorId="57CABA2B" wp14:editId="33FA28DC">
            <wp:extent cx="5937250" cy="4946650"/>
            <wp:effectExtent l="0" t="0" r="6350" b="6350"/>
            <wp:docPr id="193624754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4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62A9" w14:textId="5BBF00A4" w:rsidR="004E7C92" w:rsidRDefault="004E7C92">
      <w:r w:rsidRPr="00EE36C1">
        <w:rPr>
          <w:b/>
          <w:bCs/>
        </w:rPr>
        <w:t>Figure S</w:t>
      </w:r>
      <w:r>
        <w:rPr>
          <w:b/>
          <w:bCs/>
        </w:rPr>
        <w:t>4</w:t>
      </w:r>
      <w:r w:rsidR="00612FB9">
        <w:t>: Relative contribution</w:t>
      </w:r>
      <w:r>
        <w:t xml:space="preserve"> of each of the tagged components (in %) to the total global annual </w:t>
      </w:r>
      <w:r w:rsidR="003E7811">
        <w:t>population</w:t>
      </w:r>
      <w:r>
        <w:t xml:space="preserve">-weighted mean surface ozone (Black lines shown in Fig. </w:t>
      </w:r>
      <w:r w:rsidR="003E7811">
        <w:t>8</w:t>
      </w:r>
      <w:r>
        <w:t xml:space="preserve"> of the main text) from </w:t>
      </w:r>
      <w:r w:rsidR="003E7811">
        <w:t xml:space="preserve">the </w:t>
      </w:r>
      <w:r>
        <w:t>NOx-tagged (left panels) and RC-tagged (right panels) simulations.</w:t>
      </w:r>
    </w:p>
    <w:p w14:paraId="32074531" w14:textId="77777777" w:rsidR="00A73DE6" w:rsidRDefault="00A73DE6"/>
    <w:p w14:paraId="0D14B10B" w14:textId="7C5FFA16" w:rsidR="00A73DE6" w:rsidRDefault="000B02E0">
      <w:pPr>
        <w:rPr>
          <w:b/>
          <w:bCs/>
        </w:rPr>
      </w:pPr>
      <w:r w:rsidRPr="00C81469">
        <w:rPr>
          <w:b/>
          <w:bCs/>
        </w:rPr>
        <w:t>Trend significance</w:t>
      </w:r>
      <w:r>
        <w:rPr>
          <w:b/>
          <w:bCs/>
        </w:rPr>
        <w:t xml:space="preserve"> in the above figures</w:t>
      </w:r>
      <w:r w:rsidRPr="00C81469">
        <w:rPr>
          <w:b/>
          <w:bCs/>
        </w:rPr>
        <w:t xml:space="preserve"> has been estimated by an original Mann-Kendall test at 5 % significance level using the pymannkendall python module described in </w:t>
      </w:r>
      <w:r w:rsidR="00C06391">
        <w:rPr>
          <w:b/>
          <w:bCs/>
        </w:rPr>
        <w:t>Hussain and Mahmud</w:t>
      </w:r>
      <w:r w:rsidRPr="00C81469">
        <w:rPr>
          <w:b/>
          <w:bCs/>
        </w:rPr>
        <w:t xml:space="preserve"> 2019.</w:t>
      </w:r>
    </w:p>
    <w:p w14:paraId="48952FCA" w14:textId="77777777" w:rsidR="000B02E0" w:rsidRDefault="000B02E0">
      <w:pPr>
        <w:rPr>
          <w:b/>
          <w:bCs/>
        </w:rPr>
      </w:pPr>
    </w:p>
    <w:p w14:paraId="24364E5B" w14:textId="615B16C2" w:rsidR="000B02E0" w:rsidRPr="008265CF" w:rsidRDefault="00C06391" w:rsidP="000B02E0">
      <w:pPr>
        <w:rPr>
          <w:sz w:val="22"/>
          <w:szCs w:val="28"/>
        </w:rPr>
      </w:pPr>
      <w:r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>Hussain and Mahmud</w:t>
      </w:r>
      <w:r w:rsidR="000B02E0" w:rsidRPr="008265CF">
        <w:rPr>
          <w:rFonts w:ascii="Helvetica" w:hAnsi="Helvetica" w:cs="Helvetica"/>
          <w:i/>
          <w:iCs/>
          <w:color w:val="797979"/>
          <w:sz w:val="22"/>
          <w:szCs w:val="28"/>
          <w:shd w:val="clear" w:color="auto" w:fill="FDFDFD"/>
        </w:rPr>
        <w:t>, (2019). pyMannKendall: a python package for non-parametric Mann Kendall family of trend tests. Journal of Open-Source Software, 4(39), 1556, </w:t>
      </w:r>
      <w:hyperlink r:id="rId9" w:history="1">
        <w:r w:rsidR="000B02E0" w:rsidRPr="008265CF">
          <w:rPr>
            <w:rStyle w:val="Hyperlink"/>
            <w:rFonts w:ascii="Helvetica" w:hAnsi="Helvetica" w:cs="Helvetica"/>
            <w:i/>
            <w:iCs/>
            <w:color w:val="006DAD"/>
            <w:sz w:val="22"/>
            <w:szCs w:val="28"/>
            <w:shd w:val="clear" w:color="auto" w:fill="FDFDFD"/>
          </w:rPr>
          <w:t>https://doi.org/10.21105/joss.01556</w:t>
        </w:r>
      </w:hyperlink>
    </w:p>
    <w:p w14:paraId="0FBEC272" w14:textId="77777777" w:rsidR="000B02E0" w:rsidRDefault="000B02E0"/>
    <w:sectPr w:rsidR="000B0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F2C"/>
    <w:rsid w:val="00021068"/>
    <w:rsid w:val="00025572"/>
    <w:rsid w:val="0007577F"/>
    <w:rsid w:val="000760BC"/>
    <w:rsid w:val="000B02E0"/>
    <w:rsid w:val="000D1FDE"/>
    <w:rsid w:val="00136B15"/>
    <w:rsid w:val="001828AD"/>
    <w:rsid w:val="00190BDF"/>
    <w:rsid w:val="00191E38"/>
    <w:rsid w:val="001D0615"/>
    <w:rsid w:val="00205B46"/>
    <w:rsid w:val="002758E4"/>
    <w:rsid w:val="00287376"/>
    <w:rsid w:val="002B4C82"/>
    <w:rsid w:val="00311C06"/>
    <w:rsid w:val="00373086"/>
    <w:rsid w:val="003904F7"/>
    <w:rsid w:val="003B1A17"/>
    <w:rsid w:val="003C106F"/>
    <w:rsid w:val="003C4016"/>
    <w:rsid w:val="003E7811"/>
    <w:rsid w:val="003F559F"/>
    <w:rsid w:val="00402CAE"/>
    <w:rsid w:val="0040624A"/>
    <w:rsid w:val="00456457"/>
    <w:rsid w:val="00462E61"/>
    <w:rsid w:val="00464A89"/>
    <w:rsid w:val="004903EB"/>
    <w:rsid w:val="00493591"/>
    <w:rsid w:val="004A1C2E"/>
    <w:rsid w:val="004A3A0B"/>
    <w:rsid w:val="004A77FE"/>
    <w:rsid w:val="004C4B05"/>
    <w:rsid w:val="004E7C92"/>
    <w:rsid w:val="0050702D"/>
    <w:rsid w:val="00512D70"/>
    <w:rsid w:val="00537D1A"/>
    <w:rsid w:val="005736A7"/>
    <w:rsid w:val="005B328A"/>
    <w:rsid w:val="005E4C08"/>
    <w:rsid w:val="005F3AC8"/>
    <w:rsid w:val="00612FB9"/>
    <w:rsid w:val="006719BF"/>
    <w:rsid w:val="006744C9"/>
    <w:rsid w:val="006808C3"/>
    <w:rsid w:val="006924FA"/>
    <w:rsid w:val="00692B89"/>
    <w:rsid w:val="00760443"/>
    <w:rsid w:val="007A1E50"/>
    <w:rsid w:val="007A4D56"/>
    <w:rsid w:val="007B38C5"/>
    <w:rsid w:val="007B602A"/>
    <w:rsid w:val="008265CF"/>
    <w:rsid w:val="00830F2C"/>
    <w:rsid w:val="0086538D"/>
    <w:rsid w:val="008836DB"/>
    <w:rsid w:val="0089003E"/>
    <w:rsid w:val="00891899"/>
    <w:rsid w:val="008A40A7"/>
    <w:rsid w:val="008B3F61"/>
    <w:rsid w:val="008D3A82"/>
    <w:rsid w:val="0091209C"/>
    <w:rsid w:val="00912155"/>
    <w:rsid w:val="00935437"/>
    <w:rsid w:val="0093624A"/>
    <w:rsid w:val="00960BB0"/>
    <w:rsid w:val="009A29A4"/>
    <w:rsid w:val="009C7287"/>
    <w:rsid w:val="009D570B"/>
    <w:rsid w:val="009E3202"/>
    <w:rsid w:val="009E631D"/>
    <w:rsid w:val="00A12177"/>
    <w:rsid w:val="00A12B6E"/>
    <w:rsid w:val="00A262D5"/>
    <w:rsid w:val="00A42DBC"/>
    <w:rsid w:val="00A6725B"/>
    <w:rsid w:val="00A73DE6"/>
    <w:rsid w:val="00AE41CC"/>
    <w:rsid w:val="00AE4680"/>
    <w:rsid w:val="00B25A3A"/>
    <w:rsid w:val="00B543EB"/>
    <w:rsid w:val="00B561E2"/>
    <w:rsid w:val="00B66AB0"/>
    <w:rsid w:val="00BB0CF7"/>
    <w:rsid w:val="00BD18BF"/>
    <w:rsid w:val="00BF6EFE"/>
    <w:rsid w:val="00C06391"/>
    <w:rsid w:val="00C10C9B"/>
    <w:rsid w:val="00C20FEA"/>
    <w:rsid w:val="00C404BD"/>
    <w:rsid w:val="00C529B2"/>
    <w:rsid w:val="00C923F1"/>
    <w:rsid w:val="00CA4AB6"/>
    <w:rsid w:val="00D041F7"/>
    <w:rsid w:val="00D35B94"/>
    <w:rsid w:val="00D411D7"/>
    <w:rsid w:val="00D6419E"/>
    <w:rsid w:val="00D91F9E"/>
    <w:rsid w:val="00DA26D9"/>
    <w:rsid w:val="00DE0D1A"/>
    <w:rsid w:val="00DE4BC0"/>
    <w:rsid w:val="00E12161"/>
    <w:rsid w:val="00E3475E"/>
    <w:rsid w:val="00E543BA"/>
    <w:rsid w:val="00E811F0"/>
    <w:rsid w:val="00E91879"/>
    <w:rsid w:val="00EA3153"/>
    <w:rsid w:val="00EA458E"/>
    <w:rsid w:val="00ED7E40"/>
    <w:rsid w:val="00EE36C1"/>
    <w:rsid w:val="00F30D2C"/>
    <w:rsid w:val="00F53CC7"/>
    <w:rsid w:val="00F71D57"/>
    <w:rsid w:val="00F8641E"/>
    <w:rsid w:val="00FA5EB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30550"/>
  <w15:chartTrackingRefBased/>
  <w15:docId w15:val="{767EC1CA-404F-4B15-AE74-23C190E2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F2C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0F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F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 w:eastAsia="de-DE"/>
      <w14:ligatures w14:val="none"/>
    </w:rPr>
  </w:style>
  <w:style w:type="table" w:styleId="TableGrid">
    <w:name w:val="Table Grid"/>
    <w:basedOn w:val="TableNormal"/>
    <w:uiPriority w:val="39"/>
    <w:rsid w:val="00830F2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F6E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doi.org/10.21105/joss.01556" TargetMode="External"/><Relationship Id="rId9" Type="http://schemas.openxmlformats.org/officeDocument/2006/relationships/hyperlink" Target="https://doi.org/10.21105/joss.015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Aditya Nalam</dc:creator>
  <cp:keywords/>
  <dc:description/>
  <cp:lastModifiedBy>Adi Nalam</cp:lastModifiedBy>
  <cp:revision>3</cp:revision>
  <dcterms:created xsi:type="dcterms:W3CDTF">2024-02-15T09:51:00Z</dcterms:created>
  <dcterms:modified xsi:type="dcterms:W3CDTF">2024-02-15T10:09:00Z</dcterms:modified>
</cp:coreProperties>
</file>