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8B27E7" w:rsidRPr="002D0155" w:rsidRDefault="008B27E7" w:rsidP="008B27E7">
      <w:pPr>
        <w:pStyle w:val="Heading1"/>
        <w:rPr>
          <w:lang w:val="en-US"/>
        </w:rPr>
      </w:pPr>
      <w:r w:rsidRPr="002D0155">
        <w:rPr>
          <w:lang w:val="en-US"/>
        </w:rPr>
        <w:t>Supplementary Material</w:t>
      </w:r>
    </w:p>
    <w:p w:rsidR="008B27E7" w:rsidRPr="002D0155" w:rsidRDefault="0067478A" w:rsidP="008B27E7">
      <w:pPr>
        <w:pStyle w:val="Heading1"/>
        <w:rPr>
          <w:lang w:val="en-US"/>
        </w:rPr>
      </w:pPr>
      <w:bookmarkStart w:id="0" w:name="_93jivuy855qk" w:colFirst="0" w:colLast="0"/>
      <w:bookmarkEnd w:id="0"/>
      <w:r>
        <w:rPr>
          <w:lang w:val="en-US"/>
        </w:rPr>
        <w:t>S</w:t>
      </w:r>
      <w:r w:rsidR="008B27E7" w:rsidRPr="002D0155">
        <w:rPr>
          <w:lang w:val="en-US"/>
        </w:rPr>
        <w:t>1. Paleosols and pedogenic carbonate nodules in the Digne-Valensole basin</w:t>
      </w:r>
    </w:p>
    <w:p w:rsidR="008B27E7" w:rsidRPr="002D0155" w:rsidRDefault="008B27E7" w:rsidP="008B27E7">
      <w:pPr>
        <w:rPr>
          <w:lang w:val="en-US"/>
        </w:rPr>
      </w:pPr>
      <w:r w:rsidRPr="002D0155">
        <w:rPr>
          <w:lang w:val="en-US"/>
        </w:rPr>
        <w:t xml:space="preserve">Calcite pedogenic carbonates nodules form commonly in soils of subhumid to semi-arid regions with well-defined wet-dry cycles over the year </w:t>
      </w:r>
      <w:r w:rsidR="00B63D91">
        <w:rPr>
          <w:lang w:val="en-US"/>
        </w:rPr>
        <w:fldChar w:fldCharType="begin" w:fldLock="1"/>
      </w:r>
      <w:r w:rsidR="00B63D91">
        <w:rPr>
          <w:lang w:val="en-US"/>
        </w:rPr>
        <w:instrText>ADDIN CSL_CITATION {"citationItems":[{"id":"ITEM-1","itemData":{"DOI":"10.1130/B26413.1","ISSN":"00167606","abstract":"In order to better calibrate pedogenic carbonate as a proxy for past environments, we compared the stable isotopic composition of soil CO2, soil water, and pedogenic carbonate in young soils from central New Mexico, USA. Seasonal changes in the δ13C value of soil CO2, the δ18O value of soil water, and the soil temperature were monitored to establish the timing of isotopic equilibrium with the carbonate. Calcite solubility was calculated from measured temperatures and CO2 concentrations in the soil. This approach allowed us to determine the conditions associated with pedogenic carbonate formation. Carbon isotope equilibrium, oxygen isotope equilibrium, and minimum calcite solubility all occurred simultaneously during warm, dry conditions in May 2008 when soil CO2 concentrations were low. It is therefore concluded that pedogenic carbonate forms during warm, dry periods and does not record mean growing season conditions as typically assumed. The seasonal bias in pedogenic carbonate formation may explain the occurrence of pedogenic carbonate in monsoon climates and its absence in regions where annual precipitation is more uniformly distributed. The implications of the seasonal bias for stable isotope - based paleoenvironmental reconstructions are that paleoelevations may have been previously over- or underestimated, paleoatmospheric CO2 concentrations likely have been significantly overestimated, and pedogenic carbonate provides a C4-biased record of paleovegetation, especially in dry soils. © 2009 Geological Society of America.","author":[{"dropping-particle":"","family":"Breecker","given":"D. O.","non-dropping-particle":"","parse-names":false,"suffix":""},{"dropping-particle":"","family":"Sharp","given":"Z. D.","non-dropping-particle":"","parse-names":false,"suffix":""},{"dropping-particle":"","family":"McFadden","given":"L. D.","non-dropping-particle":"","parse-names":false,"suffix":""}],"container-title":"Bulletin of the Geological Society of America","id":"ITEM-1","issue":"3-4","issued":{"date-parts":[["2009"]]},"page":"630-640","title":"Seasonal bias in the formation and stable isotopic composition of pedogenic carbonate in modern soils from central New Mexico, USA","type":"article-journal","volume":"121"},"uris":["http://www.mendeley.com/documents/?uuid=123de2df-855a-461e-967b-ae8694d8aace"]}],"mendeley":{"formattedCitation":"(Breecker et al., 2009)","plainTextFormattedCitation":"(Breecker et al., 2009)","previouslyFormattedCitation":"(Breecker et al., 2009)"},"properties":{"noteIndex":0},"schema":"https://github.com/citation-style-language/schema/raw/master/csl-citation.json"}</w:instrText>
      </w:r>
      <w:r w:rsidR="00B63D91">
        <w:rPr>
          <w:lang w:val="en-US"/>
        </w:rPr>
        <w:fldChar w:fldCharType="separate"/>
      </w:r>
      <w:r w:rsidR="00B63D91" w:rsidRPr="00B63D91">
        <w:rPr>
          <w:noProof/>
          <w:lang w:val="en-US"/>
        </w:rPr>
        <w:t>(Breecker et al., 2009)</w:t>
      </w:r>
      <w:r w:rsidR="00B63D91">
        <w:rPr>
          <w:lang w:val="en-US"/>
        </w:rPr>
        <w:fldChar w:fldCharType="end"/>
      </w:r>
      <w:r w:rsidRPr="002D0155">
        <w:rPr>
          <w:lang w:val="en-US"/>
        </w:rPr>
        <w:t>. The formation process of pedogenic carbonates results from the dissolution of Ca-bearing minerals or eolian input. The latter release Ca</w:t>
      </w:r>
      <w:r w:rsidRPr="002D0155">
        <w:rPr>
          <w:vertAlign w:val="superscript"/>
          <w:lang w:val="en-US"/>
        </w:rPr>
        <w:t>2+</w:t>
      </w:r>
      <w:r w:rsidRPr="002D0155">
        <w:rPr>
          <w:lang w:val="en-US"/>
        </w:rPr>
        <w:t xml:space="preserve"> ions, which are subsequently transported downward and re-precipitate in various phases </w:t>
      </w:r>
      <w:r w:rsidR="00B63D91">
        <w:rPr>
          <w:lang w:val="en-US"/>
        </w:rPr>
        <w:fldChar w:fldCharType="begin" w:fldLock="1"/>
      </w:r>
      <w:r w:rsidR="00B63D91">
        <w:rPr>
          <w:lang w:val="en-US"/>
        </w:rPr>
        <w:instrText>ADDIN CSL_CITATION {"citationItems":[{"id":"ITEM-1","itemData":{"DOI":"10.2138/rmg.2007.66.3","ISBN":"9781501508608","ISSN":"15296466","abstract":"Paleoelevation reconstruction using stable isotopes, although a relatively new science, is making a significant contribution to our understanding of the recent growth of the world's major orogens. In this review we examine the use of both light stable isotopes of oxygen and the new \"clumped-isotope\" (Δ47) carbonate thermometer in carbonates from soils. Globally, the oxygen isotopic composition (δ18O) of rainfall decreases on average by about 2.8 ‰km of elevation gain. This effect of elevation will in turn be archived in the δ18O value of soil carbonates, and paleoelevation can be reconstructed, provided (1) temperature of formation can be estimated, (2) the effects of evaporation are small, (3) the effects of climate change can be accounted for, and (4) the isotopic composition of the carbonate is not diagenetically altered. We review data from modern soils to evaluate some of these issues and find that evaporation commonly elevates δ18O values of carbonates in deserts, an effect that would lead to underestimates of paleoelevation. Some assessment of paleoaridity, using qualitative indicators or carbon isotopes from soil carbonate, is therefore useful in evaluating the oxygen isotope-based estimates of paleoelevation. Sampling from deep (&gt; 50 cm) in paleosols helps reduce the uncertainties arising from seasonal temperature fluctuations and from evaporation. The new \"clumped-isotope\" (Δ47) carbonate thermometer, expressed as Δ47, offers an independent and potentially very powerful approach to paleoelevation reconstruction. In contrast to the use of δ18O sO values, nothing need be known about the isotopic composition of water from which carbonate grew in order to estimate of temperature of carbonate formation from Δ47 values. Using assumed temperature lapse rates with elevation, paleoelevations can thereby be reconstructed. Case studies from the Andes and Tibet show how these methods can be used alone or in combination to estimate paleoelevation. In both cases, the potential for diagenetic alteration of primary carbonate values first has to be assessed. Clear examples of both preservation and alteration of primary isotopic values are available from deposits of varying ages and burial histories. Δ47 values constitute a relatively straightforward test, since any temperature in excess of reasonable surface temperatures points to diagenetic alteration. For δ18O values, preservation of isotopic heterogeneity between different carbonate phases offers a check on…","author":[{"dropping-particle":"","family":"Quade","given":"Jay","non-dropping-particle":"","parse-names":false,"suffix":""},{"dropping-particle":"","family":"Garzione","given":"Carmala","non-dropping-particle":"","parse-names":false,"suffix":""},{"dropping-particle":"","family":"Eiler","given":"John","non-dropping-particle":"","parse-names":false,"suffix":""}],"container-title":"Paleoaltimetry: Geochemical and Thermodynamic Approaches","id":"ITEM-1","issued":{"date-parts":[["2007"]]},"page":"53-87","title":"Paleoelevation reconstruction using pedogenic carbonates","type":"article-journal","volume":"66"},"uris":["http://www.mendeley.com/documents/?uuid=46768479-5d5e-44ea-b8b1-c0ed411afcbe"]},{"id":"ITEM-2","itemData":{"DOI":"10.1130/B26413.1","ISSN":"00167606","abstract":"In order to better calibrate pedogenic carbonate as a proxy for past environments, we compared the stable isotopic composition of soil CO2, soil water, and pedogenic carbonate in young soils from central New Mexico, USA. Seasonal changes in the δ13C value of soil CO2, the δ18O value of soil water, and the soil temperature were monitored to establish the timing of isotopic equilibrium with the carbonate. Calcite solubility was calculated from measured temperatures and CO2 concentrations in the soil. This approach allowed us to determine the conditions associated with pedogenic carbonate formation. Carbon isotope equilibrium, oxygen isotope equilibrium, and minimum calcite solubility all occurred simultaneously during warm, dry conditions in May 2008 when soil CO2 concentrations were low. It is therefore concluded that pedogenic carbonate forms during warm, dry periods and does not record mean growing season conditions as typically assumed. The seasonal bias in pedogenic carbonate formation may explain the occurrence of pedogenic carbonate in monsoon climates and its absence in regions where annual precipitation is more uniformly distributed. The implications of the seasonal bias for stable isotope - based paleoenvironmental reconstructions are that paleoelevations may have been previously over- or underestimated, paleoatmospheric CO2 concentrations likely have been significantly overestimated, and pedogenic carbonate provides a C4-biased record of paleovegetation, especially in dry soils. © 2009 Geological Society of America.","author":[{"dropping-particle":"","family":"Breecker","given":"D. O.","non-dropping-particle":"","parse-names":false,"suffix":""},{"dropping-particle":"","family":"Sharp","given":"Z. D.","non-dropping-particle":"","parse-names":false,"suffix":""},{"dropping-particle":"","family":"McFadden","given":"L. D.","non-dropping-particle":"","parse-names":false,"suffix":""}],"container-title":"Bulletin of the Geological Society of America","id":"ITEM-2","issue":"3-4","issued":{"date-parts":[["2009"]]},"page":"630-640","title":"Seasonal bias in the formation and stable isotopic composition of pedogenic carbonate in modern soils from central New Mexico, USA","type":"article-journal","volume":"121"},"uris":["http://www.mendeley.com/documents/?uuid=123de2df-855a-461e-967b-ae8694d8aace"]},{"id":"ITEM-3","itemData":{"DOI":"10.1016/j.earscirev.2016.03.003","ISSN":"00128252","abstract":"Soils comprise the largest terrestrial carbon (C) pool, containing both organic and inorganic C. Soil inorganic carbon (SIC) was frequently disregarded because (1) it is partly heritage from soil parent material, (2) it undergoes slow formation processes and (3) has very slow exchange with atmospheric CO2. The global importance of SIC, however, is reflected by the fact that SIC links the long-term geological C cycle with the fast biotic C cycle, and this linkage is ongoing in soils. Furthermore, the importance of SIC is at least as high as that of soil organic carbon (SOC) especially in semiarid and arid climates, where SIC comprises the largest C pool. Considering the origin, formation processes and morphology, carbonates in soils are categorized into three groups: geogenic carbonates (GC), biogenic carbonates (BC) and pedogenic carbonates (PC). In this review we summarize the available data and theories on forms and formation processes of PC and relate them to environmental factors. After describing the general formation principles of PC, we present the specific forms and formation processes for PC features and the possibilities to use them to reconstruct soil-forming factors and processes. The following PC are described in detail: earthworm biospheroliths, rhizoliths and calcified roots, hypocoatings, nodules, clast coatings, calcretes and laminar caps.The second part of the review focuses on the isotopic composition of PC: δ13C, δ14C and δ18O, as well as clumped 13C and 18O isotopes known as δ47. The isotopic signature of PC enables reconstructing the formation environment: the dominating vegetation (δ13C), temperature (δ18O and δ47), and the age of PC formation (δ14C). The uncertainties in reconstructional and dating studies due to PC recrystallization after formation are discussed and simple approaches to consider recrystallization are summarized.Finally, we suggest the most important future research directions on PC, including the anthropogenic effects of fertilization and soil management. In conclusion, PC are an important part of SIC that reflect the time, periods and formation processes in soils. A mechanistic understanding of PC formation is a prerequisite to predict terrestrial C stocks and changes in the global C cycle, and to link the long-term geological with short-term biological C cycles.","author":[{"dropping-particle":"","family":"Zamanian","given":"Kazem","non-dropping-particle":"","parse-names":false,"suffix":""},{"dropping-particle":"","family":"Pustovoytov","given":"Konstantin","non-dropping-particle":"","parse-names":false,"suffix":""},{"dropping-particle":"","family":"Kuzyakov","given":"Yakov","non-dropping-particle":"","parse-names":false,"suffix":""}],"container-title":"Earth-Science Reviews","id":"ITEM-3","issued":{"date-parts":[["2016"]]},"page":"1-17","publisher":"Elsevier B.V.","title":"Pedogenic carbonates: Forms and formation processes","type":"article-journal","volume":"157"},"uris":["http://www.mendeley.com/documents/?uuid=ac9efb74-2ee6-4a4a-a274-334a86e17f58"]}],"mendeley":{"formattedCitation":"(Breecker et al., 2009; Quade et al., 2007; Zamanian et al., 2016)","plainTextFormattedCitation":"(Breecker et al., 2009; Quade et al., 2007; Zamanian et al., 2016)","previouslyFormattedCitation":"(Breecker et al., 2009; Quade et al., 2007; Zamanian et al., 2016)"},"properties":{"noteIndex":0},"schema":"https://github.com/citation-style-language/schema/raw/master/csl-citation.json"}</w:instrText>
      </w:r>
      <w:r w:rsidR="00B63D91">
        <w:rPr>
          <w:lang w:val="en-US"/>
        </w:rPr>
        <w:fldChar w:fldCharType="separate"/>
      </w:r>
      <w:r w:rsidR="00B63D91" w:rsidRPr="00B63D91">
        <w:rPr>
          <w:noProof/>
          <w:lang w:val="en-US"/>
        </w:rPr>
        <w:t>(Breecker et al., 2009; Quade et al., 2007; Zamanian et al., 2016)</w:t>
      </w:r>
      <w:r w:rsidR="00B63D91">
        <w:rPr>
          <w:lang w:val="en-US"/>
        </w:rPr>
        <w:fldChar w:fldCharType="end"/>
      </w:r>
      <w:r w:rsidRPr="002D0155">
        <w:rPr>
          <w:lang w:val="en-US"/>
        </w:rPr>
        <w:t>. Carbonate precipitation and dissolution in soils are highly influenced by changes in soil temperature, moisture, and CO</w:t>
      </w:r>
      <w:r w:rsidRPr="002D0155">
        <w:rPr>
          <w:vertAlign w:val="subscript"/>
          <w:lang w:val="en-US"/>
        </w:rPr>
        <w:t>2</w:t>
      </w:r>
      <w:r w:rsidRPr="002D0155">
        <w:rPr>
          <w:lang w:val="en-US"/>
        </w:rPr>
        <w:t xml:space="preserve"> that may vary daily or seasonally </w:t>
      </w:r>
      <w:r w:rsidR="00B63D91">
        <w:rPr>
          <w:lang w:val="en-US"/>
        </w:rPr>
        <w:fldChar w:fldCharType="begin" w:fldLock="1"/>
      </w:r>
      <w:r w:rsidR="00B63D91">
        <w:rPr>
          <w:lang w:val="en-US"/>
        </w:rPr>
        <w:instrText>ADDIN CSL_CITATION {"citationItems":[{"id":"ITEM-1","itemData":{"DOI":"10.1016/j.epsl.2012.10.024","ISSN":"0012821X","abstract":"Quantifying the timing and temperature of soil carbonate formation is important for interpreting isotopic records of Earth-surface temperature and soil water composition from paleosols. Pedogenic carbonates typically have been assumed to form at mean annual temperature, but recent work suggests warm-season bias in carbonate formation could impact the interpretation of δ18O values and carbonate formation temperatures for paleosol carbonates. We investigate the relationship between seasonally variable soil temperatures and carbonate formation temperatures estimated using clumped isotope thermometry (T(Δ47)). Holocene soil carbonates were collected along the eastern flank of the Andes (33°S) over 2km of relief and a nearly 15°C range of mean annual air temperature (MAAT). This area receives both westerly, winter season precipitation and easterly, summer season precipitation, leading to a reversal of soil moisture regimes that occurs at ~2km elevation. In instrumented pits sampled to 1m depth, we do not observe systematic variation in T(Δ47) with depth or with elevation-dependent MAAT. Average T(Δ47) values for soil carbonates collected above 2km elevation reflect summer soil temperatures. In contrast, T(Δ47) values below ~2km track mean annual soil temperature. These results may reflect the dominance of summer precipitation below ~2km, which likely delays soil drying and carbonate growth until fall. This seasonal variability in carbonate formation greatly impacts carbonate formation temperature, with important implications for estimating soil water δ18O values. Calculating soil water δ18O values using T(Δ47) produces a soil water δ18O lapse rate of -4.6%/km, remarkably similar to that of modern surface waters (-4.8%/km), and significantly improving on previous soil water estimates assuming MAAT for carbonate formation temperatures. Although seasonal bias can prevent the straightforward translation of soil carbonate T(Δ47) into meaningful surface air temperatures, direct constraints on temperature from clumped isotopes can both provide a window into soil processes and aid in the interpretation of conventional stable isotopic data to reconstruct surface conditions in the past. © 2012 Elsevier B.V.","author":[{"dropping-particle":"","family":"Peters","given":"Nathan A.","non-dropping-particle":"","parse-names":false,"suffix":""},{"dropping-particle":"","family":"Huntington","given":"Katharine W.","non-dropping-particle":"","parse-names":false,"suffix":""},{"dropping-particle":"","family":"Hoke","given":"Gregory D.","non-dropping-particle":"","parse-names":false,"suffix":""}],"container-title":"Earth and Planetary Science Letters","id":"ITEM-1","issued":{"date-parts":[["2013"]]},"page":"208-218","publisher":"Elsevier","title":"Hot or not? Impact of seasonally variable soil carbonate formation on paleotemperature and O-isotope records from clumped isotope thermometry","type":"article-journal","volume":"361"},"uris":["http://www.mendeley.com/documents/?uuid=a7c5a0a3-a05a-469b-bb0d-62a2574003d8"]}],"mendeley":{"formattedCitation":"(Peters et al., 2013)","plainTextFormattedCitation":"(Peters et al., 2013)","previouslyFormattedCitation":"(Peters et al., 2013)"},"properties":{"noteIndex":0},"schema":"https://github.com/citation-style-language/schema/raw/master/csl-citation.json"}</w:instrText>
      </w:r>
      <w:r w:rsidR="00B63D91">
        <w:rPr>
          <w:lang w:val="en-US"/>
        </w:rPr>
        <w:fldChar w:fldCharType="separate"/>
      </w:r>
      <w:r w:rsidR="00B63D91" w:rsidRPr="00B63D91">
        <w:rPr>
          <w:noProof/>
          <w:lang w:val="en-US"/>
        </w:rPr>
        <w:t>(Peters et al., 2013)</w:t>
      </w:r>
      <w:r w:rsidR="00B63D91">
        <w:rPr>
          <w:lang w:val="en-US"/>
        </w:rPr>
        <w:fldChar w:fldCharType="end"/>
      </w:r>
      <w:r w:rsidRPr="002D0155">
        <w:rPr>
          <w:lang w:val="en-US"/>
        </w:rPr>
        <w:t xml:space="preserve">. While pedogenic carbonates tend to form during warm and dry seasons, it has been highlighted that carbonate formation can occur in different climates whenever the soil reaches supersaturation at different times of the year </w:t>
      </w:r>
      <w:r w:rsidR="00B63D91">
        <w:rPr>
          <w:lang w:val="en-US"/>
        </w:rPr>
        <w:fldChar w:fldCharType="begin" w:fldLock="1"/>
      </w:r>
      <w:r w:rsidR="00B63D91">
        <w:rPr>
          <w:lang w:val="en-US"/>
        </w:rPr>
        <w:instrText>ADDIN CSL_CITATION {"citationItems":[{"id":"ITEM-1","itemData":{"DOI":"10.1130/B26413.1","ISSN":"00167606","abstract":"In order to better calibrate pedogenic carbonate as a proxy for past environments, we compared the stable isotopic composition of soil CO2, soil water, and pedogenic carbonate in young soils from central New Mexico, USA. Seasonal changes in the δ13C value of soil CO2, the δ18O value of soil water, and the soil temperature were monitored to establish the timing of isotopic equilibrium with the carbonate. Calcite solubility was calculated from measured temperatures and CO2 concentrations in the soil. This approach allowed us to determine the conditions associated with pedogenic carbonate formation. Carbon isotope equilibrium, oxygen isotope equilibrium, and minimum calcite solubility all occurred simultaneously during warm, dry conditions in May 2008 when soil CO2 concentrations were low. It is therefore concluded that pedogenic carbonate forms during warm, dry periods and does not record mean growing season conditions as typically assumed. The seasonal bias in pedogenic carbonate formation may explain the occurrence of pedogenic carbonate in monsoon climates and its absence in regions where annual precipitation is more uniformly distributed. The implications of the seasonal bias for stable isotope - based paleoenvironmental reconstructions are that paleoelevations may have been previously over- or underestimated, paleoatmospheric CO2 concentrations likely have been significantly overestimated, and pedogenic carbonate provides a C4-biased record of paleovegetation, especially in dry soils. © 2009 Geological Society of America.","author":[{"dropping-particle":"","family":"Breecker","given":"D. O.","non-dropping-particle":"","parse-names":false,"suffix":""},{"dropping-particle":"","family":"Sharp","given":"Z. D.","non-dropping-particle":"","parse-names":false,"suffix":""},{"dropping-particle":"","family":"McFadden","given":"L. D.","non-dropping-particle":"","parse-names":false,"suffix":""}],"container-title":"Bulletin of the Geological Society of America","id":"ITEM-1","issue":"3-4","issued":{"date-parts":[["2009"]]},"page":"630-640","title":"Seasonal bias in the formation and stable isotopic composition of pedogenic carbonate in modern soils from central New Mexico, USA","type":"article-journal","volume":"121"},"uris":["http://www.mendeley.com/documents/?uuid=123de2df-855a-461e-967b-ae8694d8aace"]},{"id":"ITEM-2","itemData":{"DOI":"10.2475/07.2019.02","ISSN":"00029599","abstract":"Paleosols comprise an important archive of continental paleoclimate information throughout geologic history, but resolving temperature seasonality poses a challenge to the application of paleosol-derived temperature proxies. Not only does seasonality exert a strong control on the biosphere, but it can also obfuscate accurate interpretation of proxy records of paleotemperature. In order to examine the effect temperature seasonality has on paleosol temperature proxies, soil temperature data were compiled from over 200 stations that comprise the NRCS Soil Climate Analysis Network. Observed and modeled seasonal soil temperature variations were then compared to quantify system behavior. Greater than predicted soil temperature seasonality is observed at nearly half of the sites, driven primarily by direct heating of the soil surface by solar radiation. The ground-heating effect becomes more pronounced at sites receiving less than 600 mm of annual precipitation, with an average effect &gt; 4 °C when mean annual precipitation falls below 300 mm. Large ground heating effects cannot be presumed for all carbonate-bearing paleosols, but the effect can be approximated when combined with paleo-precipitation estimates. Approximately two-fifths of sites record less temperature variation than predicted. This reduction in soil temperature seasonality is a result of warmer cold-season soil temperatures, driven by processes such as snow cover insulation and explains why pedotransfer functions break down below mean annual air temperatures (MAAT) of 6 to 8 °C. Clumped isotope measurements of pedogenic carbonate from a stacked series of late Eocene paleosols from Northeastern Spain are also examined to demonstrate how the documented seasonal trends in modern soils can inform paleo-applications, by considering carbonate formation depth and predicted ground heating effect. These paleosol results are best explained by a MAAT of 27 °C with annual temperature seasonality of 25 °C.","author":[{"dropping-particle":"","family":"Gallagher","given":"Timothy M.","non-dropping-particle":"","parse-names":false,"suffix":""},{"dropping-particle":"","family":"Hren","given":"Michael","non-dropping-particle":"","parse-names":false,"suffix":""},{"dropping-particle":"","family":"Sheldon","given":"Nathan D.","non-dropping-particle":"","parse-names":false,"suffix":""}],"container-title":"American Journal of Science","id":"ITEM-2","issue":"7","issued":{"date-parts":[["2019"]]},"page":"549-581","title":"The effect of soil temperature seasonality on climate reconstructions from paleosols","type":"article-journal","volume":"319"},"uris":["http://www.mendeley.com/documents/?uuid=71f8f1a9-30a3-45b9-b92b-f5a50651a7f1"]}],"mendeley":{"formattedCitation":"(Breecker et al., 2009; Gallagher et al., 2019)","plainTextFormattedCitation":"(Breecker et al., 2009; Gallagher et al., 2019)","previouslyFormattedCitation":"(Breecker et al., 2009; Gallagher et al., 2019)"},"properties":{"noteIndex":0},"schema":"https://github.com/citation-style-language/schema/raw/master/csl-citation.json"}</w:instrText>
      </w:r>
      <w:r w:rsidR="00B63D91">
        <w:rPr>
          <w:lang w:val="en-US"/>
        </w:rPr>
        <w:fldChar w:fldCharType="separate"/>
      </w:r>
      <w:r w:rsidR="00B63D91" w:rsidRPr="00B63D91">
        <w:rPr>
          <w:noProof/>
          <w:lang w:val="en-US"/>
        </w:rPr>
        <w:t>(Breecker et al., 2009; Gallagher et al., 2019)</w:t>
      </w:r>
      <w:r w:rsidR="00B63D91">
        <w:rPr>
          <w:lang w:val="en-US"/>
        </w:rPr>
        <w:fldChar w:fldCharType="end"/>
      </w:r>
      <w:r w:rsidRPr="002D0155">
        <w:rPr>
          <w:lang w:val="en-US"/>
        </w:rPr>
        <w:t>. The use of pedogenic carbonate as a proxy in paleoclimate environment studies involves therefore considering implications of seasonal bias and comparing results with available analogous records (atmospheric CO</w:t>
      </w:r>
      <w:r w:rsidRPr="002D0155">
        <w:rPr>
          <w:vertAlign w:val="subscript"/>
          <w:lang w:val="en-US"/>
        </w:rPr>
        <w:t>2</w:t>
      </w:r>
      <w:r w:rsidRPr="002D0155">
        <w:rPr>
          <w:lang w:val="en-US"/>
        </w:rPr>
        <w:t xml:space="preserve">, </w:t>
      </w:r>
      <w:r w:rsidRPr="002D0155">
        <w:rPr>
          <w:rFonts w:ascii="Cambria Math" w:eastAsia="Times New Roman" w:hAnsi="Cambria Math" w:cs="Cambria Math"/>
          <w:lang w:val="en-US"/>
        </w:rPr>
        <w:t>𝛿</w:t>
      </w:r>
      <w:r w:rsidRPr="002D0155">
        <w:rPr>
          <w:vertAlign w:val="superscript"/>
          <w:lang w:val="en-US"/>
        </w:rPr>
        <w:t>18</w:t>
      </w:r>
      <w:r w:rsidRPr="002D0155">
        <w:rPr>
          <w:lang w:val="en-US"/>
        </w:rPr>
        <w:t xml:space="preserve">O and </w:t>
      </w:r>
      <w:r w:rsidRPr="002D0155">
        <w:rPr>
          <w:rFonts w:ascii="Cambria Math" w:eastAsia="Times New Roman" w:hAnsi="Cambria Math" w:cs="Cambria Math"/>
          <w:lang w:val="en-US"/>
        </w:rPr>
        <w:t>𝛿</w:t>
      </w:r>
      <w:r w:rsidRPr="002D0155">
        <w:rPr>
          <w:vertAlign w:val="superscript"/>
          <w:lang w:val="en-US"/>
        </w:rPr>
        <w:t>13</w:t>
      </w:r>
      <w:r w:rsidRPr="002D0155">
        <w:rPr>
          <w:lang w:val="en-US"/>
        </w:rPr>
        <w:t xml:space="preserve">C values).  </w:t>
      </w:r>
    </w:p>
    <w:p w:rsidR="008B27E7" w:rsidRPr="002D0155" w:rsidRDefault="008B27E7" w:rsidP="008B27E7">
      <w:pPr>
        <w:rPr>
          <w:lang w:val="en-US"/>
        </w:rPr>
      </w:pPr>
      <w:r w:rsidRPr="002D0155">
        <w:rPr>
          <w:lang w:val="en-US"/>
        </w:rPr>
        <w:t xml:space="preserve">The paleosols in the DVB developed in continental and coastal domains, the associated carbonate nodules formed therefore in floodplain and marshland deposits </w:t>
      </w:r>
      <w:r w:rsidR="00B63D91">
        <w:rPr>
          <w:lang w:val="en-US"/>
        </w:rPr>
        <w:fldChar w:fldCharType="begin" w:fldLock="1"/>
      </w:r>
      <w:r w:rsidR="00B63D91">
        <w:rPr>
          <w:lang w:val="en-US"/>
        </w:rPr>
        <w:instrText>ADDIN CSL_CITATION {"citationItems":[{"id":"ITEM-1","itemData":{"author":[{"dropping-particle":"","family":"Bialkowski","given":"Anne","non-dropping-particle":"","parse-names":false,"suffix":""}],"id":"ITEM-1","issued":{"date-parts":[["2002"]]},"publisher":"École Nationale Supérieure des Mines de Paris","title":"Stratigraphie isotopique (carbone et oxygène) des séries continentales d'un bassin d'avant-pays (Oligo-Miocène du bassin de Digne-Valensole): paléoenvironnements et séquences de dépot","type":"thesis"},"uris":["http://www.mendeley.com/documents/?uuid=ad63ba83-8732-4983-8a23-6887d0ac09ef"]}],"mendeley":{"formattedCitation":"(Bialkowski, 2002)","plainTextFormattedCitation":"(Bialkowski, 2002)","previouslyFormattedCitation":"(Bialkowski, 2002)"},"properties":{"noteIndex":0},"schema":"https://github.com/citation-style-language/schema/raw/master/csl-citation.json"}</w:instrText>
      </w:r>
      <w:r w:rsidR="00B63D91">
        <w:rPr>
          <w:lang w:val="en-US"/>
        </w:rPr>
        <w:fldChar w:fldCharType="separate"/>
      </w:r>
      <w:r w:rsidR="00B63D91" w:rsidRPr="00B63D91">
        <w:rPr>
          <w:noProof/>
          <w:lang w:val="en-US"/>
        </w:rPr>
        <w:t>(Bialkowski, 2002)</w:t>
      </w:r>
      <w:r w:rsidR="00B63D91">
        <w:rPr>
          <w:lang w:val="en-US"/>
        </w:rPr>
        <w:fldChar w:fldCharType="end"/>
      </w:r>
      <w:r w:rsidRPr="002D0155">
        <w:rPr>
          <w:lang w:val="en-US"/>
        </w:rPr>
        <w:t xml:space="preserve">. The carbonate content of the paleosols at the </w:t>
      </w:r>
      <w:proofErr w:type="spellStart"/>
      <w:r w:rsidRPr="002D0155">
        <w:rPr>
          <w:lang w:val="en-US"/>
        </w:rPr>
        <w:t>Châteauredon</w:t>
      </w:r>
      <w:proofErr w:type="spellEnd"/>
      <w:r w:rsidRPr="002D0155">
        <w:rPr>
          <w:lang w:val="en-US"/>
        </w:rPr>
        <w:t xml:space="preserve"> section is about 50% and can reach 90% in Bk horizons </w:t>
      </w:r>
      <w:r w:rsidR="00B63D91">
        <w:rPr>
          <w:lang w:val="en-US"/>
        </w:rPr>
        <w:fldChar w:fldCharType="begin" w:fldLock="1"/>
      </w:r>
      <w:r w:rsidR="00B63D91">
        <w:rPr>
          <w:lang w:val="en-US"/>
        </w:rPr>
        <w:instrText>ADDIN CSL_CITATION {"citationItems":[{"id":"ITEM-1","itemData":{"DOI":"10.2113/gssgfbull.184.6.583","ISSN":"00379409","abstract":"Stable isotope (C and O) analyses were carried out on pedogenic nodules from carbonate-rich paleosols from early to middle Miocene strata in the Digne-Valensole foreland basin (southeast France). Paleosols from three sections corresponding to several paleoenvironments were sampled in order to investigate the local influence on the isotope record of the depositional sites: a deltaic floodplain (Châteauredon section, BCR), an inland floodplain (Saule Mort section, SM) and a shallow lacustrine system (Pont d'Aiguines section, PA). According to their biostratigraphy, they correspond to the same stratigraphic interval. Paleosols are regularly distributed along the three sections. They have developed either on floodplain alluvium or on palustrine carbonate mud. They are characterized by fersiallitic red soils with a calcic horizon, typical of a xeric soil moisture conditions with a marked seasonality. Carbonate nodules sampled at depths of 0.3 to 1 m below the preserved top soil are considered suitable for paleoecological interpretation. The cross-plot of the δ18 and δ13 C values shows well-distributed data indicating that the pedogenic nodules were not affected by any major recrystallizations during burial. Their distribution indicates climate conditions similar to those of modern Mediterranean soils, characterized by carbonates precipitating from enriched meteoric water. A refined stratigraphic attribution of all the sections is based on the carbon isotope chemostratigraphy developed on the Châteauredon section by correlation with marine carbon isotope data [Bialkowski et al., 2006]. All sections extend from very early Aquitanian to middle Serravallian. No major hiatus was identified except for the one associated with a highly karstified surface in the Pont d'Aiguines section. The hiatus duration, estimated to 1 Ma, is interpreted as the record of some deformation at the front of the Digne thrust sheet during the Langhian. Most carbon isotope values are heavier than -8‰, suggesting a water-stressed C3 vegetation growing in a semi-arid environment. These semi-arid conditions are found in all sections during early Aquitanian and late Burdigalian to early Serravallian (Middle Miocene climatic optimum, MMCO), indicating similar environmental conditions between the coastal sites (BCR and PA sections) and the inland SM section. From middle Aquitanian to late Burdigalian, data from the coastal sites indicate typical C3 vegetation whereas xeric conditions character…","author":[{"dropping-particle":"","family":"Cojan","given":"Isabelle","non-dropping-particle":"","parse-names":false,"suffix":""},{"dropping-particle":"","family":"Bialkowski","given":"Anne","non-dropping-particle":"","parse-names":false,"suffix":""},{"dropping-particle":"","family":"Gillot","given":"Thomas","non-dropping-particle":"","parse-names":false,"suffix":""},{"dropping-particle":"","family":"Renard","given":"Maurice","non-dropping-particle":"","parse-names":false,"suffix":""}],"container-title":"Bulletin de la Societe Geologique de France","id":"ITEM-1","issue":"6","issued":{"date-parts":[["2013"]]},"page":"583-599","title":"Paleoenvironnement and paleoclimate reconstruction for the early to middle Miocene from stable isotopes in pedogenic carbonates (Digne-Valensole basin, southeastern France)","type":"article-journal","volume":"184"},"uris":["http://www.mendeley.com/documents/?uuid=668a4bf7-610b-4404-a43c-e145aceb38e9"]}],"mendeley":{"formattedCitation":"(Cojan et al., 2013)","plainTextFormattedCitation":"(Cojan et al., 2013)","previouslyFormattedCitation":"(Cojan et al., 2013)"},"properties":{"noteIndex":0},"schema":"https://github.com/citation-style-language/schema/raw/master/csl-citation.json"}</w:instrText>
      </w:r>
      <w:r w:rsidR="00B63D91">
        <w:rPr>
          <w:lang w:val="en-US"/>
        </w:rPr>
        <w:fldChar w:fldCharType="separate"/>
      </w:r>
      <w:r w:rsidR="00B63D91" w:rsidRPr="00B63D91">
        <w:rPr>
          <w:noProof/>
          <w:lang w:val="en-US"/>
        </w:rPr>
        <w:t>(Cojan et al., 2013)</w:t>
      </w:r>
      <w:r w:rsidR="00B63D91">
        <w:rPr>
          <w:lang w:val="en-US"/>
        </w:rPr>
        <w:fldChar w:fldCharType="end"/>
      </w:r>
      <w:r w:rsidRPr="002D0155">
        <w:rPr>
          <w:lang w:val="en-US"/>
        </w:rPr>
        <w:t xml:space="preserve">. Carbonate nodules are abundant in the pedogenic horizon Bk as a result of downward migration from the above leaching horizon. The </w:t>
      </w:r>
      <w:proofErr w:type="spellStart"/>
      <w:r w:rsidRPr="002D0155">
        <w:rPr>
          <w:lang w:val="en-US"/>
        </w:rPr>
        <w:t>Châteauredon</w:t>
      </w:r>
      <w:proofErr w:type="spellEnd"/>
      <w:r w:rsidRPr="002D0155">
        <w:rPr>
          <w:lang w:val="en-US"/>
        </w:rPr>
        <w:t xml:space="preserve"> carbonate-bearing units, which developed on floodplain alluviums of the Digne-Valensole basin have a thickness ranging from a few meters to tens of meters (Fig. S3). </w:t>
      </w:r>
    </w:p>
    <w:p w:rsidR="008B27E7" w:rsidRPr="002D0155" w:rsidRDefault="008B27E7" w:rsidP="008B27E7">
      <w:pPr>
        <w:rPr>
          <w:rFonts w:cs="Times New Roman"/>
          <w:color w:val="222222"/>
          <w:sz w:val="24"/>
          <w:szCs w:val="24"/>
          <w:lang w:val="en-US"/>
        </w:rPr>
      </w:pPr>
      <w:r w:rsidRPr="002D0155">
        <w:rPr>
          <w:rFonts w:cs="Times New Roman"/>
          <w:noProof/>
          <w:color w:val="222222"/>
          <w:sz w:val="24"/>
          <w:szCs w:val="24"/>
          <w:lang w:val="en-US"/>
        </w:rPr>
        <w:lastRenderedPageBreak/>
        <w:drawing>
          <wp:inline distT="114300" distB="114300" distL="114300" distR="114300" wp14:anchorId="4492F698" wp14:editId="550B09EC">
            <wp:extent cx="3138488" cy="6518397"/>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7"/>
                    <a:srcRect l="24366" t="8160" r="24572" b="9738"/>
                    <a:stretch>
                      <a:fillRect/>
                    </a:stretch>
                  </pic:blipFill>
                  <pic:spPr>
                    <a:xfrm>
                      <a:off x="0" y="0"/>
                      <a:ext cx="3138488" cy="6518397"/>
                    </a:xfrm>
                    <a:prstGeom prst="rect">
                      <a:avLst/>
                    </a:prstGeom>
                    <a:ln/>
                  </pic:spPr>
                </pic:pic>
              </a:graphicData>
            </a:graphic>
          </wp:inline>
        </w:drawing>
      </w:r>
    </w:p>
    <w:p w:rsidR="008B27E7" w:rsidRPr="006732A5" w:rsidRDefault="008B27E7" w:rsidP="008B27E7">
      <w:pPr>
        <w:rPr>
          <w:rFonts w:cs="Times New Roman"/>
          <w:sz w:val="18"/>
          <w:szCs w:val="18"/>
          <w:lang w:val="en-US"/>
        </w:rPr>
      </w:pPr>
      <w:r w:rsidRPr="006732A5">
        <w:rPr>
          <w:rFonts w:cs="Times New Roman"/>
          <w:b/>
          <w:bCs/>
          <w:color w:val="222222"/>
          <w:sz w:val="18"/>
          <w:szCs w:val="18"/>
          <w:lang w:val="en-US"/>
        </w:rPr>
        <w:t>Figure S1</w:t>
      </w:r>
      <w:r>
        <w:rPr>
          <w:rFonts w:cs="Times New Roman"/>
          <w:b/>
          <w:bCs/>
          <w:color w:val="222222"/>
          <w:sz w:val="18"/>
          <w:szCs w:val="18"/>
          <w:lang w:val="en-US"/>
        </w:rPr>
        <w:t>:</w:t>
      </w:r>
      <w:r w:rsidRPr="006732A5">
        <w:rPr>
          <w:rFonts w:cs="Times New Roman"/>
          <w:color w:val="222222"/>
          <w:sz w:val="18"/>
          <w:szCs w:val="18"/>
          <w:lang w:val="en-US"/>
        </w:rPr>
        <w:t xml:space="preserve"> Typical examples of thin sections </w:t>
      </w:r>
      <w:r w:rsidRPr="006732A5">
        <w:rPr>
          <w:rFonts w:cs="Times New Roman"/>
          <w:sz w:val="18"/>
          <w:szCs w:val="18"/>
          <w:lang w:val="en-US"/>
        </w:rPr>
        <w:t>of pedogenic carbonate nodules with dominant micritic texture. (A) Sample 99CH14. (B) and (C) Sample 98GR29.</w:t>
      </w:r>
    </w:p>
    <w:p w:rsidR="008B27E7" w:rsidRPr="002D0155" w:rsidRDefault="008B27E7" w:rsidP="008B27E7">
      <w:pPr>
        <w:rPr>
          <w:rFonts w:cs="Times New Roman"/>
          <w:sz w:val="24"/>
          <w:szCs w:val="24"/>
          <w:lang w:val="en-US"/>
        </w:rPr>
      </w:pPr>
      <w:r w:rsidRPr="002D0155">
        <w:rPr>
          <w:rFonts w:cs="Times New Roman"/>
          <w:noProof/>
          <w:sz w:val="24"/>
          <w:szCs w:val="24"/>
          <w:lang w:val="en-US"/>
        </w:rPr>
        <w:lastRenderedPageBreak/>
        <w:drawing>
          <wp:inline distT="114300" distB="114300" distL="114300" distR="114300" wp14:anchorId="2388815F" wp14:editId="46D7DCCC">
            <wp:extent cx="5589161" cy="4157663"/>
            <wp:effectExtent l="0" t="0" r="0" b="0"/>
            <wp:docPr id="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8"/>
                    <a:srcRect l="1564" t="9340" r="21918" b="16973"/>
                    <a:stretch>
                      <a:fillRect/>
                    </a:stretch>
                  </pic:blipFill>
                  <pic:spPr>
                    <a:xfrm>
                      <a:off x="0" y="0"/>
                      <a:ext cx="5589161" cy="4157663"/>
                    </a:xfrm>
                    <a:prstGeom prst="rect">
                      <a:avLst/>
                    </a:prstGeom>
                    <a:ln/>
                  </pic:spPr>
                </pic:pic>
              </a:graphicData>
            </a:graphic>
          </wp:inline>
        </w:drawing>
      </w:r>
    </w:p>
    <w:p w:rsidR="008B27E7" w:rsidRPr="00B63D91" w:rsidRDefault="008B27E7" w:rsidP="008B27E7">
      <w:pPr>
        <w:rPr>
          <w:rFonts w:cs="Times New Roman"/>
          <w:sz w:val="18"/>
          <w:szCs w:val="18"/>
          <w:lang w:val="en-US"/>
        </w:rPr>
      </w:pPr>
      <w:r w:rsidRPr="006732A5">
        <w:rPr>
          <w:rFonts w:cs="Times New Roman"/>
          <w:b/>
          <w:bCs/>
          <w:sz w:val="18"/>
          <w:szCs w:val="18"/>
          <w:lang w:val="en-US"/>
        </w:rPr>
        <w:t>Figure S2</w:t>
      </w:r>
      <w:r>
        <w:rPr>
          <w:rFonts w:cs="Times New Roman"/>
          <w:b/>
          <w:bCs/>
          <w:sz w:val="18"/>
          <w:szCs w:val="18"/>
          <w:lang w:val="en-US"/>
        </w:rPr>
        <w:t>:</w:t>
      </w:r>
      <w:r w:rsidRPr="006732A5">
        <w:rPr>
          <w:rFonts w:cs="Times New Roman"/>
          <w:sz w:val="18"/>
          <w:szCs w:val="18"/>
          <w:lang w:val="en-US"/>
        </w:rPr>
        <w:t xml:space="preserve"> Microscopic images of a thin section from sample 98GR22. (A) and (B) depict a clotted micritic texture crosscut by sparry calcite veins, which might result from diagenetic alteration. (C) and (D) show a close-up of a sparry calcite vein, which locally includes detrital quartz grains. The sample is not considered in the discussion of our results because the Δ</w:t>
      </w:r>
      <w:r w:rsidRPr="006732A5">
        <w:rPr>
          <w:rFonts w:cs="Times New Roman"/>
          <w:sz w:val="18"/>
          <w:szCs w:val="18"/>
          <w:vertAlign w:val="subscript"/>
          <w:lang w:val="en-US"/>
        </w:rPr>
        <w:t>47</w:t>
      </w:r>
      <w:r w:rsidRPr="006732A5">
        <w:rPr>
          <w:rFonts w:cs="Times New Roman"/>
          <w:sz w:val="18"/>
          <w:szCs w:val="18"/>
          <w:lang w:val="en-US"/>
        </w:rPr>
        <w:t xml:space="preserve"> results likely represent a mixture of temperatures that reflect carbonate formation temperatures during soil formation (micritic calcite) and diagenesis (sparry calcite). </w:t>
      </w:r>
    </w:p>
    <w:p w:rsidR="008B27E7" w:rsidRPr="002D0155" w:rsidRDefault="0067478A" w:rsidP="008B27E7">
      <w:pPr>
        <w:pStyle w:val="Heading1"/>
        <w:rPr>
          <w:lang w:val="en-US"/>
        </w:rPr>
      </w:pPr>
      <w:bookmarkStart w:id="1" w:name="_6ijhyzuvjqsk" w:colFirst="0" w:colLast="0"/>
      <w:bookmarkEnd w:id="1"/>
      <w:r>
        <w:rPr>
          <w:lang w:val="en-US"/>
        </w:rPr>
        <w:t>S</w:t>
      </w:r>
      <w:r w:rsidR="008B27E7" w:rsidRPr="002D0155">
        <w:rPr>
          <w:lang w:val="en-US"/>
        </w:rPr>
        <w:t>2.    Carbonate clumped isotope (Δ</w:t>
      </w:r>
      <w:r w:rsidR="008B27E7" w:rsidRPr="002D0155">
        <w:rPr>
          <w:vertAlign w:val="subscript"/>
          <w:lang w:val="en-US"/>
        </w:rPr>
        <w:t>47</w:t>
      </w:r>
      <w:r w:rsidR="008B27E7" w:rsidRPr="002D0155">
        <w:rPr>
          <w:lang w:val="en-US"/>
        </w:rPr>
        <w:t>) measurements</w:t>
      </w:r>
    </w:p>
    <w:p w:rsidR="008B27E7" w:rsidRPr="002D0155" w:rsidRDefault="008B27E7" w:rsidP="008B27E7">
      <w:pPr>
        <w:rPr>
          <w:lang w:val="en-US"/>
        </w:rPr>
      </w:pPr>
      <w:r w:rsidRPr="002D0155">
        <w:rPr>
          <w:lang w:val="en-US"/>
        </w:rPr>
        <w:t xml:space="preserve">Carbonate clumped isotope thermometry allows to determine the growth temperature of carbonate minerals </w:t>
      </w:r>
      <w:r w:rsidR="00B63D91">
        <w:rPr>
          <w:lang w:val="en-US"/>
        </w:rPr>
        <w:fldChar w:fldCharType="begin" w:fldLock="1"/>
      </w:r>
      <w:r w:rsidR="00B63D91">
        <w:rPr>
          <w:lang w:val="en-US"/>
        </w:rPr>
        <w:instrText>ADDIN CSL_CITATION {"citationItems":[{"id":"ITEM-1","itemData":{"DOI":"10.1016/j.quascirev.2011.09.001","ISSN":"02773791","abstract":"Carbonate clumped isotope thermometry is a relatively new paleotemperature proxy based on measurements of the degree of ordering of 13C and 18O into bonds with each other (making the 13C18O16O2-2 ion group) in lattices of carbonate minerals. This technique has several unusual properties that complement existing methods of paleoclimate reconstruction. Most importantly, it is based on a homogeneous isotope exchange equilibrium and thus constrains temperature independent of the isotopic composition of waters from which carbonates grew. This method also appears to be generally insensitive to 'vital effects' that compromise many other paleothermometers based on the chemical properties of biominerals or organic matter, at least for those organisms that have been subjected to systematic study to-date (corals and foraminifera); however, discrepancies among some calibrations, particularly at low temperatures, may point toward the existence of vital effects in mollusks and other organisms. This review discusses the principles and calibrations of the technique, its uses in combination with conventional stable isotope measurements to constrain the δ18O of past waters, preservation of paleotemperatures in ancient materials, as well as current problems in our understanding of calibrations and interlaboratory data comparisons. © 2011 Elsevier Ltd.","author":[{"dropping-particle":"","family":"Eiler","given":"John M.","non-dropping-particle":"","parse-names":false,"suffix":""}],"container-title":"Quaternary Science Reviews","id":"ITEM-1","issue":"25-26","issued":{"date-parts":[["2011"]]},"page":"3575-3588","publisher":"Elsevier Ltd","title":"Paleoclimate reconstruction using carbonate clumped isotope thermometry","type":"article-journal","volume":"30"},"uris":["http://www.mendeley.com/documents/?uuid=45af8ae6-fdb4-4ef9-9060-4e422bd5edfa"]},{"id":"ITEM-2","itemData":{"DOI":"10.1029/2017GC007385","ISSN":"15252027","abstract":"About a decade after its introduction, the field of carbonate clumped isotope thermometry is rapidly expanding because of the large number of possible applications and its potential to solve long-standing questions in Earth Sciences. Major factors limiting the application of this method are the very high analytical precision required for meaningful interpretations, the relatively complex sample preparation procedures, and the mass spectrometric corrections needed. In this paper we first briefly review the evolution of the analytical and standardization procedures and discuss the major remaining sources of uncertainty. We propose that the use of carbonate standards to project the results to the carbon dioxide equilibrium scale can improve interlaboratory data comparability and help to solve long-standing discrepancies between laboratories and temperature calibrations. The use of carbonates reduces uncertainties related to gas preparation and cleaning procedures and ensures equal treatment of samples and standards. We present a set of carbonate standards of diverse composition, discuss how they can be used to correct for mass spectrometric biases, and demonstrate that their use significantly improves the comparability among four laboratories. We propose that the use of these standards or of a similar set of carbonate standards will improve the comparability of data across laboratories.","author":[{"dropping-particle":"","family":"Bernasconi","given":"Stefano M.","non-dropping-particle":"","parse-names":false,"suffix":""},{"dropping-particle":"","family":"Müller","given":"Inigo A.","non-dropping-particle":"","parse-names":false,"suffix":""},{"dropping-particle":"","family":"Bergmann","given":"Kristin D.","non-dropping-particle":"","parse-names":false,"suffix":""},{"dropping-particle":"","family":"Breitenbach","given":"Sebastian F.M.","non-dropping-particle":"","parse-names":false,"suffix":""},{"dropping-particle":"","family":"Fernandez","given":"Alvaro","non-dropping-particle":"","parse-names":false,"suffix":""},{"dropping-particle":"","family":"Hodell","given":"David A.","non-dropping-particle":"","parse-names":false,"suffix":""},{"dropping-particle":"","family":"Jaggi","given":"Madalina","non-dropping-particle":"","parse-names":false,"suffix":""},{"dropping-particle":"","family":"Meckler","given":"Anna Nele","non-dropping-particle":"","parse-names":false,"suffix":""},{"dropping-particle":"","family":"Millan","given":"Isabel","non-dropping-particle":"","parse-names":false,"suffix":""},{"dropping-particle":"","family":"Ziegler","given":"Martin","non-dropping-particle":"","parse-names":false,"suffix":""}],"container-title":"Geochemistry, Geophysics, Geosystems","id":"ITEM-2","issue":"9","issued":{"date-parts":[["2018"]]},"page":"2895-2914","title":"Reducing Uncertainties in Carbonate Clumped Isotope Analysis Through Consistent Carbonate-Based Standardization","type":"article-journal","volume":"19"},"uris":["http://www.mendeley.com/documents/?uuid=1c873462-bfdc-4890-a606-7dbb6a2afc9d"]}],"mendeley":{"formattedCitation":"(Bernasconi et al., 2018; Eiler, 2011)","plainTextFormattedCitation":"(Bernasconi et al., 2018; Eiler, 2011)","previouslyFormattedCitation":"(Bernasconi et al., 2018; Eiler, 2011)"},"properties":{"noteIndex":0},"schema":"https://github.com/citation-style-language/schema/raw/master/csl-citation.json"}</w:instrText>
      </w:r>
      <w:r w:rsidR="00B63D91">
        <w:rPr>
          <w:lang w:val="en-US"/>
        </w:rPr>
        <w:fldChar w:fldCharType="separate"/>
      </w:r>
      <w:r w:rsidR="00B63D91" w:rsidRPr="00B63D91">
        <w:rPr>
          <w:noProof/>
          <w:lang w:val="en-US"/>
        </w:rPr>
        <w:t>(Bernasconi et al., 2018; Eiler, 2011)</w:t>
      </w:r>
      <w:r w:rsidR="00B63D91">
        <w:rPr>
          <w:lang w:val="en-US"/>
        </w:rPr>
        <w:fldChar w:fldCharType="end"/>
      </w:r>
      <w:r w:rsidRPr="002D0155">
        <w:rPr>
          <w:lang w:val="en-US"/>
        </w:rPr>
        <w:t>. The method relies on the determination of the temperature-dependent excess abundance of rare carbon and oxygen isotopes (</w:t>
      </w:r>
      <w:r w:rsidRPr="002D0155">
        <w:rPr>
          <w:vertAlign w:val="superscript"/>
          <w:lang w:val="en-US"/>
        </w:rPr>
        <w:t>13</w:t>
      </w:r>
      <w:r w:rsidRPr="002D0155">
        <w:rPr>
          <w:lang w:val="en-US"/>
        </w:rPr>
        <w:t>C-</w:t>
      </w:r>
      <w:r w:rsidRPr="002D0155">
        <w:rPr>
          <w:vertAlign w:val="superscript"/>
          <w:lang w:val="en-US"/>
        </w:rPr>
        <w:t>18</w:t>
      </w:r>
      <w:r w:rsidRPr="002D0155">
        <w:rPr>
          <w:lang w:val="en-US"/>
        </w:rPr>
        <w:t>O) bonds, so-called clumping, in the carbonate lattice which results in CO</w:t>
      </w:r>
      <w:r w:rsidRPr="002D0155">
        <w:rPr>
          <w:vertAlign w:val="subscript"/>
          <w:lang w:val="en-US"/>
        </w:rPr>
        <w:t xml:space="preserve">2 </w:t>
      </w:r>
      <w:r w:rsidRPr="002D0155">
        <w:rPr>
          <w:lang w:val="en-US"/>
        </w:rPr>
        <w:t xml:space="preserve">molecule of mass 47, </w:t>
      </w:r>
      <w:r w:rsidRPr="002D0155">
        <w:rPr>
          <w:vertAlign w:val="superscript"/>
          <w:lang w:val="en-US"/>
        </w:rPr>
        <w:t>13</w:t>
      </w:r>
      <w:r w:rsidRPr="002D0155">
        <w:rPr>
          <w:lang w:val="en-US"/>
        </w:rPr>
        <w:t>C</w:t>
      </w:r>
      <w:r w:rsidRPr="002D0155">
        <w:rPr>
          <w:vertAlign w:val="superscript"/>
          <w:lang w:val="en-US"/>
        </w:rPr>
        <w:t>18</w:t>
      </w:r>
      <w:r w:rsidRPr="002D0155">
        <w:rPr>
          <w:lang w:val="en-US"/>
        </w:rPr>
        <w:t>O</w:t>
      </w:r>
      <w:r w:rsidRPr="002D0155">
        <w:rPr>
          <w:vertAlign w:val="superscript"/>
          <w:lang w:val="en-US"/>
        </w:rPr>
        <w:t>16</w:t>
      </w:r>
      <w:r w:rsidRPr="002D0155">
        <w:rPr>
          <w:lang w:val="en-US"/>
        </w:rPr>
        <w:t>O</w:t>
      </w:r>
      <w:r w:rsidRPr="002D0155">
        <w:rPr>
          <w:vertAlign w:val="subscript"/>
          <w:lang w:val="en-US"/>
        </w:rPr>
        <w:t>2</w:t>
      </w:r>
      <w:r w:rsidRPr="002D0155">
        <w:rPr>
          <w:vertAlign w:val="superscript"/>
          <w:lang w:val="en-US"/>
        </w:rPr>
        <w:t>-2</w:t>
      </w:r>
      <w:r w:rsidRPr="002D0155">
        <w:rPr>
          <w:lang w:val="en-US"/>
        </w:rPr>
        <w:t xml:space="preserve"> ion group </w:t>
      </w:r>
      <w:r w:rsidR="00B63D91">
        <w:rPr>
          <w:lang w:val="en-US"/>
        </w:rPr>
        <w:fldChar w:fldCharType="begin" w:fldLock="1"/>
      </w:r>
      <w:r w:rsidR="00B63D91">
        <w:rPr>
          <w:lang w:val="en-US"/>
        </w:rPr>
        <w:instrText>ADDIN CSL_CITATION {"citationItems":[{"id":"ITEM-1","itemData":{"DOI":"10.1016/j.quascirev.2011.09.001","ISSN":"02773791","abstract":"Carbonate clumped isotope thermometry is a relatively new paleotemperature proxy based on measurements of the degree of ordering of 13C and 18O into bonds with each other (making the 13C18O16O2-2 ion group) in lattices of carbonate minerals. This technique has several unusual properties that complement existing methods of paleoclimate reconstruction. Most importantly, it is based on a homogeneous isotope exchange equilibrium and thus constrains temperature independent of the isotopic composition of waters from which carbonates grew. This method also appears to be generally insensitive to 'vital effects' that compromise many other paleothermometers based on the chemical properties of biominerals or organic matter, at least for those organisms that have been subjected to systematic study to-date (corals and foraminifera); however, discrepancies among some calibrations, particularly at low temperatures, may point toward the existence of vital effects in mollusks and other organisms. This review discusses the principles and calibrations of the technique, its uses in combination with conventional stable isotope measurements to constrain the δ18O of past waters, preservation of paleotemperatures in ancient materials, as well as current problems in our understanding of calibrations and interlaboratory data comparisons. © 2011 Elsevier Ltd.","author":[{"dropping-particle":"","family":"Eiler","given":"John M.","non-dropping-particle":"","parse-names":false,"suffix":""}],"container-title":"Quaternary Science Reviews","id":"ITEM-1","issue":"25-26","issued":{"date-parts":[["2011"]]},"page":"3575-3588","publisher":"Elsevier Ltd","title":"Paleoclimate reconstruction using carbonate clumped isotope thermometry","type":"article-journal","volume":"30"},"uris":["http://www.mendeley.com/documents/?uuid=45af8ae6-fdb4-4ef9-9060-4e422bd5edfa"]}],"mendeley":{"formattedCitation":"(Eiler, 2011)","plainTextFormattedCitation":"(Eiler, 2011)","previouslyFormattedCitation":"(Eiler, 2011)"},"properties":{"noteIndex":0},"schema":"https://github.com/citation-style-language/schema/raw/master/csl-citation.json"}</w:instrText>
      </w:r>
      <w:r w:rsidR="00B63D91">
        <w:rPr>
          <w:lang w:val="en-US"/>
        </w:rPr>
        <w:fldChar w:fldCharType="separate"/>
      </w:r>
      <w:r w:rsidR="00B63D91" w:rsidRPr="00B63D91">
        <w:rPr>
          <w:noProof/>
          <w:lang w:val="en-US"/>
        </w:rPr>
        <w:t>(Eiler, 2011)</w:t>
      </w:r>
      <w:r w:rsidR="00B63D91">
        <w:rPr>
          <w:lang w:val="en-US"/>
        </w:rPr>
        <w:fldChar w:fldCharType="end"/>
      </w:r>
      <w:r w:rsidRPr="002D0155">
        <w:rPr>
          <w:lang w:val="en-US"/>
        </w:rPr>
        <w:t xml:space="preserve">. The clumped isotope value, that corresponds to the difference between the excess abundance of mass 47 </w:t>
      </w:r>
      <w:proofErr w:type="spellStart"/>
      <w:r w:rsidRPr="002D0155">
        <w:rPr>
          <w:lang w:val="en-US"/>
        </w:rPr>
        <w:t>isotopologues</w:t>
      </w:r>
      <w:proofErr w:type="spellEnd"/>
      <w:r w:rsidRPr="002D0155">
        <w:rPr>
          <w:lang w:val="en-US"/>
        </w:rPr>
        <w:t xml:space="preserve"> and to a stochastic distribution in CO</w:t>
      </w:r>
      <w:r w:rsidRPr="002D0155">
        <w:rPr>
          <w:vertAlign w:val="subscript"/>
          <w:lang w:val="en-US"/>
        </w:rPr>
        <w:t>2</w:t>
      </w:r>
      <w:r w:rsidRPr="002D0155">
        <w:rPr>
          <w:lang w:val="en-US"/>
        </w:rPr>
        <w:t xml:space="preserve"> evolved from phosphoric acid digestion of carbonate, is reported as ‘Δ</w:t>
      </w:r>
      <w:r w:rsidRPr="002D0155">
        <w:rPr>
          <w:vertAlign w:val="subscript"/>
          <w:lang w:val="en-US"/>
        </w:rPr>
        <w:t>47</w:t>
      </w:r>
      <w:r w:rsidRPr="002D0155">
        <w:rPr>
          <w:lang w:val="en-US"/>
        </w:rPr>
        <w:t xml:space="preserve">’ per mil. </w:t>
      </w:r>
    </w:p>
    <w:p w:rsidR="008B27E7" w:rsidRPr="002D0155" w:rsidRDefault="008B27E7" w:rsidP="008B27E7">
      <w:pPr>
        <w:rPr>
          <w:lang w:val="en-US"/>
        </w:rPr>
      </w:pPr>
      <w:r w:rsidRPr="002D0155">
        <w:rPr>
          <w:lang w:val="en-US"/>
        </w:rPr>
        <w:t>The Δ</w:t>
      </w:r>
      <w:r w:rsidRPr="002D0155">
        <w:rPr>
          <w:vertAlign w:val="subscript"/>
          <w:lang w:val="en-US"/>
        </w:rPr>
        <w:t>47</w:t>
      </w:r>
      <w:r w:rsidRPr="002D0155">
        <w:rPr>
          <w:lang w:val="en-US"/>
        </w:rPr>
        <w:t xml:space="preserve"> value can be expressed as:</w:t>
      </w:r>
    </w:p>
    <w:p w:rsidR="008B27E7" w:rsidRPr="002D0155" w:rsidRDefault="008B27E7" w:rsidP="008B27E7">
      <w:pPr>
        <w:rPr>
          <w:rFonts w:cs="Times New Roman"/>
          <w:sz w:val="24"/>
          <w:szCs w:val="24"/>
          <w:lang w:val="en-US"/>
        </w:rPr>
      </w:pPr>
      <w:r w:rsidRPr="002D0155">
        <w:rPr>
          <w:rFonts w:cs="Times New Roman"/>
          <w:sz w:val="24"/>
          <w:szCs w:val="24"/>
          <w:lang w:val="en-US"/>
        </w:rPr>
        <w:t xml:space="preserve"> </w:t>
      </w:r>
      <m:oMath>
        <m:sSub>
          <m:sSubPr>
            <m:ctrlPr>
              <w:rPr>
                <w:rFonts w:ascii="Cambria Math" w:hAnsi="Cambria Math" w:cs="Times New Roman"/>
                <w:lang w:val="en-US"/>
              </w:rPr>
            </m:ctrlPr>
          </m:sSubPr>
          <m:e>
            <m:r>
              <w:rPr>
                <w:rFonts w:ascii="Cambria Math" w:hAnsi="Cambria Math" w:cs="Times New Roman"/>
                <w:lang w:val="en-US"/>
              </w:rPr>
              <m:t>Δ</m:t>
            </m:r>
          </m:e>
          <m:sub>
            <m:r>
              <w:rPr>
                <w:rFonts w:ascii="Cambria Math" w:hAnsi="Cambria Math" w:cs="Times New Roman"/>
                <w:lang w:val="en-US"/>
              </w:rPr>
              <m:t>47</m:t>
            </m:r>
          </m:sub>
        </m:sSub>
        <m:r>
          <w:rPr>
            <w:rFonts w:ascii="Cambria Math" w:hAnsi="Cambria Math" w:cs="Times New Roman"/>
            <w:lang w:val="en-US"/>
          </w:rPr>
          <m:t xml:space="preserve">(‰) = </m:t>
        </m:r>
        <m:d>
          <m:dPr>
            <m:begChr m:val="["/>
            <m:endChr m:val="]"/>
            <m:ctrlPr>
              <w:rPr>
                <w:rFonts w:ascii="Cambria Math" w:hAnsi="Cambria Math" w:cs="Times New Roman"/>
                <w:lang w:val="en-US"/>
              </w:rPr>
            </m:ctrlPr>
          </m:dPr>
          <m:e>
            <m:d>
              <m:dPr>
                <m:ctrlPr>
                  <w:rPr>
                    <w:rFonts w:ascii="Cambria Math" w:hAnsi="Cambria Math" w:cs="Times New Roman"/>
                    <w:lang w:val="en-US"/>
                  </w:rPr>
                </m:ctrlPr>
              </m:dPr>
              <m:e>
                <m:f>
                  <m:fPr>
                    <m:ctrlPr>
                      <w:rPr>
                        <w:rFonts w:ascii="Cambria Math" w:hAnsi="Cambria Math" w:cs="Times New Roman"/>
                        <w:lang w:val="en-US"/>
                      </w:rPr>
                    </m:ctrlPr>
                  </m:fPr>
                  <m:num>
                    <m:sSup>
                      <m:sSupPr>
                        <m:ctrlPr>
                          <w:rPr>
                            <w:rFonts w:ascii="Cambria Math" w:hAnsi="Cambria Math" w:cs="Times New Roman"/>
                            <w:lang w:val="en-US"/>
                          </w:rPr>
                        </m:ctrlPr>
                      </m:sSupPr>
                      <m:e>
                        <m:r>
                          <w:rPr>
                            <w:rFonts w:ascii="Cambria Math" w:hAnsi="Cambria Math" w:cs="Times New Roman"/>
                            <w:lang w:val="en-US"/>
                          </w:rPr>
                          <m:t>R</m:t>
                        </m:r>
                      </m:e>
                      <m:sup>
                        <m:r>
                          <w:rPr>
                            <w:rFonts w:ascii="Cambria Math" w:hAnsi="Cambria Math" w:cs="Times New Roman"/>
                            <w:lang w:val="en-US"/>
                          </w:rPr>
                          <m:t>47</m:t>
                        </m:r>
                      </m:sup>
                    </m:sSup>
                  </m:num>
                  <m:den>
                    <m:sSup>
                      <m:sSupPr>
                        <m:ctrlPr>
                          <w:rPr>
                            <w:rFonts w:ascii="Cambria Math" w:hAnsi="Cambria Math" w:cs="Times New Roman"/>
                            <w:lang w:val="en-US"/>
                          </w:rPr>
                        </m:ctrlPr>
                      </m:sSupPr>
                      <m:e>
                        <m:r>
                          <w:rPr>
                            <w:rFonts w:ascii="Cambria Math" w:hAnsi="Cambria Math" w:cs="Times New Roman"/>
                            <w:lang w:val="en-US"/>
                          </w:rPr>
                          <m:t>R</m:t>
                        </m:r>
                      </m:e>
                      <m:sup>
                        <m:r>
                          <w:rPr>
                            <w:rFonts w:ascii="Cambria Math" w:hAnsi="Cambria Math" w:cs="Times New Roman"/>
                            <w:lang w:val="en-US"/>
                          </w:rPr>
                          <m:t>47*</m:t>
                        </m:r>
                      </m:sup>
                    </m:sSup>
                  </m:den>
                </m:f>
                <m:r>
                  <w:rPr>
                    <w:rFonts w:ascii="Cambria Math" w:hAnsi="Cambria Math" w:cs="Times New Roman"/>
                    <w:lang w:val="en-US"/>
                  </w:rPr>
                  <m:t>-1</m:t>
                </m:r>
              </m:e>
            </m:d>
            <m:r>
              <w:rPr>
                <w:rFonts w:ascii="Cambria Math" w:hAnsi="Cambria Math" w:cs="Times New Roman"/>
                <w:lang w:val="en-US"/>
              </w:rPr>
              <m:t>-</m:t>
            </m:r>
            <m:d>
              <m:dPr>
                <m:ctrlPr>
                  <w:rPr>
                    <w:rFonts w:ascii="Cambria Math" w:hAnsi="Cambria Math" w:cs="Times New Roman"/>
                    <w:lang w:val="en-US"/>
                  </w:rPr>
                </m:ctrlPr>
              </m:dPr>
              <m:e>
                <m:f>
                  <m:fPr>
                    <m:ctrlPr>
                      <w:rPr>
                        <w:rFonts w:ascii="Cambria Math" w:hAnsi="Cambria Math" w:cs="Times New Roman"/>
                        <w:lang w:val="en-US"/>
                      </w:rPr>
                    </m:ctrlPr>
                  </m:fPr>
                  <m:num>
                    <m:sSup>
                      <m:sSupPr>
                        <m:ctrlPr>
                          <w:rPr>
                            <w:rFonts w:ascii="Cambria Math" w:hAnsi="Cambria Math" w:cs="Times New Roman"/>
                            <w:lang w:val="en-US"/>
                          </w:rPr>
                        </m:ctrlPr>
                      </m:sSupPr>
                      <m:e>
                        <m:r>
                          <w:rPr>
                            <w:rFonts w:ascii="Cambria Math" w:hAnsi="Cambria Math" w:cs="Times New Roman"/>
                            <w:lang w:val="en-US"/>
                          </w:rPr>
                          <m:t>R</m:t>
                        </m:r>
                      </m:e>
                      <m:sup>
                        <m:r>
                          <w:rPr>
                            <w:rFonts w:ascii="Cambria Math" w:hAnsi="Cambria Math" w:cs="Times New Roman"/>
                            <w:lang w:val="en-US"/>
                          </w:rPr>
                          <m:t>46</m:t>
                        </m:r>
                      </m:sup>
                    </m:sSup>
                  </m:num>
                  <m:den>
                    <m:sSup>
                      <m:sSupPr>
                        <m:ctrlPr>
                          <w:rPr>
                            <w:rFonts w:ascii="Cambria Math" w:hAnsi="Cambria Math" w:cs="Times New Roman"/>
                            <w:lang w:val="en-US"/>
                          </w:rPr>
                        </m:ctrlPr>
                      </m:sSupPr>
                      <m:e>
                        <m:r>
                          <w:rPr>
                            <w:rFonts w:ascii="Cambria Math" w:hAnsi="Cambria Math" w:cs="Times New Roman"/>
                            <w:lang w:val="en-US"/>
                          </w:rPr>
                          <m:t>R</m:t>
                        </m:r>
                      </m:e>
                      <m:sup>
                        <m:r>
                          <w:rPr>
                            <w:rFonts w:ascii="Cambria Math" w:hAnsi="Cambria Math" w:cs="Times New Roman"/>
                            <w:lang w:val="en-US"/>
                          </w:rPr>
                          <m:t>46*</m:t>
                        </m:r>
                      </m:sup>
                    </m:sSup>
                  </m:den>
                </m:f>
                <m:r>
                  <w:rPr>
                    <w:rFonts w:ascii="Cambria Math" w:hAnsi="Cambria Math" w:cs="Times New Roman"/>
                    <w:lang w:val="en-US"/>
                  </w:rPr>
                  <m:t>-1</m:t>
                </m:r>
              </m:e>
            </m:d>
            <m:r>
              <w:rPr>
                <w:rFonts w:ascii="Cambria Math" w:hAnsi="Cambria Math" w:cs="Times New Roman"/>
                <w:lang w:val="en-US"/>
              </w:rPr>
              <m:t>-</m:t>
            </m:r>
            <m:d>
              <m:dPr>
                <m:ctrlPr>
                  <w:rPr>
                    <w:rFonts w:ascii="Cambria Math" w:hAnsi="Cambria Math" w:cs="Times New Roman"/>
                    <w:lang w:val="en-US"/>
                  </w:rPr>
                </m:ctrlPr>
              </m:dPr>
              <m:e>
                <m:f>
                  <m:fPr>
                    <m:ctrlPr>
                      <w:rPr>
                        <w:rFonts w:ascii="Cambria Math" w:hAnsi="Cambria Math" w:cs="Times New Roman"/>
                        <w:lang w:val="en-US"/>
                      </w:rPr>
                    </m:ctrlPr>
                  </m:fPr>
                  <m:num>
                    <m:sSup>
                      <m:sSupPr>
                        <m:ctrlPr>
                          <w:rPr>
                            <w:rFonts w:ascii="Cambria Math" w:hAnsi="Cambria Math" w:cs="Times New Roman"/>
                            <w:lang w:val="en-US"/>
                          </w:rPr>
                        </m:ctrlPr>
                      </m:sSupPr>
                      <m:e>
                        <m:r>
                          <w:rPr>
                            <w:rFonts w:ascii="Cambria Math" w:hAnsi="Cambria Math" w:cs="Times New Roman"/>
                            <w:lang w:val="en-US"/>
                          </w:rPr>
                          <m:t>R</m:t>
                        </m:r>
                      </m:e>
                      <m:sup>
                        <m:r>
                          <w:rPr>
                            <w:rFonts w:ascii="Cambria Math" w:hAnsi="Cambria Math" w:cs="Times New Roman"/>
                            <w:lang w:val="en-US"/>
                          </w:rPr>
                          <m:t>45</m:t>
                        </m:r>
                      </m:sup>
                    </m:sSup>
                  </m:num>
                  <m:den>
                    <m:sSup>
                      <m:sSupPr>
                        <m:ctrlPr>
                          <w:rPr>
                            <w:rFonts w:ascii="Cambria Math" w:hAnsi="Cambria Math" w:cs="Times New Roman"/>
                            <w:lang w:val="en-US"/>
                          </w:rPr>
                        </m:ctrlPr>
                      </m:sSupPr>
                      <m:e>
                        <m:r>
                          <w:rPr>
                            <w:rFonts w:ascii="Cambria Math" w:hAnsi="Cambria Math" w:cs="Times New Roman"/>
                            <w:lang w:val="en-US"/>
                          </w:rPr>
                          <m:t>R</m:t>
                        </m:r>
                      </m:e>
                      <m:sup>
                        <m:r>
                          <w:rPr>
                            <w:rFonts w:ascii="Cambria Math" w:hAnsi="Cambria Math" w:cs="Times New Roman"/>
                            <w:lang w:val="en-US"/>
                          </w:rPr>
                          <m:t>45*</m:t>
                        </m:r>
                      </m:sup>
                    </m:sSup>
                  </m:den>
                </m:f>
                <m:r>
                  <w:rPr>
                    <w:rFonts w:ascii="Cambria Math" w:hAnsi="Cambria Math" w:cs="Times New Roman"/>
                    <w:lang w:val="en-US"/>
                  </w:rPr>
                  <m:t>-1</m:t>
                </m:r>
              </m:e>
            </m:d>
          </m:e>
        </m:d>
        <m:r>
          <w:rPr>
            <w:rFonts w:ascii="Cambria Math" w:hAnsi="Cambria Math" w:cs="Times New Roman"/>
            <w:lang w:val="en-US"/>
          </w:rPr>
          <m:t>×1000</m:t>
        </m:r>
      </m:oMath>
    </w:p>
    <w:p w:rsidR="008B27E7" w:rsidRPr="002D0155" w:rsidRDefault="008B27E7" w:rsidP="008B27E7">
      <w:pPr>
        <w:rPr>
          <w:lang w:val="en-US"/>
        </w:rPr>
      </w:pPr>
      <w:r w:rsidRPr="002D0155">
        <w:rPr>
          <w:lang w:val="en-US"/>
        </w:rPr>
        <w:t>where R</w:t>
      </w:r>
      <w:r w:rsidRPr="002D0155">
        <w:rPr>
          <w:vertAlign w:val="superscript"/>
          <w:lang w:val="en-US"/>
        </w:rPr>
        <w:t>i</w:t>
      </w:r>
      <w:r w:rsidRPr="002D0155">
        <w:rPr>
          <w:lang w:val="en-US"/>
        </w:rPr>
        <w:t xml:space="preserve"> corresponds to the mass of the minor isotopologue relative to the mass of the isotopologue of mass 44, and R</w:t>
      </w:r>
      <w:r w:rsidRPr="002D0155">
        <w:rPr>
          <w:vertAlign w:val="superscript"/>
          <w:lang w:val="en-US"/>
        </w:rPr>
        <w:t xml:space="preserve">i* </w:t>
      </w:r>
      <w:r w:rsidRPr="002D0155">
        <w:rPr>
          <w:lang w:val="en-US"/>
        </w:rPr>
        <w:t xml:space="preserve">is the expected stochastic ratios, calculated using the measured abundance of oxygen and carbon rare isotopes in the sample </w:t>
      </w:r>
      <w:r w:rsidR="00B63D91">
        <w:rPr>
          <w:lang w:val="en-US"/>
        </w:rPr>
        <w:fldChar w:fldCharType="begin" w:fldLock="1"/>
      </w:r>
      <w:r w:rsidR="00B63D91">
        <w:rPr>
          <w:lang w:val="en-US"/>
        </w:rPr>
        <w:instrText>ADDIN CSL_CITATION {"citationItems":[{"id":"ITEM-1","itemData":{"DOI":"10.1029/2017GC007385","ISSN":"15252027","abstract":"About a decade after its introduction, the field of carbonate clumped isotope thermometry is rapidly expanding because of the large number of possible applications and its potential to solve long-standing questions in Earth Sciences. Major factors limiting the application of this method are the very high analytical precision required for meaningful interpretations, the relatively complex sample preparation procedures, and the mass spectrometric corrections needed. In this paper we first briefly review the evolution of the analytical and standardization procedures and discuss the major remaining sources of uncertainty. We propose that the use of carbonate standards to project the results to the carbon dioxide equilibrium scale can improve interlaboratory data comparability and help to solve long-standing discrepancies between laboratories and temperature calibrations. The use of carbonates reduces uncertainties related to gas preparation and cleaning procedures and ensures equal treatment of samples and standards. We present a set of carbonate standards of diverse composition, discuss how they can be used to correct for mass spectrometric biases, and demonstrate that their use significantly improves the comparability among four laboratories. We propose that the use of these standards or of a similar set of carbonate standards will improve the comparability of data across laboratories.","author":[{"dropping-particle":"","family":"Bernasconi","given":"Stefano M.","non-dropping-particle":"","parse-names":false,"suffix":""},{"dropping-particle":"","family":"Müller","given":"Inigo A.","non-dropping-particle":"","parse-names":false,"suffix":""},{"dropping-particle":"","family":"Bergmann","given":"Kristin D.","non-dropping-particle":"","parse-names":false,"suffix":""},{"dropping-particle":"","family":"Breitenbach","given":"Sebastian F.M.","non-dropping-particle":"","parse-names":false,"suffix":""},{"dropping-particle":"","family":"Fernandez","given":"Alvaro","non-dropping-particle":"","parse-names":false,"suffix":""},{"dropping-particle":"","family":"Hodell","given":"David A.","non-dropping-particle":"","parse-names":false,"suffix":""},{"dropping-particle":"","family":"Jaggi","given":"Madalina","non-dropping-particle":"","parse-names":false,"suffix":""},{"dropping-particle":"","family":"Meckler","given":"Anna Nele","non-dropping-particle":"","parse-names":false,"suffix":""},{"dropping-particle":"","family":"Millan","given":"Isabel","non-dropping-particle":"","parse-names":false,"suffix":""},{"dropping-particle":"","family":"Ziegler","given":"Martin","non-dropping-particle":"","parse-names":false,"suffix":""}],"container-title":"Geochemistry, Geophysics, Geosystems","id":"ITEM-1","issue":"9","issued":{"date-parts":[["2018"]]},"page":"2895-2914","title":"Reducing Uncertainties in Carbonate Clumped Isotope Analysis Through Consistent Carbonate-Based Standardization","type":"article-journal","volume":"19"},"uris":["http://www.mendeley.com/documents/?uuid=1c873462-bfdc-4890-a606-7dbb6a2afc9d"]}],"mendeley":{"formattedCitation":"(Bernasconi et al., 2018)","plainTextFormattedCitation":"(Bernasconi et al., 2018)","previouslyFormattedCitation":"(Bernasconi et al., 2018)"},"properties":{"noteIndex":0},"schema":"https://github.com/citation-style-language/schema/raw/master/csl-citation.json"}</w:instrText>
      </w:r>
      <w:r w:rsidR="00B63D91">
        <w:rPr>
          <w:lang w:val="en-US"/>
        </w:rPr>
        <w:fldChar w:fldCharType="separate"/>
      </w:r>
      <w:r w:rsidR="00B63D91" w:rsidRPr="00B63D91">
        <w:rPr>
          <w:noProof/>
          <w:lang w:val="en-US"/>
        </w:rPr>
        <w:t>(Bernasconi et al., 2018)</w:t>
      </w:r>
      <w:r w:rsidR="00B63D91">
        <w:rPr>
          <w:lang w:val="en-US"/>
        </w:rPr>
        <w:fldChar w:fldCharType="end"/>
      </w:r>
      <w:r w:rsidRPr="002D0155">
        <w:rPr>
          <w:lang w:val="en-US"/>
        </w:rPr>
        <w:t xml:space="preserve">. </w:t>
      </w:r>
    </w:p>
    <w:p w:rsidR="008B27E7" w:rsidRPr="002D0155" w:rsidRDefault="008B27E7" w:rsidP="008B27E7">
      <w:pPr>
        <w:rPr>
          <w:lang w:val="en-US"/>
        </w:rPr>
      </w:pPr>
      <w:r w:rsidRPr="002D0155">
        <w:rPr>
          <w:lang w:val="en-US"/>
        </w:rPr>
        <w:lastRenderedPageBreak/>
        <w:t>Accordingly, the measured abundance with a mass 47 in a certain sample with regard to the mass spectrometer working gas is indicated as:</w:t>
      </w:r>
    </w:p>
    <w:p w:rsidR="008B27E7" w:rsidRPr="002D0155" w:rsidRDefault="008B27E7" w:rsidP="008B27E7">
      <w:pPr>
        <w:rPr>
          <w:rFonts w:cs="Times New Roman"/>
          <w:sz w:val="24"/>
          <w:szCs w:val="24"/>
          <w:lang w:val="en-US"/>
        </w:rPr>
      </w:pPr>
      <w:r w:rsidRPr="002D0155">
        <w:rPr>
          <w:rFonts w:cs="Times New Roman"/>
          <w:sz w:val="24"/>
          <w:szCs w:val="24"/>
          <w:vertAlign w:val="subscript"/>
          <w:lang w:val="en-US"/>
        </w:rPr>
        <w:t xml:space="preserve">  </w:t>
      </w:r>
      <m:oMath>
        <m:sSup>
          <m:sSupPr>
            <m:ctrlPr>
              <w:rPr>
                <w:rFonts w:ascii="Cambria Math" w:hAnsi="Cambria Math" w:cs="Times New Roman"/>
                <w:lang w:val="en-US"/>
              </w:rPr>
            </m:ctrlPr>
          </m:sSupPr>
          <m:e>
            <m:r>
              <w:rPr>
                <w:rFonts w:ascii="Cambria Math" w:hAnsi="Cambria Math" w:cs="Times New Roman"/>
                <w:lang w:val="en-US"/>
              </w:rPr>
              <m:t>δ</m:t>
            </m:r>
          </m:e>
          <m:sup>
            <m:r>
              <w:rPr>
                <w:rFonts w:ascii="Cambria Math" w:hAnsi="Cambria Math" w:cs="Times New Roman"/>
                <w:lang w:val="en-US"/>
              </w:rPr>
              <m:t>47</m:t>
            </m:r>
          </m:sup>
        </m:sSup>
        <m:r>
          <w:rPr>
            <w:rFonts w:ascii="Cambria Math" w:hAnsi="Cambria Math" w:cs="Times New Roman"/>
            <w:lang w:val="en-US"/>
          </w:rPr>
          <m:t xml:space="preserve">(‰) = </m:t>
        </m:r>
        <m:d>
          <m:dPr>
            <m:begChr m:val="["/>
            <m:endChr m:val="]"/>
            <m:ctrlPr>
              <w:rPr>
                <w:rFonts w:ascii="Cambria Math" w:hAnsi="Cambria Math" w:cs="Times New Roman"/>
                <w:lang w:val="en-US"/>
              </w:rPr>
            </m:ctrlPr>
          </m:dPr>
          <m:e>
            <m:d>
              <m:dPr>
                <m:ctrlPr>
                  <w:rPr>
                    <w:rFonts w:ascii="Cambria Math" w:hAnsi="Cambria Math" w:cs="Times New Roman"/>
                    <w:lang w:val="en-US"/>
                  </w:rPr>
                </m:ctrlPr>
              </m:dPr>
              <m:e>
                <m:f>
                  <m:fPr>
                    <m:ctrlPr>
                      <w:rPr>
                        <w:rFonts w:ascii="Cambria Math" w:hAnsi="Cambria Math" w:cs="Times New Roman"/>
                        <w:lang w:val="en-US"/>
                      </w:rPr>
                    </m:ctrlPr>
                  </m:fPr>
                  <m:num>
                    <m:sSub>
                      <m:sSubPr>
                        <m:ctrlPr>
                          <w:rPr>
                            <w:rFonts w:ascii="Cambria Math" w:hAnsi="Cambria Math" w:cs="Times New Roman"/>
                            <w:lang w:val="en-US"/>
                          </w:rPr>
                        </m:ctrlPr>
                      </m:sSubPr>
                      <m:e>
                        <m:sSup>
                          <m:sSupPr>
                            <m:ctrlPr>
                              <w:rPr>
                                <w:rFonts w:ascii="Cambria Math" w:hAnsi="Cambria Math" w:cs="Times New Roman"/>
                                <w:lang w:val="en-US"/>
                              </w:rPr>
                            </m:ctrlPr>
                          </m:sSupPr>
                          <m:e>
                            <m:r>
                              <w:rPr>
                                <w:rFonts w:ascii="Cambria Math" w:hAnsi="Cambria Math" w:cs="Times New Roman"/>
                                <w:lang w:val="en-US"/>
                              </w:rPr>
                              <m:t>R</m:t>
                            </m:r>
                          </m:e>
                          <m:sup>
                            <m:r>
                              <w:rPr>
                                <w:rFonts w:ascii="Cambria Math" w:hAnsi="Cambria Math" w:cs="Times New Roman"/>
                                <w:lang w:val="en-US"/>
                              </w:rPr>
                              <m:t>47</m:t>
                            </m:r>
                          </m:sup>
                        </m:sSup>
                      </m:e>
                      <m:sub>
                        <m:r>
                          <w:rPr>
                            <w:rFonts w:ascii="Cambria Math" w:hAnsi="Cambria Math" w:cs="Times New Roman"/>
                            <w:lang w:val="en-US"/>
                          </w:rPr>
                          <m:t>sample</m:t>
                        </m:r>
                      </m:sub>
                    </m:sSub>
                  </m:num>
                  <m:den>
                    <m:sSub>
                      <m:sSubPr>
                        <m:ctrlPr>
                          <w:rPr>
                            <w:rFonts w:ascii="Cambria Math" w:hAnsi="Cambria Math" w:cs="Times New Roman"/>
                            <w:lang w:val="en-US"/>
                          </w:rPr>
                        </m:ctrlPr>
                      </m:sSubPr>
                      <m:e>
                        <m:sSup>
                          <m:sSupPr>
                            <m:ctrlPr>
                              <w:rPr>
                                <w:rFonts w:ascii="Cambria Math" w:hAnsi="Cambria Math" w:cs="Times New Roman"/>
                                <w:lang w:val="en-US"/>
                              </w:rPr>
                            </m:ctrlPr>
                          </m:sSupPr>
                          <m:e>
                            <m:r>
                              <w:rPr>
                                <w:rFonts w:ascii="Cambria Math" w:hAnsi="Cambria Math" w:cs="Times New Roman"/>
                                <w:lang w:val="en-US"/>
                              </w:rPr>
                              <m:t>R</m:t>
                            </m:r>
                          </m:e>
                          <m:sup>
                            <m:r>
                              <w:rPr>
                                <w:rFonts w:ascii="Cambria Math" w:hAnsi="Cambria Math" w:cs="Times New Roman"/>
                                <w:lang w:val="en-US"/>
                              </w:rPr>
                              <m:t>47</m:t>
                            </m:r>
                          </m:sup>
                        </m:sSup>
                      </m:e>
                      <m:sub>
                        <m:r>
                          <w:rPr>
                            <w:rFonts w:ascii="Cambria Math" w:hAnsi="Cambria Math" w:cs="Times New Roman"/>
                            <w:lang w:val="en-US"/>
                          </w:rPr>
                          <m:t>working gas</m:t>
                        </m:r>
                      </m:sub>
                    </m:sSub>
                  </m:den>
                </m:f>
              </m:e>
            </m:d>
            <m:r>
              <w:rPr>
                <w:rFonts w:ascii="Cambria Math" w:hAnsi="Cambria Math" w:cs="Times New Roman"/>
                <w:lang w:val="en-US"/>
              </w:rPr>
              <m:t>-1</m:t>
            </m:r>
          </m:e>
        </m:d>
        <m:r>
          <w:rPr>
            <w:rFonts w:ascii="Cambria Math" w:hAnsi="Cambria Math" w:cs="Times New Roman"/>
            <w:lang w:val="en-US"/>
          </w:rPr>
          <m:t>×1000</m:t>
        </m:r>
      </m:oMath>
      <w:r w:rsidRPr="002D0155">
        <w:rPr>
          <w:rFonts w:cs="Times New Roman"/>
          <w:sz w:val="24"/>
          <w:szCs w:val="24"/>
          <w:vertAlign w:val="subscript"/>
          <w:lang w:val="en-US"/>
        </w:rPr>
        <w:t xml:space="preserve">       </w:t>
      </w:r>
    </w:p>
    <w:p w:rsidR="008B27E7" w:rsidRPr="002D0155" w:rsidRDefault="008B27E7" w:rsidP="008B27E7">
      <w:pPr>
        <w:rPr>
          <w:rFonts w:cs="Times New Roman"/>
          <w:sz w:val="24"/>
          <w:szCs w:val="24"/>
          <w:lang w:val="en-US"/>
        </w:rPr>
      </w:pPr>
      <w:r w:rsidRPr="002D0155">
        <w:rPr>
          <w:rFonts w:cs="Times New Roman"/>
          <w:sz w:val="24"/>
          <w:szCs w:val="24"/>
          <w:lang w:val="en-US"/>
        </w:rPr>
        <w:t xml:space="preserve"> </w:t>
      </w:r>
    </w:p>
    <w:p w:rsidR="008B27E7" w:rsidRPr="002D0155" w:rsidRDefault="008B27E7" w:rsidP="008B27E7">
      <w:pPr>
        <w:rPr>
          <w:lang w:val="en-US"/>
        </w:rPr>
      </w:pPr>
      <w:r w:rsidRPr="002D0155">
        <w:rPr>
          <w:lang w:val="en-US"/>
        </w:rPr>
        <w:t>Geochemical data were performed at the Joint Goethe University-</w:t>
      </w:r>
      <w:proofErr w:type="spellStart"/>
      <w:r w:rsidRPr="002D0155">
        <w:rPr>
          <w:lang w:val="en-US"/>
        </w:rPr>
        <w:t>Senckenberg</w:t>
      </w:r>
      <w:proofErr w:type="spellEnd"/>
      <w:r w:rsidRPr="002D0155">
        <w:rPr>
          <w:lang w:val="en-US"/>
        </w:rPr>
        <w:t xml:space="preserve"> </w:t>
      </w:r>
      <w:proofErr w:type="spellStart"/>
      <w:r w:rsidRPr="002D0155">
        <w:rPr>
          <w:lang w:val="en-US"/>
        </w:rPr>
        <w:t>BiK</w:t>
      </w:r>
      <w:proofErr w:type="spellEnd"/>
      <w:r w:rsidRPr="002D0155">
        <w:rPr>
          <w:lang w:val="en-US"/>
        </w:rPr>
        <w:t xml:space="preserve">-F Stable Isotope Facility (Frankfurt, Germany). Measurements were applied on a Kiel IV Carbonate Device paired to a MAT 253plus IRMS. Our analytical methods generally follow the methodology reported in previous work </w:t>
      </w:r>
      <w:r w:rsidR="00B63D91">
        <w:rPr>
          <w:lang w:val="en-US"/>
        </w:rPr>
        <w:fldChar w:fldCharType="begin" w:fldLock="1"/>
      </w:r>
      <w:r w:rsidR="00B63D91">
        <w:rPr>
          <w:lang w:val="en-US"/>
        </w:rPr>
        <w:instrText>ADDIN CSL_CITATION {"citationItems":[{"id":"ITEM-1","itemData":{"DOI":"10.1029/2017GC007385","ISSN":"15252027","abstract":"About a decade after its introduction, the field of carbonate clumped isotope thermometry is rapidly expanding because of the large number of possible applications and its potential to solve long-standing questions in Earth Sciences. Major factors limiting the application of this method are the very high analytical precision required for meaningful interpretations, the relatively complex sample preparation procedures, and the mass spectrometric corrections needed. In this paper we first briefly review the evolution of the analytical and standardization procedures and discuss the major remaining sources of uncertainty. We propose that the use of carbonate standards to project the results to the carbon dioxide equilibrium scale can improve interlaboratory data comparability and help to solve long-standing discrepancies between laboratories and temperature calibrations. The use of carbonates reduces uncertainties related to gas preparation and cleaning procedures and ensures equal treatment of samples and standards. We present a set of carbonate standards of diverse composition, discuss how they can be used to correct for mass spectrometric biases, and demonstrate that their use significantly improves the comparability among four laboratories. We propose that the use of these standards or of a similar set of carbonate standards will improve the comparability of data across laboratories.","author":[{"dropping-particle":"","family":"Bernasconi","given":"Stefano M.","non-dropping-particle":"","parse-names":false,"suffix":""},{"dropping-particle":"","family":"Müller","given":"Inigo A.","non-dropping-particle":"","parse-names":false,"suffix":""},{"dropping-particle":"","family":"Bergmann","given":"Kristin D.","non-dropping-particle":"","parse-names":false,"suffix":""},{"dropping-particle":"","family":"Breitenbach","given":"Sebastian F.M.","non-dropping-particle":"","parse-names":false,"suffix":""},{"dropping-particle":"","family":"Fernandez","given":"Alvaro","non-dropping-particle":"","parse-names":false,"suffix":""},{"dropping-particle":"","family":"Hodell","given":"David A.","non-dropping-particle":"","parse-names":false,"suffix":""},{"dropping-particle":"","family":"Jaggi","given":"Madalina","non-dropping-particle":"","parse-names":false,"suffix":""},{"dropping-particle":"","family":"Meckler","given":"Anna Nele","non-dropping-particle":"","parse-names":false,"suffix":""},{"dropping-particle":"","family":"Millan","given":"Isabel","non-dropping-particle":"","parse-names":false,"suffix":""},{"dropping-particle":"","family":"Ziegler","given":"Martin","non-dropping-particle":"","parse-names":false,"suffix":""}],"container-title":"Geochemistry, Geophysics, Geosystems","id":"ITEM-1","issue":"9","issued":{"date-parts":[["2018"]]},"page":"2895-2914","title":"Reducing Uncertainties in Carbonate Clumped Isotope Analysis Through Consistent Carbonate-Based Standardization","type":"article-journal","volume":"19"},"uris":["http://www.mendeley.com/documents/?uuid=1c873462-bfdc-4890-a606-7dbb6a2afc9d"]},{"id":"ITEM-2","itemData":{"DOI":"10.1002/rcm.7878","ISSN":"10970231","PMID":"28402589","abstract":"Rationale: Clumped isotope analyses (Δ47) of carbonates by dual inlet (DI) mass spectrometry require long integration times to reach the necessary high precision due to the low abundance of the rare isotopologue 13C18O16O. Traditional DI protocols reach this only with large amounts of sample and/or a large number of replicates as a large portion of the analyte gas is wasted. We tested an improved analytical workflow that significantly reduces the sample sizes and total analysis time per sample while preserving precision and accuracy. Methods: We implemented the LIDI (long-integration dual-inlet) protocol to measure carbonates in micro-volume mode using a Kiel IV carbonate device coupled to a Thermo Scientific 253 Plus isotope ratio mass spectrometer without the new 1013 ohm amplifier technology. The LIDI protocol includes a single measurement of the sample gas (600 s integration) followed by a single measurement of the working gas (WG) with the same integration time. Results: The Δ47 measurements of four calcite standards over a period of 5 weeks demonstrate excellent long-term stability with a standard deviation of ±0.021 to ±0.025 ‰ for the final values of the individual aliquots. The Δ47 analyses of a coral, four foraminifera and a calcite precipitated in the laboratory demonstrate that 14 replicates of 90 to 120 μg are sufficient to achieve an external precision of ±0.007 ‰ (1SE) or of ±0.013 ‰ at the 95% confidence level. Conclusions: This study demonstrates that by using a Kiel IV–253 Plus system with LIDI it is possible to achieve the same analytical precision as conventional DI measurements with at least a factor of 40 less sample material. With the new 1013 ohm resistor technology there is the potential to reduce the required sample material even more. This opens new avenues of research in paleoceanography, paleoclimatology, low-temperature diagenesis and other currently sample size limited applications. Copyright © 2017 John Wiley &amp; Sons, Ltd.","author":[{"dropping-particle":"","family":"Müller","given":"Inigo A.","non-dropping-particle":"","parse-names":false,"suffix":""},{"dropping-particle":"","family":"Fernandez","given":"Alvaro","non-dropping-particle":"","parse-names":false,"suffix":""},{"dropping-particle":"","family":"Radke","given":"Jens","non-dropping-particle":"","parse-names":false,"suffix":""},{"dropping-particle":"","family":"Dijk","given":"Joep","non-dropping-particle":"van","parse-names":false,"suffix":""},{"dropping-particle":"","family":"Bowen","given":"Devon","non-dropping-particle":"","parse-names":false,"suffix":""},{"dropping-particle":"","family":"Schwieters","given":"Johannes","non-dropping-particle":"","parse-names":false,"suffix":""},{"dropping-particle":"","family":"Bernasconi","given":"Stefano M.","non-dropping-particle":"","parse-names":false,"suffix":""}],"container-title":"Rapid Communications in Mass Spectrometry","id":"ITEM-2","issue":"12","issued":{"date-parts":[["2017"]]},"page":"1057-1066","title":"Carbonate clumped isotope analyses with the long-integration dual-inlet (LIDI) workflow: scratching at the lower sample weight boundaries","type":"article-journal","volume":"31"},"uris":["http://www.mendeley.com/documents/?uuid=ee37bc92-e906-451b-b826-a41aa7592137"]},{"id":"ITEM-3","itemData":{"DOI":"10.1002/rcm.9656","author":[{"dropping-particle":"","family":"Tagliavento","given":"Mattia","non-dropping-particle":"","parse-names":false,"suffix":""},{"dropping-particle":"","family":"Hofmann","given":"Sven","non-dropping-particle":"","parse-names":false,"suffix":""},{"dropping-particle":"","family":"Böttcher","given":"Michael Ernst","non-dropping-particle":"","parse-names":false,"suffix":""},{"dropping-particle":"","family":"Peltz","given":"Markus","non-dropping-particle":"","parse-names":false,"suffix":""},{"dropping-particle":"","family":"Fiebig","given":"Jens","non-dropping-particle":"","parse-names":false,"suffix":""}],"container-title":"Rapid Commun Mass Spectrom.","id":"ITEM-3","issued":{"date-parts":[["2023"]]},"page":"1-14","title":"Clumped isotope analysis of ( bio ) apatite using a Kiel IV device in long-integration dual-inlet mode","type":"article-journal","volume":"37"},"uris":["http://www.mendeley.com/documents/?uuid=ddad56a0-839c-47c5-97c2-b3a27b2370d1"]}],"mendeley":{"formattedCitation":"(Bernasconi et al., 2018; Müller et al., 2017; Tagliavento et al., 2023)","plainTextFormattedCitation":"(Bernasconi et al., 2018; Müller et al., 2017; Tagliavento et al., 2023)","previouslyFormattedCitation":"(Bernasconi et al., 2018; Müller et al., 2017; Tagliavento et al., 2023)"},"properties":{"noteIndex":0},"schema":"https://github.com/citation-style-language/schema/raw/master/csl-citation.json"}</w:instrText>
      </w:r>
      <w:r w:rsidR="00B63D91">
        <w:rPr>
          <w:lang w:val="en-US"/>
        </w:rPr>
        <w:fldChar w:fldCharType="separate"/>
      </w:r>
      <w:r w:rsidR="00B63D91" w:rsidRPr="00B63D91">
        <w:rPr>
          <w:noProof/>
          <w:lang w:val="en-US"/>
        </w:rPr>
        <w:t>(Bernasconi et al., 2018; Müller et al., 2017; Tagliavento et al., 2023)</w:t>
      </w:r>
      <w:r w:rsidR="00B63D91">
        <w:rPr>
          <w:lang w:val="en-US"/>
        </w:rPr>
        <w:fldChar w:fldCharType="end"/>
      </w:r>
      <w:r w:rsidRPr="002D0155">
        <w:rPr>
          <w:lang w:val="en-US"/>
        </w:rPr>
        <w:t xml:space="preserve">. The Kiel device was modified from its original configuration by adding two water sinks and a different heating-cooling system on the purification trap </w:t>
      </w:r>
      <w:r w:rsidR="00B63D91">
        <w:rPr>
          <w:lang w:val="en-US"/>
        </w:rPr>
        <w:fldChar w:fldCharType="begin" w:fldLock="1"/>
      </w:r>
      <w:r w:rsidR="00B63D91">
        <w:rPr>
          <w:lang w:val="en-US"/>
        </w:rPr>
        <w:instrText>ADDIN CSL_CITATION {"citationItems":[{"id":"ITEM-1","itemData":{"DOI":"10.1002/rcm.9656","author":[{"dropping-particle":"","family":"Tagliavento","given":"Mattia","non-dropping-particle":"","parse-names":false,"suffix":""},{"dropping-particle":"","family":"Hofmann","given":"Sven","non-dropping-particle":"","parse-names":false,"suffix":""},{"dropping-particle":"","family":"Böttcher","given":"Michael Ernst","non-dropping-particle":"","parse-names":false,"suffix":""},{"dropping-particle":"","family":"Peltz","given":"Markus","non-dropping-particle":"","parse-names":false,"suffix":""},{"dropping-particle":"","family":"Fiebig","given":"Jens","non-dropping-particle":"","parse-names":false,"suffix":""}],"container-title":"Rapid Commun Mass Spectrom.","id":"ITEM-1","issued":{"date-parts":[["2023"]]},"page":"1-14","title":"Clumped isotope analysis of ( bio ) apatite using a Kiel IV device in long-integration dual-inlet mode","type":"article-journal","volume":"37"},"uris":["http://www.mendeley.com/documents/?uuid=ddad56a0-839c-47c5-97c2-b3a27b2370d1"]}],"mendeley":{"formattedCitation":"(Tagliavento et al., 2023)","manualFormatting":"(see Tagliavento et al., 2023)","plainTextFormattedCitation":"(Tagliavento et al., 2023)","previouslyFormattedCitation":"(Tagliavento et al., 2023)"},"properties":{"noteIndex":0},"schema":"https://github.com/citation-style-language/schema/raw/master/csl-citation.json"}</w:instrText>
      </w:r>
      <w:r w:rsidR="00B63D91">
        <w:rPr>
          <w:lang w:val="en-US"/>
        </w:rPr>
        <w:fldChar w:fldCharType="separate"/>
      </w:r>
      <w:r w:rsidR="00B63D91" w:rsidRPr="00B63D91">
        <w:rPr>
          <w:noProof/>
          <w:lang w:val="en-US"/>
        </w:rPr>
        <w:t>(</w:t>
      </w:r>
      <w:r w:rsidR="00B63D91">
        <w:rPr>
          <w:noProof/>
          <w:lang w:val="en-US"/>
        </w:rPr>
        <w:t xml:space="preserve">see </w:t>
      </w:r>
      <w:r w:rsidR="00B63D91" w:rsidRPr="00B63D91">
        <w:rPr>
          <w:noProof/>
          <w:lang w:val="en-US"/>
        </w:rPr>
        <w:t>Tagliavento et al., 2023)</w:t>
      </w:r>
      <w:r w:rsidR="00B63D91">
        <w:rPr>
          <w:lang w:val="en-US"/>
        </w:rPr>
        <w:fldChar w:fldCharType="end"/>
      </w:r>
      <w:r w:rsidRPr="002D0155">
        <w:rPr>
          <w:lang w:val="en-US"/>
        </w:rPr>
        <w:t xml:space="preserve">. After cutting and drilling at low speed each sample, for each replicate and depending on the carbonate content, 90 to 190 µg of powdered sample was reacted with 105% orthophosphoric acid at 70ºC for 5 minutes starting from the last acid drop. In each sequence, ETH carbonate standards </w:t>
      </w:r>
      <w:r w:rsidR="00B63D91">
        <w:rPr>
          <w:lang w:val="en-US"/>
        </w:rPr>
        <w:fldChar w:fldCharType="begin" w:fldLock="1"/>
      </w:r>
      <w:r w:rsidR="00B63D91">
        <w:rPr>
          <w:lang w:val="en-US"/>
        </w:rPr>
        <w:instrText>ADDIN CSL_CITATION {"citationItems":[{"id":"ITEM-1","itemData":{"DOI":"10.1029/2020GC009588","ISSN":"15252027","abstract":"Increased use and improved methodology of carbonate clumped isotope thermometry has greatly enhanced our ability to interrogate a suite of Earth-system processes. However, interlaboratory discrepancies in quantifying carbonate clumped isotope (Δ47) measurements persist, and their specific sources remain unclear. To address interlaboratory differences, we first provide consensus values from the clumped isotope community for four carbonate standards relative to heated and equilibrated gases with 1,819 individual analyses from 10 laboratories. Then we analyzed the four carbonate standards along with three additional standards, spanning a broad range of δ47 and Δ47 values, for a total of 5,329 analyses on 25 individual mass spectrometers from 22 different laboratories. Treating three of the materials as known standards and the other four as unknowns, we find that the use of carbonate reference materials is a robust method for standardization that yields interlaboratory discrepancies entirely consistent with intralaboratory analytical uncertainties. Carbonate reference materials, along with measurement and data processing practices described herein, provide the carbonate clumped isotope community with a robust approach to achieve interlaboratory agreement as we continue to use and improve this powerful geochemical tool. We propose that carbonate clumped isotope data normalized to the carbonate reference materials described in this publication should be reported as Δ47 (I-CDES) values for Intercarb-Carbon Dioxide Equilibrium Scale.","author":[{"dropping-particle":"","family":"Bernasconi","given":"S. M.","non-dropping-particle":"","parse-names":false,"suffix":""},{"dropping-particle":"","family":"Daëron","given":"M.","non-dropping-particle":"","parse-names":false,"suffix":""},{"dropping-particle":"","family":"Bergmann","given":"K. D.","non-dropping-particle":"","parse-names":false,"suffix":""},{"dropping-particle":"","family":"Bonifacie","given":"M.","non-dropping-particle":"","parse-names":false,"suffix":""},{"dropping-particle":"","family":"Meckler","given":"A. N.","non-dropping-particle":"","parse-names":false,"suffix":""},{"dropping-particle":"","family":"Affek","given":"H. P.","non-dropping-particle":"","parse-names":false,"suffix":""},{"dropping-particle":"","family":"Anderson","given":"N.","non-dropping-particle":"","parse-names":false,"suffix":""},{"dropping-particle":"","family":"Bajnai","given":"D.","non-dropping-particle":"","parse-names":false,"suffix":""},{"dropping-particle":"","family":"Barkan","given":"E.","non-dropping-particle":"","parse-names":false,"suffix":""},{"dropping-particle":"","family":"Beverly","given":"E.","non-dropping-particle":"","parse-names":false,"suffix":""},{"dropping-particle":"","family":"Blamart","given":"D.","non-dropping-particle":"","parse-names":false,"suffix":""},{"dropping-particle":"","family":"Burgener","given":"L.","non-dropping-particle":"","parse-names":false,"suffix":""},{"dropping-particle":"","family":"Calmels","given":"D.","non-dropping-particle":"","parse-names":false,"suffix":""},{"dropping-particle":"","family":"Chaduteau","given":"C.","non-dropping-particle":"","parse-names":false,"suffix":""},{"dropping-particle":"","family":"Clog","given":"M.","non-dropping-particle":"","parse-names":false,"suffix":""},{"dropping-particle":"","family":"Davidheiser-Kroll","given":"B.","non-dropping-particle":"","parse-names":false,"suffix":""},{"dropping-particle":"","family":"Davies","given":"A.","non-dropping-particle":"","parse-names":false,"suffix":""},{"dropping-particle":"","family":"Dux","given":"F.","non-dropping-particle":"","parse-names":false,"suffix":""},{"dropping-particle":"","family":"Eiler","given":"J.","non-dropping-particle":"","parse-names":false,"suffix":""},{"dropping-particle":"","family":"Elliott","given":"B.","non-dropping-particle":"","parse-names":false,"suffix":""},{"dropping-particle":"","family":"Fetrow","given":"A. C.","non-dropping-particle":"","parse-names":false,"suffix":""},{"dropping-particle":"","family":"Fiebig","given":"J.","non-dropping-particle":"","parse-names":false,"suffix":""},{"dropping-particle":"","family":"Goldberg","given":"S.","non-dropping-particle":"","parse-names":false,"suffix":""},{"dropping-particle":"","family":"Hermoso","given":"M.","non-dropping-particle":"","parse-names":false,"suffix":""},{"dropping-particle":"","family":"Huntington","given":"K. W.","non-dropping-particle":"","parse-names":false,"suffix":""},{"dropping-particle":"","family":"Hyland","given":"E.","non-dropping-particle":"","parse-names":false,"suffix":""},{"dropping-particle":"","family":"Ingalls","given":"M.","non-dropping-particle":"","parse-names":false,"suffix":""},{"dropping-particle":"","family":"Jaggi","given":"M.","non-dropping-particle":"","parse-names":false,"suffix":""},{"dropping-particle":"","family":"John","given":"C. M.","non-dropping-particle":"","parse-names":false,"suffix":""},{"dropping-particle":"","family":"Jost","given":"A. B.","non-dropping-particle":"","parse-names":false,"suffix":""},{"dropping-particle":"","family":"Katz","given":"S.","non-dropping-particle":"","parse-names":false,"suffix":""},{"dropping-particle":"","family":"Kelson","given":"J.","non-dropping-particle":"","parse-names":false,"suffix":""},{"dropping-particle":"","family":"Kluge","given":"T.","non-dropping-particle":"","parse-names":false,"suffix":""},{"dropping-particle":"","family":"Kocken","given":"I. J.","non-dropping-particle":"","parse-names":false,"suffix":""},{"dropping-particle":"","family":"Laskar","given":"A.","non-dropping-particle":"","parse-names":false,"suffix":""},{"dropping-particle":"","family":"Leutert","given":"T. J.","non-dropping-particle":"","parse-names":false,"suffix":""},{"dropping-particle":"","family":"Liang","given":"D.","non-dropping-particle":"","parse-names":false,"suffix":""},{"dropping-particle":"","family":"Lucarelli","given":"J.","non-dropping-particle":"","parse-names":false,"suffix":""},{"dropping-particle":"","family":"Mackey","given":"T. J.","non-dropping-particle":"","parse-names":false,"suffix":""},{"dropping-particle":"","family":"Mangenot","given":"X.","non-dropping-particle":"","parse-names":false,"suffix":""},{"dropping-particle":"","family":"Meinicke","given":"N.","non-dropping-particle":"","parse-names":false,"suffix":""},{"dropping-particle":"","family":"Modestou","given":"S. E.","non-dropping-particle":"","parse-names":false,"suffix":""},{"dropping-particle":"","family":"Müller","given":"I. A.","non-dropping-particle":"","parse-names":false,"suffix":""},{"dropping-particle":"","family":"Murray","given":"S.","non-dropping-particle":"","parse-names":false,"suffix":""},{"dropping-particle":"","family":"Neary","given":"A.","non-dropping-particle":"","parse-names":false,"suffix":""},{"dropping-particle":"","family":"Packard","given":"N.","non-dropping-particle":"","parse-names":false,"suffix":""},{"dropping-particle":"","family":"Passey","given":"B. H.","non-dropping-particle":"","parse-names":false,"suffix":""},{"dropping-particle":"","family":"Pelletier","given":"E.","non-dropping-particle":"","parse-names":false,"suffix":""},{"dropping-particle":"","family":"Petersen","given":"S.","non-dropping-particle":"","parse-names":false,"suffix":""},{"dropping-particle":"","family":"Piasecki","given":"A.","non-dropping-particle":"","parse-names":false,"suffix":""},{"dropping-particle":"","family":"Schauer","given":"A.","non-dropping-particle":"","parse-names":false,"suffix":""},{"dropping-particle":"","family":"Snell","given":"K. E.","non-dropping-particle":"","parse-names":false,"suffix":""},{"dropping-particle":"","family":"Swart","given":"P. K.","non-dropping-particle":"","parse-names":false,"suffix":""},{"dropping-particle":"","family":"Tripati","given":"A.","non-dropping-particle":"","parse-names":false,"suffix":""},{"dropping-particle":"","family":"Upadhyay","given":"D.","non-dropping-particle":"","parse-names":false,"suffix":""},{"dropping-particle":"","family":"Vennemann","given":"T.","non-dropping-particle":"","parse-names":false,"suffix":""},{"dropping-particle":"","family":"Winkelstern","given":"I.","non-dropping-particle":"","parse-names":false,"suffix":""},{"dropping-particle":"","family":"Yarian","given":"D.","non-dropping-particle":"","parse-names":false,"suffix":""},{"dropping-particle":"","family":"Yoshida","given":"N.","non-dropping-particle":"","parse-names":false,"suffix":""},{"dropping-particle":"","family":"Zhang","given":"N.","non-dropping-particle":"","parse-names":false,"suffix":""},{"dropping-particle":"","family":"Ziegler","given":"M.","non-dropping-particle":"","parse-names":false,"suffix":""}],"container-title":"Geochemistry, Geophysics, Geosystems","id":"ITEM-1","issue":"5","issued":{"date-parts":[["2021"]]},"page":"1-25","title":"InterCarb: A Community Effort to Improve Interlaboratory Standardization of the Carbonate Clumped Isotope Thermometer Using Carbonate Standards","type":"article-journal","volume":"22"},"uris":["http://www.mendeley.com/documents/?uuid=9d5b9f6f-d6f0-4c56-9690-52637f496247"]}],"mendeley":{"formattedCitation":"(Bernasconi et al., 2021)","plainTextFormattedCitation":"(Bernasconi et al., 2021)","previouslyFormattedCitation":"(Bernasconi et al., 2021)"},"properties":{"noteIndex":0},"schema":"https://github.com/citation-style-language/schema/raw/master/csl-citation.json"}</w:instrText>
      </w:r>
      <w:r w:rsidR="00B63D91">
        <w:rPr>
          <w:lang w:val="en-US"/>
        </w:rPr>
        <w:fldChar w:fldCharType="separate"/>
      </w:r>
      <w:r w:rsidR="00B63D91" w:rsidRPr="00B63D91">
        <w:rPr>
          <w:noProof/>
          <w:lang w:val="en-US"/>
        </w:rPr>
        <w:t>(Bernasconi et al., 2021)</w:t>
      </w:r>
      <w:r w:rsidR="00B63D91">
        <w:rPr>
          <w:lang w:val="en-US"/>
        </w:rPr>
        <w:fldChar w:fldCharType="end"/>
      </w:r>
      <w:r w:rsidR="00B63D91">
        <w:rPr>
          <w:lang w:val="en-US"/>
        </w:rPr>
        <w:t xml:space="preserve"> </w:t>
      </w:r>
      <w:r w:rsidRPr="002D0155">
        <w:rPr>
          <w:lang w:val="en-US"/>
        </w:rPr>
        <w:t>were measured for half of the analyses, with ETH</w:t>
      </w:r>
      <w:r w:rsidR="00985759">
        <w:rPr>
          <w:lang w:val="en-US"/>
        </w:rPr>
        <w:t xml:space="preserve"> </w:t>
      </w:r>
      <w:r w:rsidRPr="002D0155">
        <w:rPr>
          <w:lang w:val="en-US"/>
        </w:rPr>
        <w:t>1, 2 and 3 run respectively in a relative distribution of 1:1:2, and ETH4 analyzed less frequently and treated as an unknown sample. Raw intensity data was corrected for the negative pressure baseline using the m/z</w:t>
      </w:r>
      <w:r w:rsidRPr="002D0155">
        <w:rPr>
          <w:vertAlign w:val="subscript"/>
          <w:lang w:val="en-US"/>
        </w:rPr>
        <w:t>47.5</w:t>
      </w:r>
      <w:r w:rsidRPr="002D0155">
        <w:rPr>
          <w:rFonts w:eastAsia="Arial Unicode MS"/>
          <w:lang w:val="en-US"/>
        </w:rPr>
        <w:t xml:space="preserve"> signal and scaling factor method </w:t>
      </w:r>
      <w:r w:rsidR="00B63D91">
        <w:rPr>
          <w:rFonts w:eastAsia="Arial Unicode MS"/>
          <w:lang w:val="en-US"/>
        </w:rPr>
        <w:fldChar w:fldCharType="begin" w:fldLock="1"/>
      </w:r>
      <w:r w:rsidR="00B63D91">
        <w:rPr>
          <w:rFonts w:eastAsia="Arial Unicode MS"/>
          <w:lang w:val="en-US"/>
        </w:rPr>
        <w:instrText>ADDIN CSL_CITATION {"citationItems":[{"id":"ITEM-1","itemData":{"DOI":"10.1016/j.gca.2021.07.012","ISSN":"00167037","abstract":"The Δ47 (paleo)thermometer has opened a new avenue to determine carbonate formation temperatures independent of the oxygen isotopic composition of the fluid from which the carbonate crystallized. A major limitation of this thermometer is related to kinetic effects if homogeneous isotopic equilibrium is not attained during carbonate precipitation. Dual clumped isotope thermometry – the high-precision analysis of Δ48 along with Δ47 in CO2 evolved from phosphoric acid digestion of carbonates – makes it possible to resolve temperature from the kinetic information recorded in an individual carbonate phase. Therefore, it provides a new opportunity to identify (bio)mineralization pathways and to determine carbonate formation temperatures devoid of a kinetic bias, based solely on isotopic analysis of a single carbonate phase. Identification of the nature and extent of kinetic effects as well as the reconstruction of accurate formation temperatures requires knowledge of the position of equilibrium in Δ47 vs Δ48 space. Here, we present Δ47 and Δ48 data of carbonates that were previously considered as having crystallized closest to equilibrium in a temperature range of 8 to 1100 °C. Across this range, the temperature dependences of Δ47 and Δ48 are best expressed by the following fourth order polynomials of 1/T: Δ47 (CDES 90) (‰) = 1.038 (−5.897 1/T − 3.521 103 1/T2 + 2.391 107 1/T3 − 3.541 109 1/T4) + 0.1856 Δ48 (CDES 90) (‰) = 1.028 (6.002 1/T − 1.299 104 1/T2 + 8.996 106 1/T3 − 7.423 108 1/T4) + 0.1245 with CDES 90 representing the Carbon Dioxide Equilibrium Scale at a reaction temperature of 90 °C. In its entire temperature range, our Δ47 (CDES 90) - T - relationship agrees within 2 ppm with two previous Δ47 (I-CDES) - T - relationships reported by Jautzy et al. (2020) and Anderson et al. (2021). Accuracy of our proposed Δ47 (CDES 90) − Δ48 (CDES 90) equilibrium relationship is independently confirmed by additional dual clumped isotope data of experimental and geothermal carbonates which precipitated from potentially equilibrated dissolved inorganic carbon pools at a temperature range of 25–100 °C. Furthermore, we reprocessed original dual clumped isotope data of natural carbonates (Bajnai et al., 2020) and compared their composition to the position of equilibrium in Δ47 vs Δ48 space. These results corroborate preliminary evidence that the hydration/hydroxylation reactions became rate-limiting during the calcification of a speleothem-like sample, a warm water c…","author":[{"dropping-particle":"","family":"Fiebig","given":"Jens","non-dropping-particle":"","parse-names":false,"suffix":""},{"dropping-particle":"","family":"Daëron","given":"Mathieu","non-dropping-particle":"","parse-names":false,"suffix":""},{"dropping-particle":"","family":"Bernecker","given":"Miguel","non-dropping-particle":"","parse-names":false,"suffix":""},{"dropping-particle":"","family":"Guo","given":"Weifu","non-dropping-particle":"","parse-names":false,"suffix":""},{"dropping-particle":"","family":"Schneider","given":"Gaby","non-dropping-particle":"","parse-names":false,"suffix":""},{"dropping-particle":"","family":"Boch","given":"Ronny","non-dropping-particle":"","parse-names":false,"suffix":""},{"dropping-particle":"","family":"Bernasconi","given":"Stefano M.","non-dropping-particle":"","parse-names":false,"suffix":""},{"dropping-particle":"","family":"Jautzy","given":"Josue","non-dropping-particle":"","parse-names":false,"suffix":""},{"dropping-particle":"","family":"Dietzel","given":"Martin","non-dropping-particle":"","parse-names":false,"suffix":""}],"container-title":"Geochimica et Cosmochimica Acta","id":"ITEM-1","issued":{"date-parts":[["2021"]]},"page":"235-256","title":"Calibration of the dual clumped isotope thermometer for carbonates","type":"article-journal","volume":"312"},"uris":["http://www.mendeley.com/documents/?uuid=2feb01e3-26e3-44a6-a29d-31533e503032"]},{"id":"ITEM-2","itemData":{"DOI":"10.1016/j.chemgeo.2023.121803","ISSN":"00092541","abstract":"Analysis of ∆48 and ∆47 values of CO2 released from phosphoric acid digestion of carbonates enables the rate-limiting kinetic processes involved in carbonate mineralization to be identified and formation temperatures to be determined by accounting for these kinetic biases. This method has the benefit of only requiring analysis of a single carbonate phase. To resolve temperature from the kinetic information, mass spectrometric measurements of highest accuracy and precision are required. Here, we outline a robust methodology for high-precision triple (∆47, ∆48, ∆49) clumped isotope analysis using turbo-pumped gas and carbonate preparation lines, a common acid bath and the dual inlet of a Thermo Scientific 253plus gas source mass spectrometer, equipped with additional m/z47.5 half mass cup. By analysis of &gt;400 replicates each, we report long-term (50 months) ∆47, CDES 90 and ∆48, CDES 90 values for three internationally accepted (ETH-1, -2 and -3) and two internal carbonate standards (GU1, Carrara) unbiased by scale compression. In order to obtain highest accuracy and precisions closest to shot noise limit it is essential to account for a sample size effect, correct raw intensities for a negative background utilizing the half mass cup, avoid pressure imbalances between sample and reference gas and distribute samples evenly across a given analytical session. We confirm ∆47, CDES 90 values that were recently assigned to ETH-1 and ETH-2. Our long-term average ∆47, CDES 90 value of 0.6032 ‰ for ETH-3, on the contrary, occurs 10 ppm lower than its recently assigned value. As a consequence, ∆47, CDES 90 values of samples having relatively low temperatures of formation are not consistent with ∆47, I-CDES values. We show that GU1, a synthetic carbonate deriving from the hydroxylation of CO2 and exhibiting a strong anti-clumped ∆48, CDES 90 value, appears to be homogeneous in its isotopic composition. If used in combination with ETH-1, −2 and − 3, it may allow projection of background corrected raw data without any bias into ∆47-∆48 CDES 90 space, provided our long-term dual clumped isotope values for these carbonate anchors are considered. Stability of mass spectrometric measurements is related to filament age and/or room temperature fluctuations and can be monitored using reference gas m/z49 intensity. Under the most stable analytical conditions, the ∆49, CDES 90 values of equilibrated gases and carbonates reveal a trend with formation temperature. Using data fro…","author":[{"dropping-particle":"","family":"Bernecker","given":"Miguel","non-dropping-particle":"","parse-names":false,"suffix":""},{"dropping-particle":"","family":"Hofmann","given":"Sven","non-dropping-particle":"","parse-names":false,"suffix":""},{"dropping-particle":"","family":"Staudigel","given":"Philip Tauxe","non-dropping-particle":"","parse-names":false,"suffix":""},{"dropping-particle":"","family":"Davies","given":"Amelia Jane","non-dropping-particle":"","parse-names":false,"suffix":""},{"dropping-particle":"","family":"Tagliavento","given":"Mattia","non-dropping-particle":"","parse-names":false,"suffix":""},{"dropping-particle":"","family":"Meijer","given":"Niels","non-dropping-particle":"","parse-names":false,"suffix":""},{"dropping-particle":"","family":"Ballian","given":"Armelle","non-dropping-particle":"","parse-names":false,"suffix":""},{"dropping-particle":"","family":"Fiebig","given":"Jens","non-dropping-particle":"","parse-names":false,"suffix":""}],"container-title":"Chemical Geology","id":"ITEM-2","issue":"July","issued":{"date-parts":[["2023"]]},"page":"121803","publisher":"Elsevier B.V.","title":"A robust methodology for triple (∆47, ∆48, ∆49) clumped isotope analysis of carbonates","type":"article-journal","volume":"642"},"uris":["http://www.mendeley.com/documents/?uuid=f102abc3-82b3-4fad-ab24-d43b456f4a83"]}],"mendeley":{"formattedCitation":"(Bernecker et al., 2023; Fiebig et al., 2021)","plainTextFormattedCitation":"(Bernecker et al., 2023; Fiebig et al., 2021)","previouslyFormattedCitation":"(Bernecker et al., 2023; Fiebig et al., 2021)"},"properties":{"noteIndex":0},"schema":"https://github.com/citation-style-language/schema/raw/master/csl-citation.json"}</w:instrText>
      </w:r>
      <w:r w:rsidR="00B63D91">
        <w:rPr>
          <w:rFonts w:eastAsia="Arial Unicode MS"/>
          <w:lang w:val="en-US"/>
        </w:rPr>
        <w:fldChar w:fldCharType="separate"/>
      </w:r>
      <w:r w:rsidR="00B63D91" w:rsidRPr="00B63D91">
        <w:rPr>
          <w:rFonts w:eastAsia="Arial Unicode MS"/>
          <w:noProof/>
          <w:lang w:val="en-US"/>
        </w:rPr>
        <w:t>(Bernecker et al., 2023; Fiebig et al., 2021)</w:t>
      </w:r>
      <w:r w:rsidR="00B63D91">
        <w:rPr>
          <w:rFonts w:eastAsia="Arial Unicode MS"/>
          <w:lang w:val="en-US"/>
        </w:rPr>
        <w:fldChar w:fldCharType="end"/>
      </w:r>
      <w:r w:rsidRPr="002D0155">
        <w:rPr>
          <w:rFonts w:eastAsia="Arial Unicode MS"/>
          <w:lang w:val="en-US"/>
        </w:rPr>
        <w:t xml:space="preserve"> applied on ETH-1 and ETH-2. Standardization was carried out by utilizing D47crunch </w:t>
      </w:r>
      <w:r w:rsidR="00B63D91">
        <w:rPr>
          <w:rFonts w:eastAsia="Arial Unicode MS"/>
          <w:lang w:val="en-US"/>
        </w:rPr>
        <w:fldChar w:fldCharType="begin" w:fldLock="1"/>
      </w:r>
      <w:r w:rsidR="00B63D91">
        <w:rPr>
          <w:rFonts w:eastAsia="Arial Unicode MS"/>
          <w:lang w:val="en-US"/>
        </w:rPr>
        <w:instrText>ADDIN CSL_CITATION {"citationItems":[{"id":"ITEM-1","itemData":{"DOI":"10.1029/2020GC009592","ISSN":"15252027","abstract":"Clumped-isotope measurements in CO2 and carbonates (Δ47) present a number of technical challenges and require correcting for various sources of analytical nonlinearity. For now, we lack a formal description of the analytical errors associated with these correction steps, which are not accounted for in most data processing methods currently in use. Here we formulate a quantitative description of Δ47 error propagation, fully taking into account standardization errors and their properties. We find that standardization errors are highly sensitive to the isotopic compositions (δ47, Δ47) of unknown samples relative to the standards used for analytical corrections, and in many cases constitute a non-negligible source of uncertainty, causing true measurements errors to exceed traditionally reported error estimates by a factor of 1.5 (typically) to 3.5 (in extreme cases). Using Monte Carlo simulations based on the full InterCarb data set, we find that this model yields accurate error estimates in spite of small non-Gaussian effects which remain entirely negligible in practice. We also describe various standardization strategies, along with the assumptions they rely on, in the context of this model, and propose a new, “pooled” standardization approach designed to yield more robust/accurate corrections. Among other uses, the mathematical framework described here may be helpful to improve standardization protocols (e.g., anchor/unknown ratios) and inform future efforts to define community reference materials. What is more, these models imply that the inter-laboratory scatter (N = 5,329) observed in the InterCarb exercise (Bernasconi, Daëron, et al., 2021) can be entirely explained as the effects of current standardization procedures. Based on these findings, we recommend that future studies systematically report full analytical uncertainties taking standardization errors into account. In line with this recommendation, we provide user-friendly online resources and an open-source Python library designed to facilitate the use of these error models.","author":[{"dropping-particle":"","family":"Daëron","given":"Mathieu","non-dropping-particle":"","parse-names":false,"suffix":""}],"container-title":"Geochemistry, Geophysics, Geosystems","id":"ITEM-1","issue":"5","issued":{"date-parts":[["2021"]]},"page":"1-19","title":"Full Propagation of Analytical Uncertainties in Δ47 Measurements","type":"article-journal","volume":"22"},"uris":["http://www.mendeley.com/documents/?uuid=cab0427d-ab50-463e-bba6-13db79f26bde"]}],"mendeley":{"formattedCitation":"(Daëron, 2021)","plainTextFormattedCitation":"(Daëron, 2021)","previouslyFormattedCitation":"(Daëron, 2021)"},"properties":{"noteIndex":0},"schema":"https://github.com/citation-style-language/schema/raw/master/csl-citation.json"}</w:instrText>
      </w:r>
      <w:r w:rsidR="00B63D91">
        <w:rPr>
          <w:rFonts w:eastAsia="Arial Unicode MS"/>
          <w:lang w:val="en-US"/>
        </w:rPr>
        <w:fldChar w:fldCharType="separate"/>
      </w:r>
      <w:r w:rsidR="00B63D91" w:rsidRPr="00B63D91">
        <w:rPr>
          <w:rFonts w:eastAsia="Arial Unicode MS"/>
          <w:noProof/>
          <w:lang w:val="en-US"/>
        </w:rPr>
        <w:t>(Daëron, 2021)</w:t>
      </w:r>
      <w:r w:rsidR="00B63D91">
        <w:rPr>
          <w:rFonts w:eastAsia="Arial Unicode MS"/>
          <w:lang w:val="en-US"/>
        </w:rPr>
        <w:fldChar w:fldCharType="end"/>
      </w:r>
      <w:r w:rsidR="00B63D91">
        <w:rPr>
          <w:rFonts w:eastAsia="Arial Unicode MS"/>
          <w:lang w:val="en-US"/>
        </w:rPr>
        <w:t xml:space="preserve"> </w:t>
      </w:r>
      <w:r w:rsidRPr="002D0155">
        <w:rPr>
          <w:rFonts w:eastAsia="Arial Unicode MS"/>
          <w:lang w:val="en-US"/>
        </w:rPr>
        <w:t>in pooled sessions mode with ETH standards as carbonate anchors (∆</w:t>
      </w:r>
      <w:r w:rsidRPr="002D0155">
        <w:rPr>
          <w:vertAlign w:val="subscript"/>
          <w:lang w:val="en-US"/>
        </w:rPr>
        <w:t>47 I-CDES</w:t>
      </w:r>
      <w:r w:rsidRPr="002D0155">
        <w:rPr>
          <w:lang w:val="en-US"/>
        </w:rPr>
        <w:t xml:space="preserve">, </w:t>
      </w:r>
      <w:r w:rsidR="00B63D91">
        <w:rPr>
          <w:lang w:val="en-US"/>
        </w:rPr>
        <w:fldChar w:fldCharType="begin" w:fldLock="1"/>
      </w:r>
      <w:r w:rsidR="00B63D91">
        <w:rPr>
          <w:lang w:val="en-US"/>
        </w:rPr>
        <w:instrText>ADDIN CSL_CITATION {"citationItems":[{"id":"ITEM-1","itemData":{"DOI":"10.1029/2020GC009588","ISSN":"15252027","abstract":"Increased use and improved methodology of carbonate clumped isotope thermometry has greatly enhanced our ability to interrogate a suite of Earth-system processes. However, interlaboratory discrepancies in quantifying carbonate clumped isotope (Δ47) measurements persist, and their specific sources remain unclear. To address interlaboratory differences, we first provide consensus values from the clumped isotope community for four carbonate standards relative to heated and equilibrated gases with 1,819 individual analyses from 10 laboratories. Then we analyzed the four carbonate standards along with three additional standards, spanning a broad range of δ47 and Δ47 values, for a total of 5,329 analyses on 25 individual mass spectrometers from 22 different laboratories. Treating three of the materials as known standards and the other four as unknowns, we find that the use of carbonate reference materials is a robust method for standardization that yields interlaboratory discrepancies entirely consistent with intralaboratory analytical uncertainties. Carbonate reference materials, along with measurement and data processing practices described herein, provide the carbonate clumped isotope community with a robust approach to achieve interlaboratory agreement as we continue to use and improve this powerful geochemical tool. We propose that carbonate clumped isotope data normalized to the carbonate reference materials described in this publication should be reported as Δ47 (I-CDES) values for Intercarb-Carbon Dioxide Equilibrium Scale.","author":[{"dropping-particle":"","family":"Bernasconi","given":"S. M.","non-dropping-particle":"","parse-names":false,"suffix":""},{"dropping-particle":"","family":"Daëron","given":"M.","non-dropping-particle":"","parse-names":false,"suffix":""},{"dropping-particle":"","family":"Bergmann","given":"K. D.","non-dropping-particle":"","parse-names":false,"suffix":""},{"dropping-particle":"","family":"Bonifacie","given":"M.","non-dropping-particle":"","parse-names":false,"suffix":""},{"dropping-particle":"","family":"Meckler","given":"A. N.","non-dropping-particle":"","parse-names":false,"suffix":""},{"dropping-particle":"","family":"Affek","given":"H. P.","non-dropping-particle":"","parse-names":false,"suffix":""},{"dropping-particle":"","family":"Anderson","given":"N.","non-dropping-particle":"","parse-names":false,"suffix":""},{"dropping-particle":"","family":"Bajnai","given":"D.","non-dropping-particle":"","parse-names":false,"suffix":""},{"dropping-particle":"","family":"Barkan","given":"E.","non-dropping-particle":"","parse-names":false,"suffix":""},{"dropping-particle":"","family":"Beverly","given":"E.","non-dropping-particle":"","parse-names":false,"suffix":""},{"dropping-particle":"","family":"Blamart","given":"D.","non-dropping-particle":"","parse-names":false,"suffix":""},{"dropping-particle":"","family":"Burgener","given":"L.","non-dropping-particle":"","parse-names":false,"suffix":""},{"dropping-particle":"","family":"Calmels","given":"D.","non-dropping-particle":"","parse-names":false,"suffix":""},{"dropping-particle":"","family":"Chaduteau","given":"C.","non-dropping-particle":"","parse-names":false,"suffix":""},{"dropping-particle":"","family":"Clog","given":"M.","non-dropping-particle":"","parse-names":false,"suffix":""},{"dropping-particle":"","family":"Davidheiser-Kroll","given":"B.","non-dropping-particle":"","parse-names":false,"suffix":""},{"dropping-particle":"","family":"Davies","given":"A.","non-dropping-particle":"","parse-names":false,"suffix":""},{"dropping-particle":"","family":"Dux","given":"F.","non-dropping-particle":"","parse-names":false,"suffix":""},{"dropping-particle":"","family":"Eiler","given":"J.","non-dropping-particle":"","parse-names":false,"suffix":""},{"dropping-particle":"","family":"Elliott","given":"B.","non-dropping-particle":"","parse-names":false,"suffix":""},{"dropping-particle":"","family":"Fetrow","given":"A. C.","non-dropping-particle":"","parse-names":false,"suffix":""},{"dropping-particle":"","family":"Fiebig","given":"J.","non-dropping-particle":"","parse-names":false,"suffix":""},{"dropping-particle":"","family":"Goldberg","given":"S.","non-dropping-particle":"","parse-names":false,"suffix":""},{"dropping-particle":"","family":"Hermoso","given":"M.","non-dropping-particle":"","parse-names":false,"suffix":""},{"dropping-particle":"","family":"Huntington","given":"K. W.","non-dropping-particle":"","parse-names":false,"suffix":""},{"dropping-particle":"","family":"Hyland","given":"E.","non-dropping-particle":"","parse-names":false,"suffix":""},{"dropping-particle":"","family":"Ingalls","given":"M.","non-dropping-particle":"","parse-names":false,"suffix":""},{"dropping-particle":"","family":"Jaggi","given":"M.","non-dropping-particle":"","parse-names":false,"suffix":""},{"dropping-particle":"","family":"John","given":"C. M.","non-dropping-particle":"","parse-names":false,"suffix":""},{"dropping-particle":"","family":"Jost","given":"A. B.","non-dropping-particle":"","parse-names":false,"suffix":""},{"dropping-particle":"","family":"Katz","given":"S.","non-dropping-particle":"","parse-names":false,"suffix":""},{"dropping-particle":"","family":"Kelson","given":"J.","non-dropping-particle":"","parse-names":false,"suffix":""},{"dropping-particle":"","family":"Kluge","given":"T.","non-dropping-particle":"","parse-names":false,"suffix":""},{"dropping-particle":"","family":"Kocken","given":"I. J.","non-dropping-particle":"","parse-names":false,"suffix":""},{"dropping-particle":"","family":"Laskar","given":"A.","non-dropping-particle":"","parse-names":false,"suffix":""},{"dropping-particle":"","family":"Leutert","given":"T. J.","non-dropping-particle":"","parse-names":false,"suffix":""},{"dropping-particle":"","family":"Liang","given":"D.","non-dropping-particle":"","parse-names":false,"suffix":""},{"dropping-particle":"","family":"Lucarelli","given":"J.","non-dropping-particle":"","parse-names":false,"suffix":""},{"dropping-particle":"","family":"Mackey","given":"T. J.","non-dropping-particle":"","parse-names":false,"suffix":""},{"dropping-particle":"","family":"Mangenot","given":"X.","non-dropping-particle":"","parse-names":false,"suffix":""},{"dropping-particle":"","family":"Meinicke","given":"N.","non-dropping-particle":"","parse-names":false,"suffix":""},{"dropping-particle":"","family":"Modestou","given":"S. E.","non-dropping-particle":"","parse-names":false,"suffix":""},{"dropping-particle":"","family":"Müller","given":"I. A.","non-dropping-particle":"","parse-names":false,"suffix":""},{"dropping-particle":"","family":"Murray","given":"S.","non-dropping-particle":"","parse-names":false,"suffix":""},{"dropping-particle":"","family":"Neary","given":"A.","non-dropping-particle":"","parse-names":false,"suffix":""},{"dropping-particle":"","family":"Packard","given":"N.","non-dropping-particle":"","parse-names":false,"suffix":""},{"dropping-particle":"","family":"Passey","given":"B. H.","non-dropping-particle":"","parse-names":false,"suffix":""},{"dropping-particle":"","family":"Pelletier","given":"E.","non-dropping-particle":"","parse-names":false,"suffix":""},{"dropping-particle":"","family":"Petersen","given":"S.","non-dropping-particle":"","parse-names":false,"suffix":""},{"dropping-particle":"","family":"Piasecki","given":"A.","non-dropping-particle":"","parse-names":false,"suffix":""},{"dropping-particle":"","family":"Schauer","given":"A.","non-dropping-particle":"","parse-names":false,"suffix":""},{"dropping-particle":"","family":"Snell","given":"K. E.","non-dropping-particle":"","parse-names":false,"suffix":""},{"dropping-particle":"","family":"Swart","given":"P. K.","non-dropping-particle":"","parse-names":false,"suffix":""},{"dropping-particle":"","family":"Tripati","given":"A.","non-dropping-particle":"","parse-names":false,"suffix":""},{"dropping-particle":"","family":"Upadhyay","given":"D.","non-dropping-particle":"","parse-names":false,"suffix":""},{"dropping-particle":"","family":"Vennemann","given":"T.","non-dropping-particle":"","parse-names":false,"suffix":""},{"dropping-particle":"","family":"Winkelstern","given":"I.","non-dropping-particle":"","parse-names":false,"suffix":""},{"dropping-particle":"","family":"Yarian","given":"D.","non-dropping-particle":"","parse-names":false,"suffix":""},{"dropping-particle":"","family":"Yoshida","given":"N.","non-dropping-particle":"","parse-names":false,"suffix":""},{"dropping-particle":"","family":"Zhang","given":"N.","non-dropping-particle":"","parse-names":false,"suffix":""},{"dropping-particle":"","family":"Ziegler","given":"M.","non-dropping-particle":"","parse-names":false,"suffix":""}],"container-title":"Geochemistry, Geophysics, Geosystems","id":"ITEM-1","issue":"5","issued":{"date-parts":[["2021"]]},"page":"1-25","title":"InterCarb: A Community Effort to Improve Interlaboratory Standardization of the Carbonate Clumped Isotope Thermometer Using Carbonate Standards","type":"article-journal","volume":"22"},"uris":["http://www.mendeley.com/documents/?uuid=9d5b9f6f-d6f0-4c56-9690-52637f496247"]}],"mendeley":{"formattedCitation":"(Bernasconi et al., 2021)","manualFormatting":"Bernasconi et al., 2021)","plainTextFormattedCitation":"(Bernasconi et al., 2021)","previouslyFormattedCitation":"(Bernasconi et al., 2021)"},"properties":{"noteIndex":0},"schema":"https://github.com/citation-style-language/schema/raw/master/csl-citation.json"}</w:instrText>
      </w:r>
      <w:r w:rsidR="00B63D91">
        <w:rPr>
          <w:lang w:val="en-US"/>
        </w:rPr>
        <w:fldChar w:fldCharType="separate"/>
      </w:r>
      <w:r w:rsidR="00B63D91" w:rsidRPr="00B63D91">
        <w:rPr>
          <w:noProof/>
          <w:lang w:val="en-US"/>
        </w:rPr>
        <w:t>Bernasconi et al., 2021)</w:t>
      </w:r>
      <w:r w:rsidR="00B63D91">
        <w:rPr>
          <w:lang w:val="en-US"/>
        </w:rPr>
        <w:fldChar w:fldCharType="end"/>
      </w:r>
      <w:r w:rsidRPr="002D0155">
        <w:rPr>
          <w:lang w:val="en-US"/>
        </w:rPr>
        <w:t>. The resulting Δ</w:t>
      </w:r>
      <w:r w:rsidRPr="002D0155">
        <w:rPr>
          <w:vertAlign w:val="subscript"/>
          <w:lang w:val="en-US"/>
        </w:rPr>
        <w:t xml:space="preserve">47 </w:t>
      </w:r>
      <w:r w:rsidRPr="002D0155">
        <w:rPr>
          <w:lang w:val="en-US"/>
        </w:rPr>
        <w:t xml:space="preserve">values were converted into temperature using the calibration from </w:t>
      </w:r>
      <w:r w:rsidR="00B63D91">
        <w:rPr>
          <w:lang w:val="en-US"/>
        </w:rPr>
        <w:fldChar w:fldCharType="begin" w:fldLock="1"/>
      </w:r>
      <w:r w:rsidR="00B63D91">
        <w:rPr>
          <w:lang w:val="en-US"/>
        </w:rPr>
        <w:instrText>ADDIN CSL_CITATION {"citationItems":[{"id":"ITEM-1","itemData":{"DOI":"10.1029/2020GL092069","ISSN":"19448007","abstract":"The potential for carbonate clumped isotope thermometry to independently constrain both the formation temperature of carbonate minerals and fluid oxygen isotope composition allows insight into long-standing questions in the Earth sciences, but remaining discrepancies between calibration schemes hamper interpretation of temperature measurements. To address discrepancies between calibrations, we designed and analyzed a sample suite (41 total samples) with broad applicability across the geosciences, with an exceptionally wide range of formation temperatures, precipitation methods, and mineralogies. We see no statistically significant offset between sample types, although the comparison of calcite and dolomite remains inconclusive. When data are reduced identically, the regression defined by this study is nearly identical to that defined by four previous calibration studies that used carbonate-based standardization; we combine these data to present a composite carbonate-standardized regression equation. Agreement across a wide range of temperature and sample types demonstrates a unified, broadly applicable clumped isotope thermometer calibration.","author":[{"dropping-particle":"","family":"Anderson","given":"N. T.","non-dropping-particle":"","parse-names":false,"suffix":""},{"dropping-particle":"","family":"Kelson","given":"J. R.","non-dropping-particle":"","parse-names":false,"suffix":""},{"dropping-particle":"","family":"Kele","given":"S.","non-dropping-particle":"","parse-names":false,"suffix":""},{"dropping-particle":"","family":"Daëron","given":"M.","non-dropping-particle":"","parse-names":false,"suffix":""},{"dropping-particle":"","family":"Bonifacie","given":"M.","non-dropping-particle":"","parse-names":false,"suffix":""},{"dropping-particle":"","family":"Horita","given":"J.","non-dropping-particle":"","parse-names":false,"suffix":""},{"dropping-particle":"","family":"Mackey","given":"T. J.","non-dropping-particle":"","parse-names":false,"suffix":""},{"dropping-particle":"","family":"John","given":"C. M.","non-dropping-particle":"","parse-names":false,"suffix":""},{"dropping-particle":"","family":"Kluge","given":"T.","non-dropping-particle":"","parse-names":false,"suffix":""},{"dropping-particle":"","family":"Petschnig","given":"P.","non-dropping-particle":"","parse-names":false,"suffix":""},{"dropping-particle":"","family":"Jost","given":"A. B.","non-dropping-particle":"","parse-names":false,"suffix":""},{"dropping-particle":"","family":"Huntington","given":"K. W.","non-dropping-particle":"","parse-names":false,"suffix":""},{"dropping-particle":"","family":"Bernasconi","given":"S. M.","non-dropping-particle":"","parse-names":false,"suffix":""},{"dropping-particle":"","family":"Bergmann","given":"K. D.","non-dropping-particle":"","parse-names":false,"suffix":""}],"container-title":"Geophysical Research Letters","id":"ITEM-1","issue":"7","issued":{"date-parts":[["2021"]]},"page":"1-11","title":"A Unified Clumped Isotope Thermometer Calibration (0.5–1,100°C) Using Carbonate-Based Standardization","type":"article-journal","volume":"48"},"uris":["http://www.mendeley.com/documents/?uuid=80a33355-a0fc-4439-9a32-eb3b4aa0f3a3"]}],"mendeley":{"formattedCitation":"(Anderson et al., 2021)","manualFormatting":"Anderson et al. (2021)","plainTextFormattedCitation":"(Anderson et al., 2021)","previouslyFormattedCitation":"(Anderson et al., 2021)"},"properties":{"noteIndex":0},"schema":"https://github.com/citation-style-language/schema/raw/master/csl-citation.json"}</w:instrText>
      </w:r>
      <w:r w:rsidR="00B63D91">
        <w:rPr>
          <w:lang w:val="en-US"/>
        </w:rPr>
        <w:fldChar w:fldCharType="separate"/>
      </w:r>
      <w:r w:rsidR="00B63D91" w:rsidRPr="00B63D91">
        <w:rPr>
          <w:noProof/>
          <w:lang w:val="en-US"/>
        </w:rPr>
        <w:t>Anderson et al.</w:t>
      </w:r>
      <w:r w:rsidR="00B63D91">
        <w:rPr>
          <w:noProof/>
          <w:lang w:val="en-US"/>
        </w:rPr>
        <w:t xml:space="preserve"> (</w:t>
      </w:r>
      <w:r w:rsidR="00B63D91" w:rsidRPr="00B63D91">
        <w:rPr>
          <w:noProof/>
          <w:lang w:val="en-US"/>
        </w:rPr>
        <w:t>2021)</w:t>
      </w:r>
      <w:r w:rsidR="00B63D91">
        <w:rPr>
          <w:lang w:val="en-US"/>
        </w:rPr>
        <w:fldChar w:fldCharType="end"/>
      </w:r>
      <w:r w:rsidRPr="002D0155">
        <w:rPr>
          <w:lang w:val="en-US"/>
        </w:rPr>
        <w:t>:</w:t>
      </w:r>
    </w:p>
    <w:p w:rsidR="008B27E7" w:rsidRPr="002D0155" w:rsidRDefault="00000000" w:rsidP="008B27E7">
      <w:pPr>
        <w:rPr>
          <w:rFonts w:cs="Times New Roman"/>
          <w:sz w:val="24"/>
          <w:szCs w:val="24"/>
          <w:lang w:val="en-US"/>
        </w:rPr>
      </w:pPr>
      <m:oMathPara>
        <m:oMath>
          <m:sSub>
            <m:sSubPr>
              <m:ctrlPr>
                <w:rPr>
                  <w:rFonts w:ascii="Cambria Math" w:hAnsi="Cambria Math" w:cs="Times New Roman"/>
                  <w:lang w:val="en-US"/>
                </w:rPr>
              </m:ctrlPr>
            </m:sSubPr>
            <m:e>
              <m:r>
                <w:rPr>
                  <w:rFonts w:ascii="Cambria Math" w:hAnsi="Cambria Math" w:cs="Times New Roman"/>
                  <w:lang w:val="en-US"/>
                </w:rPr>
                <m:t>∆</m:t>
              </m:r>
            </m:e>
            <m:sub>
              <m:r>
                <w:rPr>
                  <w:rFonts w:ascii="Cambria Math" w:hAnsi="Cambria Math" w:cs="Times New Roman"/>
                  <w:lang w:val="en-US"/>
                </w:rPr>
                <m:t>47(I-CDES90ºC)</m:t>
              </m:r>
            </m:sub>
          </m:sSub>
          <m:r>
            <w:rPr>
              <w:rFonts w:ascii="Cambria Math" w:hAnsi="Cambria Math" w:cs="Times New Roman"/>
              <w:lang w:val="en-US"/>
            </w:rPr>
            <m:t>= 0.0391 ± 0.0004 ×</m:t>
          </m:r>
          <m:f>
            <m:fPr>
              <m:ctrlPr>
                <w:rPr>
                  <w:rFonts w:ascii="Cambria Math" w:hAnsi="Cambria Math" w:cs="Times New Roman"/>
                  <w:lang w:val="en-US"/>
                </w:rPr>
              </m:ctrlPr>
            </m:fPr>
            <m:num>
              <m:sSup>
                <m:sSupPr>
                  <m:ctrlPr>
                    <w:rPr>
                      <w:rFonts w:ascii="Cambria Math" w:hAnsi="Cambria Math" w:cs="Times New Roman"/>
                      <w:lang w:val="en-US"/>
                    </w:rPr>
                  </m:ctrlPr>
                </m:sSupPr>
                <m:e>
                  <m:r>
                    <w:rPr>
                      <w:rFonts w:ascii="Cambria Math" w:hAnsi="Cambria Math" w:cs="Times New Roman"/>
                      <w:lang w:val="en-US"/>
                    </w:rPr>
                    <m:t>10</m:t>
                  </m:r>
                </m:e>
                <m:sup>
                  <m:r>
                    <w:rPr>
                      <w:rFonts w:ascii="Cambria Math" w:hAnsi="Cambria Math" w:cs="Times New Roman"/>
                      <w:lang w:val="en-US"/>
                    </w:rPr>
                    <m:t>6</m:t>
                  </m:r>
                </m:sup>
              </m:sSup>
            </m:num>
            <m:den>
              <m:sSup>
                <m:sSupPr>
                  <m:ctrlPr>
                    <w:rPr>
                      <w:rFonts w:ascii="Cambria Math" w:hAnsi="Cambria Math" w:cs="Times New Roman"/>
                      <w:lang w:val="en-US"/>
                    </w:rPr>
                  </m:ctrlPr>
                </m:sSupPr>
                <m:e>
                  <m:r>
                    <w:rPr>
                      <w:rFonts w:ascii="Cambria Math" w:hAnsi="Cambria Math" w:cs="Times New Roman"/>
                      <w:lang w:val="en-US"/>
                    </w:rPr>
                    <m:t>T</m:t>
                  </m:r>
                </m:e>
                <m:sup>
                  <m:r>
                    <w:rPr>
                      <w:rFonts w:ascii="Cambria Math" w:hAnsi="Cambria Math" w:cs="Times New Roman"/>
                      <w:lang w:val="en-US"/>
                    </w:rPr>
                    <m:t>2</m:t>
                  </m:r>
                </m:sup>
              </m:sSup>
            </m:den>
          </m:f>
          <m:r>
            <w:rPr>
              <w:rFonts w:ascii="Cambria Math" w:hAnsi="Cambria Math" w:cs="Times New Roman"/>
              <w:lang w:val="en-US"/>
            </w:rPr>
            <m:t>+ 0.154 ± 0.0004</m:t>
          </m:r>
        </m:oMath>
      </m:oMathPara>
    </w:p>
    <w:p w:rsidR="008B27E7" w:rsidRPr="002D0155" w:rsidRDefault="008B27E7" w:rsidP="008B27E7">
      <w:pPr>
        <w:rPr>
          <w:lang w:val="en-US"/>
        </w:rPr>
      </w:pPr>
      <w:r w:rsidRPr="002D0155">
        <w:rPr>
          <w:lang w:val="en-US"/>
        </w:rPr>
        <w:t xml:space="preserve">Each sample was measured in 8 to 18 replicates and the errors are reported as both 68% (1SE) and 95% (2SE) confidence intervals. </w:t>
      </w:r>
    </w:p>
    <w:p w:rsidR="008B27E7" w:rsidRPr="002D0155" w:rsidRDefault="004C0A4B" w:rsidP="00272656">
      <w:pPr>
        <w:rPr>
          <w:lang w:val="en-US"/>
        </w:rPr>
      </w:pPr>
      <w:r>
        <w:rPr>
          <w:lang w:val="en-US"/>
        </w:rPr>
        <w:t>Raw carbonate</w:t>
      </w:r>
      <w:r w:rsidR="00272656">
        <w:rPr>
          <w:lang w:val="en-US"/>
        </w:rPr>
        <w:t xml:space="preserve"> stable isotope data and summary of clumped isotope </w:t>
      </w:r>
      <w:r>
        <w:rPr>
          <w:lang w:val="en-US"/>
        </w:rPr>
        <w:t xml:space="preserve">measurements </w:t>
      </w:r>
      <w:r w:rsidR="00272656">
        <w:rPr>
          <w:lang w:val="en-US"/>
        </w:rPr>
        <w:t>can be downloaded as separate supplementary files.</w:t>
      </w:r>
    </w:p>
    <w:p w:rsidR="008B27E7" w:rsidRPr="002D0155" w:rsidRDefault="0067478A" w:rsidP="008B27E7">
      <w:pPr>
        <w:pStyle w:val="Heading1"/>
        <w:rPr>
          <w:lang w:val="en-US"/>
        </w:rPr>
      </w:pPr>
      <w:bookmarkStart w:id="2" w:name="_i6vb56jcvbos" w:colFirst="0" w:colLast="0"/>
      <w:bookmarkEnd w:id="2"/>
      <w:r>
        <w:rPr>
          <w:lang w:val="en-US"/>
        </w:rPr>
        <w:t>S</w:t>
      </w:r>
      <w:r w:rsidR="008B27E7" w:rsidRPr="002D0155">
        <w:rPr>
          <w:lang w:val="en-US"/>
        </w:rPr>
        <w:t xml:space="preserve">3.    Carbon and oxygen isotopic values </w:t>
      </w:r>
    </w:p>
    <w:p w:rsidR="004A3863" w:rsidRDefault="008B27E7" w:rsidP="008B27E7">
      <w:pPr>
        <w:rPr>
          <w:lang w:val="en-US"/>
        </w:rPr>
      </w:pPr>
      <w:r w:rsidRPr="002D0155">
        <w:rPr>
          <w:lang w:val="en-US"/>
        </w:rPr>
        <w:t>Carbon and oxygen isotopic values (</w:t>
      </w:r>
      <w:r w:rsidRPr="002D0155">
        <w:rPr>
          <w:rFonts w:ascii="Cambria Math" w:eastAsia="Times New Roman" w:hAnsi="Cambria Math" w:cs="Cambria Math"/>
          <w:lang w:val="en-US"/>
        </w:rPr>
        <w:t>𝛿</w:t>
      </w:r>
      <w:r w:rsidRPr="002D0155">
        <w:rPr>
          <w:vertAlign w:val="superscript"/>
          <w:lang w:val="en-US"/>
        </w:rPr>
        <w:t>13</w:t>
      </w:r>
      <w:r w:rsidRPr="002D0155">
        <w:rPr>
          <w:lang w:val="en-US"/>
        </w:rPr>
        <w:t xml:space="preserve">C and </w:t>
      </w:r>
      <w:r w:rsidRPr="002D0155">
        <w:rPr>
          <w:rFonts w:ascii="Cambria Math" w:eastAsia="Times New Roman" w:hAnsi="Cambria Math" w:cs="Cambria Math"/>
          <w:lang w:val="en-US"/>
        </w:rPr>
        <w:t>𝛿</w:t>
      </w:r>
      <w:r w:rsidRPr="002D0155">
        <w:rPr>
          <w:vertAlign w:val="superscript"/>
          <w:lang w:val="en-US"/>
        </w:rPr>
        <w:t>18</w:t>
      </w:r>
      <w:r w:rsidRPr="002D0155">
        <w:rPr>
          <w:lang w:val="en-US"/>
        </w:rPr>
        <w:t xml:space="preserve">O) of the carbonate nodules were measured on the Kiel IV Carbonate Device according to PDB standards. </w:t>
      </w:r>
    </w:p>
    <w:p w:rsidR="008B27E7" w:rsidRPr="002D0155" w:rsidRDefault="008B27E7" w:rsidP="008B27E7">
      <w:pPr>
        <w:rPr>
          <w:lang w:val="en-US"/>
        </w:rPr>
      </w:pPr>
      <w:r w:rsidRPr="002D0155">
        <w:rPr>
          <w:lang w:val="en-US"/>
        </w:rPr>
        <w:t xml:space="preserve">The conversion to SMOW standard was calculated following the equation from </w:t>
      </w:r>
      <w:r w:rsidR="00B63D91">
        <w:rPr>
          <w:lang w:val="en-US"/>
        </w:rPr>
        <w:fldChar w:fldCharType="begin" w:fldLock="1"/>
      </w:r>
      <w:r w:rsidR="00B63D91">
        <w:rPr>
          <w:lang w:val="en-US"/>
        </w:rPr>
        <w:instrText>ADDIN CSL_CITATION {"citationItems":[{"id":"ITEM-1","itemData":{"DOI":"10.1016/j.gca.2015.02.011","ISSN":"00167037","abstract":"Carbonate minerals provide a rich source of geochemical information because their δ13C and δ18O values provide information about surface and subsurface Earth processes. However, a significant problem is that the same δ18O value is not reported for the identical carbonate sample when analyzed in different isotope laboratories in spite of the fact that the International Union of Pure and Applied Chemistry (IUPAC) has provided reporting guidelines for two decades. This issue arises because (1) the δ18O measurements are performed on CO2 evolved by reaction of carbonates with phosphoric acid, (2) the acid-liberated CO2 is isotopically fractionated (enriched in 18O) because it contains only two-thirds of the oxygen from the solid carbonate, (3) this oxygen isotopic fractionation factor is a function of mineralogy, temperature, concentration of the phosphoric acid, and δ18O value of water in the phosphoric acid, (4) researchers may use any one of an assortment of oxygen isotopic fractionation factors that have been published for various minerals at various reaction temperatures, and (5) it sometimes is not clear how one should calculate δ18OVPDB values on a scale normalized such that the δ18O value of SLAP reference water is -55.5% relative to VSMOW reference water. To enable researchers worldwide to publish the same δ18O value (within experimental uncertainty) for the same carbonate sample, we have re-evaluated reported acid fractionation factors for calcite at 25, 50, and 75 °C and propose a revised relation for the temperature dependence of oxygen isotopic acid fractionation factor, αCO2(ACID)-calcite, of 1000lnaCO2(ACID)-calcite = 3:48(103/T) - 1:47 where T is temperature in kelvin. At 25 °C, αCO2(ACID)-calcite = 1:01025, the most commonly accepted value for this quantity. We propose a normalization protocol in which (1) the internationally distributed carbonate isotopic reference materials NBS 18 and NBS 19 are interspersed among carbonate samples analyzed by treatment with phosphoric acid, (2) the δ18O values of the calcite reference materials and the carbonate samples are calculated, respectively, by using the aCO2(ACID)-calcite relation above and oxygen-isotope acid fractionation factors appropriate for the sample mineralogy and reaction temperature, (3) the δ18O values of solid carbonate samples are determined on the VPDB scale (δ18OVPDB) with IUPAC-recommended scale expansion such that the δ18O of SLAP reference water is -55.5 &amp; relative to VSMOW ref…","author":[{"dropping-particle":"","family":"Kim","given":"Sang Tae","non-dropping-particle":"","parse-names":false,"suffix":""},{"dropping-particle":"","family":"Coplen","given":"Tyler B.","non-dropping-particle":"","parse-names":false,"suffix":""},{"dropping-particle":"","family":"Horita","given":"Juske","non-dropping-particle":"","parse-names":false,"suffix":""}],"container-title":"Geochimica et Cosmochimica Acta","id":"ITEM-1","issued":{"date-parts":[["2015"]]},"page":"276-289","publisher":"Elsevier Ltd","title":"Normalization of stable isotope data for carbonate minerals: Implementation of IUPAC guidelines","type":"article-journal","volume":"158"},"uris":["http://www.mendeley.com/documents/?uuid=0be356f1-4d3b-4857-b1ec-37c47e0eca36"]}],"mendeley":{"formattedCitation":"(Kim et al., 2015)","manualFormatting":"Kim et al. (2015)","plainTextFormattedCitation":"(Kim et al., 2015)","previouslyFormattedCitation":"(Kim et al., 2015)"},"properties":{"noteIndex":0},"schema":"https://github.com/citation-style-language/schema/raw/master/csl-citation.json"}</w:instrText>
      </w:r>
      <w:r w:rsidR="00B63D91">
        <w:rPr>
          <w:lang w:val="en-US"/>
        </w:rPr>
        <w:fldChar w:fldCharType="separate"/>
      </w:r>
      <w:r w:rsidR="00B63D91" w:rsidRPr="00B63D91">
        <w:rPr>
          <w:noProof/>
          <w:lang w:val="en-US"/>
        </w:rPr>
        <w:t>Kim et al.</w:t>
      </w:r>
      <w:r w:rsidR="00B63D91">
        <w:rPr>
          <w:noProof/>
          <w:lang w:val="en-US"/>
        </w:rPr>
        <w:t xml:space="preserve"> (</w:t>
      </w:r>
      <w:r w:rsidR="00B63D91" w:rsidRPr="00B63D91">
        <w:rPr>
          <w:noProof/>
          <w:lang w:val="en-US"/>
        </w:rPr>
        <w:t>2015)</w:t>
      </w:r>
      <w:r w:rsidR="00B63D91">
        <w:rPr>
          <w:lang w:val="en-US"/>
        </w:rPr>
        <w:fldChar w:fldCharType="end"/>
      </w:r>
      <w:r w:rsidRPr="002D0155">
        <w:rPr>
          <w:lang w:val="en-US"/>
        </w:rPr>
        <w:t>:</w:t>
      </w:r>
    </w:p>
    <w:p w:rsidR="005454BB" w:rsidRDefault="008B27E7" w:rsidP="008B27E7">
      <w:pPr>
        <w:rPr>
          <w:rFonts w:cs="Times New Roman"/>
          <w:sz w:val="24"/>
          <w:szCs w:val="24"/>
          <w:lang w:val="en-US"/>
        </w:rPr>
      </w:pPr>
      <w:r w:rsidRPr="002D0155">
        <w:rPr>
          <w:rFonts w:ascii="Cambria Math" w:eastAsia="Times New Roman" w:hAnsi="Cambria Math" w:cs="Cambria Math"/>
          <w:sz w:val="24"/>
          <w:szCs w:val="24"/>
          <w:lang w:val="en-US"/>
        </w:rPr>
        <w:t>𝛿</w:t>
      </w:r>
      <w:r w:rsidRPr="002D0155">
        <w:rPr>
          <w:rFonts w:cs="Times New Roman"/>
          <w:sz w:val="24"/>
          <w:szCs w:val="24"/>
          <w:vertAlign w:val="superscript"/>
          <w:lang w:val="en-US"/>
        </w:rPr>
        <w:t>18</w:t>
      </w:r>
      <w:r w:rsidRPr="002D0155">
        <w:rPr>
          <w:rFonts w:cs="Times New Roman"/>
          <w:sz w:val="24"/>
          <w:szCs w:val="24"/>
          <w:lang w:val="en-US"/>
        </w:rPr>
        <w:t>O</w:t>
      </w:r>
      <w:r w:rsidRPr="002D0155">
        <w:rPr>
          <w:rFonts w:cs="Times New Roman"/>
          <w:i/>
          <w:sz w:val="24"/>
          <w:szCs w:val="24"/>
          <w:vertAlign w:val="subscript"/>
          <w:lang w:val="en-US"/>
        </w:rPr>
        <w:t>VSMOW</w:t>
      </w:r>
      <w:r w:rsidRPr="002D0155">
        <w:rPr>
          <w:rFonts w:cs="Times New Roman"/>
          <w:sz w:val="24"/>
          <w:szCs w:val="24"/>
          <w:lang w:val="en-US"/>
        </w:rPr>
        <w:t xml:space="preserve"> (‰) = 1.03091 </w:t>
      </w:r>
      <w:proofErr w:type="gramStart"/>
      <w:r w:rsidRPr="002D0155">
        <w:rPr>
          <w:rFonts w:cs="Times New Roman"/>
          <w:sz w:val="24"/>
          <w:szCs w:val="24"/>
          <w:lang w:val="en-US"/>
        </w:rPr>
        <w:t xml:space="preserve">×  </w:t>
      </w:r>
      <w:r w:rsidRPr="002D0155">
        <w:rPr>
          <w:rFonts w:ascii="Cambria Math" w:eastAsia="Times New Roman" w:hAnsi="Cambria Math" w:cs="Cambria Math"/>
          <w:sz w:val="24"/>
          <w:szCs w:val="24"/>
          <w:lang w:val="en-US"/>
        </w:rPr>
        <w:t>𝛿</w:t>
      </w:r>
      <w:proofErr w:type="gramEnd"/>
      <w:r w:rsidRPr="002D0155">
        <w:rPr>
          <w:rFonts w:cs="Times New Roman"/>
          <w:sz w:val="24"/>
          <w:szCs w:val="24"/>
          <w:vertAlign w:val="superscript"/>
          <w:lang w:val="en-US"/>
        </w:rPr>
        <w:t>18</w:t>
      </w:r>
      <w:r w:rsidRPr="002D0155">
        <w:rPr>
          <w:rFonts w:cs="Times New Roman"/>
          <w:sz w:val="24"/>
          <w:szCs w:val="24"/>
          <w:lang w:val="en-US"/>
        </w:rPr>
        <w:t>O</w:t>
      </w:r>
      <w:r w:rsidRPr="002D0155">
        <w:rPr>
          <w:rFonts w:cs="Times New Roman"/>
          <w:i/>
          <w:sz w:val="24"/>
          <w:szCs w:val="24"/>
          <w:vertAlign w:val="subscript"/>
          <w:lang w:val="en-US"/>
        </w:rPr>
        <w:t xml:space="preserve">VPDB </w:t>
      </w:r>
      <w:r w:rsidRPr="002D0155">
        <w:rPr>
          <w:rFonts w:cs="Times New Roman"/>
          <w:sz w:val="24"/>
          <w:szCs w:val="24"/>
          <w:lang w:val="en-US"/>
        </w:rPr>
        <w:t xml:space="preserve"> + 30.92         </w:t>
      </w:r>
    </w:p>
    <w:p w:rsidR="008B27E7" w:rsidRPr="002D0155" w:rsidRDefault="008B27E7" w:rsidP="008B27E7">
      <w:pPr>
        <w:rPr>
          <w:lang w:val="en-US"/>
        </w:rPr>
      </w:pPr>
      <w:r w:rsidRPr="002D0155">
        <w:rPr>
          <w:lang w:val="en-US"/>
        </w:rPr>
        <w:t xml:space="preserve">Our </w:t>
      </w:r>
      <w:r w:rsidRPr="002D0155">
        <w:rPr>
          <w:rFonts w:ascii="Cambria Math" w:eastAsia="Times New Roman" w:hAnsi="Cambria Math" w:cs="Cambria Math"/>
          <w:lang w:val="en-US"/>
        </w:rPr>
        <w:t>𝛿</w:t>
      </w:r>
      <w:r w:rsidRPr="002D0155">
        <w:rPr>
          <w:vertAlign w:val="superscript"/>
          <w:lang w:val="en-US"/>
        </w:rPr>
        <w:t>13</w:t>
      </w:r>
      <w:r w:rsidRPr="002D0155">
        <w:rPr>
          <w:lang w:val="en-US"/>
        </w:rPr>
        <w:t xml:space="preserve">C and </w:t>
      </w:r>
      <w:r w:rsidRPr="002D0155">
        <w:rPr>
          <w:rFonts w:ascii="Cambria Math" w:eastAsia="Times New Roman" w:hAnsi="Cambria Math" w:cs="Cambria Math"/>
          <w:lang w:val="en-US"/>
        </w:rPr>
        <w:t>𝛿</w:t>
      </w:r>
      <w:r w:rsidRPr="002D0155">
        <w:rPr>
          <w:vertAlign w:val="superscript"/>
          <w:lang w:val="en-US"/>
        </w:rPr>
        <w:t>18</w:t>
      </w:r>
      <w:r w:rsidRPr="002D0155">
        <w:rPr>
          <w:lang w:val="en-US"/>
        </w:rPr>
        <w:t xml:space="preserve">O pedogenic carbonate values are in agreement with isotopic analyses conducted by </w:t>
      </w:r>
      <w:r w:rsidR="00B63D91">
        <w:rPr>
          <w:lang w:val="en-US"/>
        </w:rPr>
        <w:fldChar w:fldCharType="begin" w:fldLock="1"/>
      </w:r>
      <w:r w:rsidR="00B63D91">
        <w:rPr>
          <w:lang w:val="en-US"/>
        </w:rPr>
        <w:instrText>ADDIN CSL_CITATION {"citationItems":[{"id":"ITEM-1","itemData":{"author":[{"dropping-particle":"","family":"Bialkowski","given":"Anne","non-dropping-particle":"","parse-names":false,"suffix":""}],"id":"ITEM-1","issued":{"date-parts":[["2002"]]},"publisher":"École Nationale Supérieure des Mines de Paris","title":"Stratigraphie isotopique (carbone et oxygène) des séries continentales d'un bassin d'avant-pays (Oligo-Miocène du bassin de Digne-Valensole): paléoenvironnements et séquences de dépot","type":"thesis"},"uris":["http://www.mendeley.com/documents/?uuid=ad63ba83-8732-4983-8a23-6887d0ac09ef"]}],"mendeley":{"formattedCitation":"(Bialkowski, 2002)","manualFormatting":"Bialkowski (2002)","plainTextFormattedCitation":"(Bialkowski, 2002)","previouslyFormattedCitation":"(Bialkowski, 2002)"},"properties":{"noteIndex":0},"schema":"https://github.com/citation-style-language/schema/raw/master/csl-citation.json"}</w:instrText>
      </w:r>
      <w:r w:rsidR="00B63D91">
        <w:rPr>
          <w:lang w:val="en-US"/>
        </w:rPr>
        <w:fldChar w:fldCharType="separate"/>
      </w:r>
      <w:r w:rsidR="00B63D91" w:rsidRPr="00B63D91">
        <w:rPr>
          <w:noProof/>
          <w:lang w:val="en-US"/>
        </w:rPr>
        <w:t>Bialkowski</w:t>
      </w:r>
      <w:r w:rsidR="00B63D91">
        <w:rPr>
          <w:noProof/>
          <w:lang w:val="en-US"/>
        </w:rPr>
        <w:t xml:space="preserve"> (</w:t>
      </w:r>
      <w:r w:rsidR="00B63D91" w:rsidRPr="00B63D91">
        <w:rPr>
          <w:noProof/>
          <w:lang w:val="en-US"/>
        </w:rPr>
        <w:t>2002)</w:t>
      </w:r>
      <w:r w:rsidR="00B63D91">
        <w:rPr>
          <w:lang w:val="en-US"/>
        </w:rPr>
        <w:fldChar w:fldCharType="end"/>
      </w:r>
      <w:r w:rsidRPr="002D0155">
        <w:rPr>
          <w:lang w:val="en-US"/>
        </w:rPr>
        <w:t xml:space="preserve">. </w:t>
      </w:r>
    </w:p>
    <w:p w:rsidR="008B27E7" w:rsidRPr="002D0155" w:rsidRDefault="008B27E7" w:rsidP="008B27E7">
      <w:pPr>
        <w:rPr>
          <w:rFonts w:cs="Times New Roman"/>
          <w:sz w:val="24"/>
          <w:szCs w:val="24"/>
          <w:lang w:val="en-US"/>
        </w:rPr>
      </w:pPr>
      <w:r w:rsidRPr="002D0155">
        <w:rPr>
          <w:rFonts w:cs="Times New Roman"/>
          <w:sz w:val="24"/>
          <w:szCs w:val="24"/>
          <w:lang w:val="en-US"/>
        </w:rPr>
        <w:t xml:space="preserve"> </w:t>
      </w:r>
    </w:p>
    <w:p w:rsidR="008B27E7" w:rsidRPr="002D0155" w:rsidRDefault="0067478A" w:rsidP="008B27E7">
      <w:pPr>
        <w:pStyle w:val="Heading1"/>
        <w:rPr>
          <w:lang w:val="en-US"/>
        </w:rPr>
      </w:pPr>
      <w:bookmarkStart w:id="3" w:name="_93i3mlr2vfc9" w:colFirst="0" w:colLast="0"/>
      <w:bookmarkEnd w:id="3"/>
      <w:r>
        <w:rPr>
          <w:lang w:val="en-US"/>
        </w:rPr>
        <w:lastRenderedPageBreak/>
        <w:t>S</w:t>
      </w:r>
      <w:r w:rsidR="008B27E7" w:rsidRPr="002D0155">
        <w:rPr>
          <w:lang w:val="en-US"/>
        </w:rPr>
        <w:t>4.    Oxygen isotopic values of soil water</w:t>
      </w:r>
    </w:p>
    <w:p w:rsidR="008B27E7" w:rsidRPr="002D0155" w:rsidRDefault="008B27E7" w:rsidP="008B27E7">
      <w:pPr>
        <w:rPr>
          <w:lang w:val="en-US"/>
        </w:rPr>
      </w:pPr>
      <w:r w:rsidRPr="002D0155">
        <w:rPr>
          <w:lang w:val="en-US"/>
        </w:rPr>
        <w:t>The oxygen isotopic composition of the soil water (</w:t>
      </w:r>
      <w:r w:rsidRPr="002D0155">
        <w:rPr>
          <w:rFonts w:ascii="Cambria Math" w:eastAsia="Times New Roman" w:hAnsi="Cambria Math" w:cs="Cambria Math"/>
          <w:lang w:val="en-US"/>
        </w:rPr>
        <w:t>𝛿</w:t>
      </w:r>
      <w:r w:rsidRPr="002D0155">
        <w:rPr>
          <w:vertAlign w:val="superscript"/>
          <w:lang w:val="en-US"/>
        </w:rPr>
        <w:t>18</w:t>
      </w:r>
      <w:r w:rsidRPr="002D0155">
        <w:rPr>
          <w:lang w:val="en-US"/>
        </w:rPr>
        <w:t>O</w:t>
      </w:r>
      <w:r w:rsidRPr="002D0155">
        <w:rPr>
          <w:vertAlign w:val="subscript"/>
          <w:lang w:val="en-US"/>
        </w:rPr>
        <w:t>w</w:t>
      </w:r>
      <w:r w:rsidRPr="002D0155">
        <w:rPr>
          <w:lang w:val="en-US"/>
        </w:rPr>
        <w:t xml:space="preserve">) from which the pedogenic carbonate formed was calculated for each nodule of the Digne-Valensole basin listed in Table 2. </w:t>
      </w:r>
    </w:p>
    <w:p w:rsidR="008B27E7" w:rsidRPr="002D0155" w:rsidRDefault="008B27E7" w:rsidP="008B27E7">
      <w:pPr>
        <w:rPr>
          <w:lang w:val="en-US"/>
        </w:rPr>
      </w:pPr>
      <w:r w:rsidRPr="002D0155">
        <w:rPr>
          <w:lang w:val="en-US"/>
        </w:rPr>
        <w:t xml:space="preserve">The </w:t>
      </w:r>
      <w:r w:rsidRPr="002D0155">
        <w:rPr>
          <w:rFonts w:ascii="Cambria Math" w:eastAsia="Times New Roman" w:hAnsi="Cambria Math" w:cs="Cambria Math"/>
          <w:lang w:val="en-US"/>
        </w:rPr>
        <w:t>𝛿</w:t>
      </w:r>
      <w:r w:rsidRPr="002D0155">
        <w:rPr>
          <w:vertAlign w:val="superscript"/>
          <w:lang w:val="en-US"/>
        </w:rPr>
        <w:t>18</w:t>
      </w:r>
      <w:r w:rsidRPr="002D0155">
        <w:rPr>
          <w:lang w:val="en-US"/>
        </w:rPr>
        <w:t>O</w:t>
      </w:r>
      <w:r w:rsidRPr="002D0155">
        <w:rPr>
          <w:vertAlign w:val="subscript"/>
          <w:lang w:val="en-US"/>
        </w:rPr>
        <w:t>w</w:t>
      </w:r>
      <w:r w:rsidRPr="002D0155">
        <w:rPr>
          <w:lang w:val="en-US"/>
        </w:rPr>
        <w:t xml:space="preserve"> values were calculated from oxygen isotopic values of the carbonate (</w:t>
      </w:r>
      <w:r w:rsidRPr="002D0155">
        <w:rPr>
          <w:rFonts w:ascii="Cambria Math" w:eastAsia="Times New Roman" w:hAnsi="Cambria Math" w:cs="Cambria Math"/>
          <w:lang w:val="en-US"/>
        </w:rPr>
        <w:t>𝛿</w:t>
      </w:r>
      <w:r w:rsidRPr="002D0155">
        <w:rPr>
          <w:vertAlign w:val="superscript"/>
          <w:lang w:val="en-US"/>
        </w:rPr>
        <w:t>18</w:t>
      </w:r>
      <w:r w:rsidRPr="002D0155">
        <w:rPr>
          <w:lang w:val="en-US"/>
        </w:rPr>
        <w:t>O</w:t>
      </w:r>
      <w:r w:rsidRPr="002D0155">
        <w:rPr>
          <w:vertAlign w:val="subscript"/>
          <w:lang w:val="en-US"/>
        </w:rPr>
        <w:t>SMOW)</w:t>
      </w:r>
      <w:r w:rsidRPr="002D0155">
        <w:rPr>
          <w:lang w:val="en-US"/>
        </w:rPr>
        <w:t xml:space="preserve"> applying the measured Δ</w:t>
      </w:r>
      <w:r w:rsidRPr="002D0155">
        <w:rPr>
          <w:vertAlign w:val="subscript"/>
          <w:lang w:val="en-US"/>
        </w:rPr>
        <w:t>47</w:t>
      </w:r>
      <w:r w:rsidRPr="002D0155">
        <w:rPr>
          <w:lang w:val="en-US"/>
        </w:rPr>
        <w:t>-based carbonate formation temperatures and the calcite-water fractionation of</w:t>
      </w:r>
      <w:r w:rsidR="00B63D91">
        <w:rPr>
          <w:lang w:val="en-US"/>
        </w:rPr>
        <w:t xml:space="preserve"> </w:t>
      </w:r>
      <w:r w:rsidR="00B63D91">
        <w:rPr>
          <w:lang w:val="en-US"/>
        </w:rPr>
        <w:fldChar w:fldCharType="begin" w:fldLock="1"/>
      </w:r>
      <w:r w:rsidR="00B63D91">
        <w:rPr>
          <w:lang w:val="en-US"/>
        </w:rPr>
        <w:instrText>ADDIN CSL_CITATION {"citationItems":[{"id":"ITEM-1","itemData":{"DOI":"10.1016/j.chemgeo.2007.08.005","ISSN":"00092541","abstract":"This paper reports the results of an investigation to re-determine the phosphoric acid fractionation factor for calcite and aragonite in order to improve the accuracy and limit the uncertainty of this very important quantity. The 18O/16O ratio of 100% of the oxygen in calcite and aragonite was determined directly by combining data from a two-step procedure involving thermal decomposition of the carbonate, followed by fluorination of the residual CaO using BrF5. The oxygen isotope composition of the CO2 released upon the thermal decarbonation of calcite and aragonite is enriched in 18O relative to that of the remaining CaO. Reproducibility of the oxygen isotope composition of the CO2 derived from each of the decarbonation and fluorination steps was 0.55‰ (1σ). Nevertheless, statistically reliable acid fractionation factors for calcite (se = 0.07) and aragonite (se = 0.10) were determined on the basis of a large set of combined data from conventional phosphoric acid reactions at three different temperatures, plus the decarbonation/fluorination procedure. The acid fractionation factors (αCO2(ACID)-carbonate) determined in this study for calcite (αCO2(ACID)-Calcite = 1.01030) and aragonite (αCO2(ACID)-Aragonite = 1.01063) at 25 °C, differ slightly from previously published values. On the basis of our new determinations at 25, 50, and 75 °C, revised expressions for the temperature dependence of the acid fractionation factors for calcite and aragonite are proposed for the temperature range of 25-75 °C:1000 ln αCO2 (ACID) - Calcite = 3.59 (103 / T) - 1.79. 1000 ln αCO2 (ACID) - Aragonite = 3.39 (103 / T) - 0.83where αCO2(ACID)-carbonate is the phosphoric acid fractionation factor, and T is temperature in kelvin. © 2007 Elsevier B.V. All rights reserved.","author":[{"dropping-particle":"","family":"Kim","given":"Sang Tae","non-dropping-particle":"","parse-names":false,"suffix":""},{"dropping-particle":"","family":"Mucci","given":"Alfonso","non-dropping-particle":"","parse-names":false,"suffix":""},{"dropping-particle":"","family":"Taylor","given":"Bruce E.","non-dropping-particle":"","parse-names":false,"suffix":""}],"container-title":"Chemical Geology","id":"ITEM-1","issue":"3-4","issued":{"date-parts":[["2007"]]},"page":"135-146","title":"Phosphoric acid fractionation factors for calcite and aragonite between 25 and 75 °C: Revisited","type":"article-journal","volume":"246"},"uris":["http://www.mendeley.com/documents/?uuid=79cf760a-7580-4d96-98ff-0a91a9bfa0ba"]}],"mendeley":{"formattedCitation":"(Kim et al., 2007)","manualFormatting":"Kim et al. (2007)","plainTextFormattedCitation":"(Kim et al., 2007)","previouslyFormattedCitation":"(Kim et al., 2007)"},"properties":{"noteIndex":0},"schema":"https://github.com/citation-style-language/schema/raw/master/csl-citation.json"}</w:instrText>
      </w:r>
      <w:r w:rsidR="00B63D91">
        <w:rPr>
          <w:lang w:val="en-US"/>
        </w:rPr>
        <w:fldChar w:fldCharType="separate"/>
      </w:r>
      <w:r w:rsidR="00B63D91" w:rsidRPr="00B63D91">
        <w:rPr>
          <w:noProof/>
          <w:lang w:val="en-US"/>
        </w:rPr>
        <w:t>Kim et al.</w:t>
      </w:r>
      <w:r w:rsidR="00B63D91">
        <w:rPr>
          <w:noProof/>
          <w:lang w:val="en-US"/>
        </w:rPr>
        <w:t xml:space="preserve"> (</w:t>
      </w:r>
      <w:r w:rsidR="00B63D91" w:rsidRPr="00B63D91">
        <w:rPr>
          <w:noProof/>
          <w:lang w:val="en-US"/>
        </w:rPr>
        <w:t>2007)</w:t>
      </w:r>
      <w:r w:rsidR="00B63D91">
        <w:rPr>
          <w:lang w:val="en-US"/>
        </w:rPr>
        <w:fldChar w:fldCharType="end"/>
      </w:r>
      <w:r w:rsidRPr="002D0155">
        <w:rPr>
          <w:lang w:val="en-US"/>
        </w:rPr>
        <w:t>:</w:t>
      </w:r>
    </w:p>
    <w:p w:rsidR="008B27E7" w:rsidRPr="002D0155" w:rsidRDefault="008B27E7" w:rsidP="008B27E7">
      <w:pPr>
        <w:rPr>
          <w:rFonts w:cs="Times New Roman"/>
          <w:sz w:val="24"/>
          <w:szCs w:val="24"/>
          <w:lang w:val="en-US"/>
        </w:rPr>
      </w:pPr>
      <w:r w:rsidRPr="002D0155">
        <w:rPr>
          <w:rFonts w:cs="Times New Roman"/>
          <w:i/>
          <w:sz w:val="24"/>
          <w:szCs w:val="24"/>
          <w:lang w:val="en-US"/>
        </w:rPr>
        <w:t xml:space="preserve">            </w:t>
      </w:r>
      <m:oMath>
        <m:r>
          <w:rPr>
            <w:rFonts w:ascii="Cambria Math" w:hAnsi="Cambria Math" w:cs="Times New Roman"/>
            <w:lang w:val="en-US"/>
          </w:rPr>
          <m:t xml:space="preserve">1000 × ln </m:t>
        </m:r>
        <m:sSub>
          <m:sSubPr>
            <m:ctrlPr>
              <w:rPr>
                <w:rFonts w:ascii="Cambria Math" w:hAnsi="Cambria Math" w:cs="Times New Roman"/>
                <w:lang w:val="en-US"/>
              </w:rPr>
            </m:ctrlPr>
          </m:sSubPr>
          <m:e>
            <m:r>
              <w:rPr>
                <w:rFonts w:ascii="Cambria Math" w:hAnsi="Cambria Math" w:cs="Times New Roman"/>
                <w:lang w:val="en-US"/>
              </w:rPr>
              <m:t>α</m:t>
            </m:r>
          </m:e>
          <m:sub>
            <m:r>
              <w:rPr>
                <w:rFonts w:ascii="Cambria Math" w:hAnsi="Cambria Math" w:cs="Times New Roman"/>
                <w:lang w:val="en-US"/>
              </w:rPr>
              <m:t xml:space="preserve">calcite-water </m:t>
            </m:r>
          </m:sub>
        </m:sSub>
        <m:r>
          <w:rPr>
            <w:rFonts w:ascii="Cambria Math" w:hAnsi="Cambria Math" w:cs="Times New Roman"/>
            <w:lang w:val="en-US"/>
          </w:rPr>
          <m:t xml:space="preserve">= </m:t>
        </m:r>
        <m:d>
          <m:dPr>
            <m:ctrlPr>
              <w:rPr>
                <w:rFonts w:ascii="Cambria Math" w:hAnsi="Cambria Math" w:cs="Times New Roman"/>
                <w:lang w:val="en-US"/>
              </w:rPr>
            </m:ctrlPr>
          </m:dPr>
          <m:e>
            <m:f>
              <m:fPr>
                <m:ctrlPr>
                  <w:rPr>
                    <w:rFonts w:ascii="Cambria Math" w:hAnsi="Cambria Math" w:cs="Times New Roman"/>
                    <w:lang w:val="en-US"/>
                  </w:rPr>
                </m:ctrlPr>
              </m:fPr>
              <m:num>
                <m:r>
                  <w:rPr>
                    <w:rFonts w:ascii="Cambria Math" w:hAnsi="Cambria Math" w:cs="Times New Roman"/>
                    <w:lang w:val="en-US"/>
                  </w:rPr>
                  <m:t>18.03×</m:t>
                </m:r>
                <m:sSup>
                  <m:sSupPr>
                    <m:ctrlPr>
                      <w:rPr>
                        <w:rFonts w:ascii="Cambria Math" w:hAnsi="Cambria Math" w:cs="Times New Roman"/>
                        <w:lang w:val="en-US"/>
                      </w:rPr>
                    </m:ctrlPr>
                  </m:sSupPr>
                  <m:e>
                    <m:r>
                      <w:rPr>
                        <w:rFonts w:ascii="Cambria Math" w:hAnsi="Cambria Math" w:cs="Times New Roman"/>
                        <w:lang w:val="en-US"/>
                      </w:rPr>
                      <m:t>10</m:t>
                    </m:r>
                  </m:e>
                  <m:sup>
                    <m:r>
                      <w:rPr>
                        <w:rFonts w:ascii="Cambria Math" w:hAnsi="Cambria Math" w:cs="Times New Roman"/>
                        <w:lang w:val="en-US"/>
                      </w:rPr>
                      <m:t>3</m:t>
                    </m:r>
                  </m:sup>
                </m:sSup>
              </m:num>
              <m:den>
                <m:r>
                  <w:rPr>
                    <w:rFonts w:ascii="Cambria Math" w:hAnsi="Cambria Math" w:cs="Times New Roman"/>
                    <w:lang w:val="en-US"/>
                  </w:rPr>
                  <m:t>T</m:t>
                </m:r>
              </m:den>
            </m:f>
          </m:e>
        </m:d>
        <m:r>
          <w:rPr>
            <w:rFonts w:ascii="Cambria Math" w:hAnsi="Cambria Math" w:cs="Times New Roman"/>
            <w:lang w:val="en-US"/>
          </w:rPr>
          <m:t>- 32.23</m:t>
        </m:r>
      </m:oMath>
      <w:r w:rsidRPr="002D0155">
        <w:rPr>
          <w:rFonts w:cs="Times New Roman"/>
          <w:i/>
          <w:sz w:val="24"/>
          <w:szCs w:val="24"/>
          <w:lang w:val="en-US"/>
        </w:rPr>
        <w:t xml:space="preserve">                              </w:t>
      </w:r>
      <w:r w:rsidRPr="002D0155">
        <w:rPr>
          <w:rFonts w:cs="Times New Roman"/>
          <w:sz w:val="24"/>
          <w:szCs w:val="24"/>
          <w:lang w:val="en-US"/>
        </w:rPr>
        <w:t>(4)</w:t>
      </w:r>
    </w:p>
    <w:p w:rsidR="008B27E7" w:rsidRPr="002D0155" w:rsidRDefault="008B27E7" w:rsidP="008B27E7">
      <w:pPr>
        <w:rPr>
          <w:lang w:val="en-US"/>
        </w:rPr>
      </w:pPr>
      <w:r w:rsidRPr="002D0155">
        <w:rPr>
          <w:lang w:val="en-US"/>
        </w:rPr>
        <w:t>where T corresponds to the Δ</w:t>
      </w:r>
      <w:r w:rsidRPr="002D0155">
        <w:rPr>
          <w:vertAlign w:val="subscript"/>
          <w:lang w:val="en-US"/>
        </w:rPr>
        <w:t>47</w:t>
      </w:r>
      <w:r w:rsidRPr="002D0155">
        <w:rPr>
          <w:lang w:val="en-US"/>
        </w:rPr>
        <w:t>-based carbonate formation temperature (in Kelvin).</w:t>
      </w:r>
    </w:p>
    <w:p w:rsidR="008B27E7" w:rsidRPr="002D0155" w:rsidRDefault="008B27E7" w:rsidP="008B27E7">
      <w:pPr>
        <w:rPr>
          <w:rFonts w:cs="Times New Roman"/>
          <w:sz w:val="24"/>
          <w:szCs w:val="24"/>
          <w:lang w:val="en-US"/>
        </w:rPr>
      </w:pPr>
      <w:r w:rsidRPr="002D0155">
        <w:rPr>
          <w:rFonts w:cs="Times New Roman"/>
          <w:sz w:val="24"/>
          <w:szCs w:val="24"/>
          <w:lang w:val="en-US"/>
        </w:rPr>
        <w:t xml:space="preserve"> </w:t>
      </w:r>
    </w:p>
    <w:p w:rsidR="008B27E7" w:rsidRPr="008368AF" w:rsidRDefault="008B27E7" w:rsidP="008B27E7">
      <w:pPr>
        <w:rPr>
          <w:sz w:val="18"/>
          <w:szCs w:val="18"/>
          <w:lang w:val="en-US"/>
        </w:rPr>
      </w:pPr>
      <w:r w:rsidRPr="008368AF">
        <w:rPr>
          <w:b/>
          <w:bCs/>
          <w:sz w:val="18"/>
          <w:szCs w:val="18"/>
          <w:lang w:val="en-US"/>
        </w:rPr>
        <w:t>Table S1.</w:t>
      </w:r>
      <w:r w:rsidRPr="008368AF">
        <w:rPr>
          <w:sz w:val="18"/>
          <w:szCs w:val="18"/>
          <w:lang w:val="en-US"/>
        </w:rPr>
        <w:t xml:space="preserve"> Section of origin (Les Granges, GR; Les </w:t>
      </w:r>
      <w:proofErr w:type="spellStart"/>
      <w:r w:rsidRPr="008368AF">
        <w:rPr>
          <w:sz w:val="18"/>
          <w:szCs w:val="18"/>
          <w:lang w:val="en-US"/>
        </w:rPr>
        <w:t>Ruines</w:t>
      </w:r>
      <w:proofErr w:type="spellEnd"/>
      <w:r w:rsidRPr="008368AF">
        <w:rPr>
          <w:sz w:val="18"/>
          <w:szCs w:val="18"/>
          <w:lang w:val="en-US"/>
        </w:rPr>
        <w:t xml:space="preserve">, RU; </w:t>
      </w:r>
      <w:proofErr w:type="spellStart"/>
      <w:r w:rsidRPr="008368AF">
        <w:rPr>
          <w:sz w:val="18"/>
          <w:szCs w:val="18"/>
          <w:lang w:val="en-US"/>
        </w:rPr>
        <w:t>Beynes</w:t>
      </w:r>
      <w:proofErr w:type="spellEnd"/>
      <w:r w:rsidRPr="008368AF">
        <w:rPr>
          <w:sz w:val="18"/>
          <w:szCs w:val="18"/>
          <w:lang w:val="en-US"/>
        </w:rPr>
        <w:t>, BE), depth (m), age (Ma), carbon (</w:t>
      </w:r>
      <w:r w:rsidRPr="008368AF">
        <w:rPr>
          <w:rFonts w:ascii="Cambria Math" w:eastAsia="Times New Roman" w:hAnsi="Cambria Math" w:cs="Cambria Math"/>
          <w:sz w:val="18"/>
          <w:szCs w:val="18"/>
          <w:lang w:val="en-US"/>
        </w:rPr>
        <w:t>𝛿</w:t>
      </w:r>
      <w:r w:rsidRPr="008368AF">
        <w:rPr>
          <w:sz w:val="18"/>
          <w:szCs w:val="18"/>
          <w:vertAlign w:val="superscript"/>
          <w:lang w:val="en-US"/>
        </w:rPr>
        <w:t>13</w:t>
      </w:r>
      <w:r w:rsidRPr="008368AF">
        <w:rPr>
          <w:sz w:val="18"/>
          <w:szCs w:val="18"/>
          <w:lang w:val="en-US"/>
        </w:rPr>
        <w:t xml:space="preserve">C, ‰, </w:t>
      </w:r>
      <w:proofErr w:type="spellStart"/>
      <w:r w:rsidRPr="008368AF">
        <w:rPr>
          <w:sz w:val="18"/>
          <w:szCs w:val="18"/>
          <w:lang w:val="en-US"/>
        </w:rPr>
        <w:t>vPDB</w:t>
      </w:r>
      <w:proofErr w:type="spellEnd"/>
      <w:r w:rsidRPr="008368AF">
        <w:rPr>
          <w:sz w:val="18"/>
          <w:szCs w:val="18"/>
          <w:lang w:val="en-US"/>
        </w:rPr>
        <w:t>) and oxygen (</w:t>
      </w:r>
      <w:r w:rsidRPr="008368AF">
        <w:rPr>
          <w:rFonts w:ascii="Cambria Math" w:eastAsia="Times New Roman" w:hAnsi="Cambria Math" w:cs="Cambria Math"/>
          <w:sz w:val="18"/>
          <w:szCs w:val="18"/>
          <w:lang w:val="en-US"/>
        </w:rPr>
        <w:t>𝛿</w:t>
      </w:r>
      <w:r w:rsidRPr="008368AF">
        <w:rPr>
          <w:sz w:val="18"/>
          <w:szCs w:val="18"/>
          <w:vertAlign w:val="superscript"/>
          <w:lang w:val="en-US"/>
        </w:rPr>
        <w:t>18</w:t>
      </w:r>
      <w:r w:rsidRPr="008368AF">
        <w:rPr>
          <w:sz w:val="18"/>
          <w:szCs w:val="18"/>
          <w:lang w:val="en-US"/>
        </w:rPr>
        <w:t xml:space="preserve">O, ‰, </w:t>
      </w:r>
      <w:proofErr w:type="spellStart"/>
      <w:r w:rsidRPr="008368AF">
        <w:rPr>
          <w:sz w:val="18"/>
          <w:szCs w:val="18"/>
          <w:lang w:val="en-US"/>
        </w:rPr>
        <w:t>vSMOW</w:t>
      </w:r>
      <w:proofErr w:type="spellEnd"/>
      <w:r w:rsidRPr="008368AF">
        <w:rPr>
          <w:sz w:val="18"/>
          <w:szCs w:val="18"/>
          <w:lang w:val="en-US"/>
        </w:rPr>
        <w:t>) stable isotope values and clumped isotopes measurements of the pedogenic carbonate nodules.</w:t>
      </w:r>
    </w:p>
    <w:p w:rsidR="008B27E7" w:rsidRPr="008368AF" w:rsidRDefault="008B27E7" w:rsidP="008B27E7">
      <w:pPr>
        <w:rPr>
          <w:sz w:val="18"/>
          <w:szCs w:val="18"/>
          <w:lang w:val="en-US"/>
        </w:rPr>
      </w:pPr>
      <w:r w:rsidRPr="008368AF">
        <w:rPr>
          <w:sz w:val="18"/>
          <w:szCs w:val="18"/>
          <w:lang w:val="en-US"/>
        </w:rPr>
        <w:t>*Sample withdrawn</w:t>
      </w:r>
    </w:p>
    <w:tbl>
      <w:tblPr>
        <w:tblW w:w="0" w:type="auto"/>
        <w:tblInd w:w="-117" w:type="dxa"/>
        <w:tblBorders>
          <w:top w:val="nil"/>
          <w:left w:val="nil"/>
          <w:bottom w:val="nil"/>
          <w:right w:val="nil"/>
          <w:insideH w:val="nil"/>
          <w:insideV w:val="nil"/>
        </w:tblBorders>
        <w:tblLook w:val="0600" w:firstRow="0" w:lastRow="0" w:firstColumn="0" w:lastColumn="0" w:noHBand="1" w:noVBand="1"/>
      </w:tblPr>
      <w:tblGrid>
        <w:gridCol w:w="596"/>
        <w:gridCol w:w="545"/>
        <w:gridCol w:w="512"/>
        <w:gridCol w:w="492"/>
        <w:gridCol w:w="533"/>
        <w:gridCol w:w="426"/>
        <w:gridCol w:w="350"/>
        <w:gridCol w:w="478"/>
        <w:gridCol w:w="480"/>
        <w:gridCol w:w="496"/>
        <w:gridCol w:w="495"/>
        <w:gridCol w:w="495"/>
        <w:gridCol w:w="455"/>
        <w:gridCol w:w="453"/>
        <w:gridCol w:w="455"/>
        <w:gridCol w:w="535"/>
        <w:gridCol w:w="683"/>
        <w:gridCol w:w="667"/>
      </w:tblGrid>
      <w:tr w:rsidR="008B27E7" w:rsidRPr="002D0155" w:rsidTr="00367C6D">
        <w:trPr>
          <w:trHeight w:val="480"/>
        </w:trPr>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Sample ID</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Interval</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Section</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Depth (m)</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Age (Ma)</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 xml:space="preserve">Age </w:t>
            </w:r>
            <w:proofErr w:type="gramStart"/>
            <w:r w:rsidRPr="008368AF">
              <w:rPr>
                <w:rFonts w:cs="Times New Roman"/>
                <w:b/>
                <w:bCs/>
                <w:sz w:val="10"/>
                <w:szCs w:val="10"/>
                <w:lang w:val="en-US"/>
              </w:rPr>
              <w:t>err</w:t>
            </w:r>
            <w:proofErr w:type="gramEnd"/>
            <w:r w:rsidRPr="008368AF">
              <w:rPr>
                <w:rFonts w:cs="Times New Roman"/>
                <w:b/>
                <w:bCs/>
                <w:sz w:val="10"/>
                <w:szCs w:val="10"/>
                <w:lang w:val="en-US"/>
              </w:rPr>
              <w:t>.</w:t>
            </w:r>
          </w:p>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(Ma)</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n</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Δ</w:t>
            </w:r>
            <w:r w:rsidRPr="008368AF">
              <w:rPr>
                <w:rFonts w:cs="Times New Roman"/>
                <w:b/>
                <w:bCs/>
                <w:sz w:val="10"/>
                <w:szCs w:val="10"/>
                <w:vertAlign w:val="subscript"/>
                <w:lang w:val="en-US"/>
              </w:rPr>
              <w:t>47-CDES</w:t>
            </w:r>
          </w:p>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 σ (‰)</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 1 SE (‰)</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T(Δ</w:t>
            </w:r>
            <w:r w:rsidRPr="008368AF">
              <w:rPr>
                <w:rFonts w:cs="Times New Roman"/>
                <w:b/>
                <w:bCs/>
                <w:sz w:val="10"/>
                <w:szCs w:val="10"/>
                <w:vertAlign w:val="subscript"/>
                <w:lang w:val="en-US"/>
              </w:rPr>
              <w:t>47</w:t>
            </w:r>
            <w:r w:rsidRPr="008368AF">
              <w:rPr>
                <w:rFonts w:cs="Times New Roman"/>
                <w:b/>
                <w:bCs/>
                <w:sz w:val="10"/>
                <w:szCs w:val="10"/>
                <w:lang w:val="en-US"/>
              </w:rPr>
              <w:t>) (°C)</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-1 SE (°C)'</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+ 1 SE (°C)'</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- 2 SE (°C)'</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cs="Times New Roman"/>
                <w:b/>
                <w:bCs/>
                <w:sz w:val="10"/>
                <w:szCs w:val="10"/>
                <w:lang w:val="en-US"/>
              </w:rPr>
              <w:t>+ 2 SE (°C)'</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ascii="Cambria Math" w:eastAsia="Times New Roman" w:hAnsi="Cambria Math" w:cs="Cambria Math"/>
                <w:b/>
                <w:bCs/>
                <w:sz w:val="10"/>
                <w:szCs w:val="10"/>
                <w:lang w:val="en-US"/>
              </w:rPr>
              <w:t>𝛿</w:t>
            </w:r>
            <w:r w:rsidRPr="008368AF">
              <w:rPr>
                <w:rFonts w:cs="Times New Roman"/>
                <w:b/>
                <w:bCs/>
                <w:sz w:val="10"/>
                <w:szCs w:val="10"/>
                <w:lang w:val="en-US"/>
              </w:rPr>
              <w:t xml:space="preserve">13Cc (‰, </w:t>
            </w:r>
            <w:proofErr w:type="spellStart"/>
            <w:r w:rsidRPr="008368AF">
              <w:rPr>
                <w:rFonts w:cs="Times New Roman"/>
                <w:b/>
                <w:bCs/>
                <w:sz w:val="10"/>
                <w:szCs w:val="10"/>
                <w:lang w:val="en-US"/>
              </w:rPr>
              <w:t>vPDB</w:t>
            </w:r>
            <w:proofErr w:type="spellEnd"/>
            <w:r w:rsidRPr="008368AF">
              <w:rPr>
                <w:rFonts w:cs="Times New Roman"/>
                <w:b/>
                <w:bCs/>
                <w:sz w:val="10"/>
                <w:szCs w:val="10"/>
                <w:lang w:val="en-US"/>
              </w:rPr>
              <w:t>)</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ascii="Cambria Math" w:eastAsia="Times New Roman" w:hAnsi="Cambria Math" w:cs="Cambria Math"/>
                <w:b/>
                <w:bCs/>
                <w:sz w:val="10"/>
                <w:szCs w:val="10"/>
                <w:lang w:val="en-US"/>
              </w:rPr>
              <w:t>𝛿</w:t>
            </w:r>
            <w:r w:rsidRPr="008368AF">
              <w:rPr>
                <w:rFonts w:cs="Times New Roman"/>
                <w:b/>
                <w:bCs/>
                <w:sz w:val="10"/>
                <w:szCs w:val="10"/>
                <w:lang w:val="en-US"/>
              </w:rPr>
              <w:t>18</w:t>
            </w:r>
            <w:proofErr w:type="gramStart"/>
            <w:r w:rsidRPr="008368AF">
              <w:rPr>
                <w:rFonts w:cs="Times New Roman"/>
                <w:b/>
                <w:bCs/>
                <w:sz w:val="10"/>
                <w:szCs w:val="10"/>
                <w:lang w:val="en-US"/>
              </w:rPr>
              <w:t>Oc(</w:t>
            </w:r>
            <w:proofErr w:type="gramEnd"/>
            <w:r w:rsidRPr="008368AF">
              <w:rPr>
                <w:rFonts w:cs="Times New Roman"/>
                <w:b/>
                <w:bCs/>
                <w:sz w:val="10"/>
                <w:szCs w:val="10"/>
                <w:lang w:val="en-US"/>
              </w:rPr>
              <w:t xml:space="preserve">‰, </w:t>
            </w:r>
            <w:proofErr w:type="spellStart"/>
            <w:r w:rsidRPr="008368AF">
              <w:rPr>
                <w:rFonts w:cs="Times New Roman"/>
                <w:b/>
                <w:bCs/>
                <w:sz w:val="10"/>
                <w:szCs w:val="10"/>
                <w:lang w:val="en-US"/>
              </w:rPr>
              <w:t>vSMOW</w:t>
            </w:r>
            <w:proofErr w:type="spellEnd"/>
            <w:r w:rsidRPr="008368AF">
              <w:rPr>
                <w:rFonts w:cs="Times New Roman"/>
                <w:b/>
                <w:bCs/>
                <w:sz w:val="10"/>
                <w:szCs w:val="10"/>
                <w:lang w:val="en-US"/>
              </w:rPr>
              <w:t>)</w:t>
            </w:r>
          </w:p>
        </w:tc>
        <w:tc>
          <w:tcPr>
            <w:tcW w:w="0" w:type="auto"/>
            <w:tcBorders>
              <w:top w:val="single" w:sz="12" w:space="0" w:color="auto"/>
              <w:bottom w:val="single" w:sz="8" w:space="0" w:color="auto"/>
            </w:tcBorders>
            <w:tcMar>
              <w:top w:w="0" w:type="dxa"/>
              <w:left w:w="100" w:type="dxa"/>
              <w:bottom w:w="0" w:type="dxa"/>
              <w:right w:w="100" w:type="dxa"/>
            </w:tcMar>
          </w:tcPr>
          <w:p w:rsidR="008B27E7" w:rsidRPr="008368AF" w:rsidRDefault="008B27E7" w:rsidP="00367C6D">
            <w:pPr>
              <w:spacing w:line="240" w:lineRule="auto"/>
              <w:jc w:val="center"/>
              <w:rPr>
                <w:rFonts w:cs="Times New Roman"/>
                <w:b/>
                <w:bCs/>
                <w:sz w:val="10"/>
                <w:szCs w:val="10"/>
                <w:lang w:val="en-US"/>
              </w:rPr>
            </w:pPr>
            <w:r w:rsidRPr="008368AF">
              <w:rPr>
                <w:rFonts w:ascii="Cambria Math" w:eastAsia="Times New Roman" w:hAnsi="Cambria Math" w:cs="Cambria Math"/>
                <w:b/>
                <w:bCs/>
                <w:sz w:val="10"/>
                <w:szCs w:val="10"/>
                <w:lang w:val="en-US"/>
              </w:rPr>
              <w:t>𝛿</w:t>
            </w:r>
            <w:r w:rsidRPr="008368AF">
              <w:rPr>
                <w:rFonts w:cs="Times New Roman"/>
                <w:b/>
                <w:bCs/>
                <w:sz w:val="10"/>
                <w:szCs w:val="10"/>
                <w:lang w:val="en-US"/>
              </w:rPr>
              <w:t xml:space="preserve">18Ow (‰, </w:t>
            </w:r>
            <w:proofErr w:type="spellStart"/>
            <w:r w:rsidRPr="008368AF">
              <w:rPr>
                <w:rFonts w:cs="Times New Roman"/>
                <w:b/>
                <w:bCs/>
                <w:sz w:val="10"/>
                <w:szCs w:val="10"/>
                <w:lang w:val="en-US"/>
              </w:rPr>
              <w:t>vSMOW</w:t>
            </w:r>
            <w:proofErr w:type="spellEnd"/>
            <w:r w:rsidRPr="008368AF">
              <w:rPr>
                <w:rFonts w:cs="Times New Roman"/>
                <w:b/>
                <w:bCs/>
                <w:sz w:val="10"/>
                <w:szCs w:val="10"/>
                <w:lang w:val="en-US"/>
              </w:rPr>
              <w:t>)</w:t>
            </w:r>
          </w:p>
        </w:tc>
      </w:tr>
      <w:tr w:rsidR="008B27E7" w:rsidRPr="002D0155" w:rsidTr="00367C6D">
        <w:trPr>
          <w:trHeight w:val="225"/>
        </w:trPr>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99CH03</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IV</w:t>
            </w:r>
          </w:p>
        </w:tc>
        <w:tc>
          <w:tcPr>
            <w:tcW w:w="0" w:type="auto"/>
            <w:tcBorders>
              <w:top w:val="single" w:sz="8" w:space="0" w:color="auto"/>
            </w:tcBorders>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516</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13.178</w:t>
            </w:r>
          </w:p>
        </w:tc>
        <w:tc>
          <w:tcPr>
            <w:tcW w:w="0" w:type="auto"/>
            <w:tcBorders>
              <w:top w:val="single" w:sz="8" w:space="0" w:color="auto"/>
            </w:tcBorders>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w:t>
            </w:r>
          </w:p>
          <w:p w:rsidR="008B27E7" w:rsidRPr="00165B3E" w:rsidRDefault="008B27E7" w:rsidP="00367C6D">
            <w:pPr>
              <w:jc w:val="center"/>
              <w:rPr>
                <w:rFonts w:cs="Times New Roman"/>
                <w:sz w:val="10"/>
                <w:szCs w:val="10"/>
                <w:lang w:val="en-US"/>
              </w:rPr>
            </w:pPr>
            <w:r w:rsidRPr="00165B3E">
              <w:rPr>
                <w:rFonts w:cs="Times New Roman"/>
                <w:sz w:val="10"/>
                <w:szCs w:val="10"/>
                <w:lang w:val="en-US"/>
              </w:rPr>
              <w:t>-0.5</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16</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0.619</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0.038</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0.012</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16.76</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3.47</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3.74</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6.94</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7.48</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-9.9</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23.67</w:t>
            </w:r>
          </w:p>
        </w:tc>
        <w:tc>
          <w:tcPr>
            <w:tcW w:w="0" w:type="auto"/>
            <w:tcBorders>
              <w:top w:val="single" w:sz="8"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-6.29</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99CH01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IV</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510</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13.365</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0.607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0.083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20.51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4.11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4.49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8.22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8.98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-8.66</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24.10</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-5.07</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99CH16</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IV</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497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13.771</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0.568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0.034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34.28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4.31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4.70</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8.62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9.41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-6.15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25.19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-1.23</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99CH14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III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494.5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13.871</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0.571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0.055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33.24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4.835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5.35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9.67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10.69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-8.24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26.10</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-0.51</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98GR34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III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485.5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14.232</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0.567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0.044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34.69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3.895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4.22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7.79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8.43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-6.24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24.59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-1.75</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99CH10</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III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474.5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14.614</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0.589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0.023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26.83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3.675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3.97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7.35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7.93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-6.28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24.95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-2.92</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98GR29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III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464.5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14.948</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w:t>
            </w:r>
          </w:p>
          <w:p w:rsidR="008B27E7" w:rsidRPr="00165B3E" w:rsidRDefault="008B27E7" w:rsidP="00367C6D">
            <w:pPr>
              <w:jc w:val="center"/>
              <w:rPr>
                <w:rFonts w:cs="Times New Roman"/>
                <w:sz w:val="10"/>
                <w:szCs w:val="10"/>
                <w:lang w:val="en-US"/>
              </w:rPr>
            </w:pPr>
            <w:r w:rsidRPr="00165B3E">
              <w:rPr>
                <w:rFonts w:cs="Times New Roman"/>
                <w:sz w:val="10"/>
                <w:szCs w:val="10"/>
                <w:lang w:val="en-US"/>
              </w:rPr>
              <w:t>-0.5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0.607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0.042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20.61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3.47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3.74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6.94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7.47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-6.56</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24.85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-4.29</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98GR24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III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445.5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15.582</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0.588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0.042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26.87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4.57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5.02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9.14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10.04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-6.9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24.95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-2.91</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98GR22*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III*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442.5*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15.621*</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0.555*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0.042*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39.23*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4.065*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4.41*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8.13*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8.81*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-7.59*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24.78*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-0.70*</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98GR18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III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413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16.007</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0.591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0.047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25.83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3.495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3.76</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6.99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7.52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-6.74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24.99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-3.08</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98GR08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362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16.674</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0.565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35.21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3.81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4.11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7.62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8.23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-6.86</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24.77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-1.47</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98GR02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GR</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323.6</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17.286</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0.577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0.052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30.77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4.05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4.41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8.81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-7.14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24.65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-2.45</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98RU32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RU</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264.5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18.318</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1.0</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0.568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0.042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34.35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4.345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4.75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8.69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-7.32</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23.76</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-2.64</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98RU30</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RU</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246.5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18.632</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1.0</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10</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0.587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0.028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27.49</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4.77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5.27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9.54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10.54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-7.38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24.11</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-3.63</w:t>
            </w:r>
          </w:p>
        </w:tc>
      </w:tr>
      <w:tr w:rsidR="008B27E7" w:rsidRPr="002D0155" w:rsidTr="00367C6D">
        <w:trPr>
          <w:trHeight w:val="225"/>
        </w:trPr>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98RE46</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w:t>
            </w:r>
          </w:p>
        </w:tc>
        <w:tc>
          <w:tcPr>
            <w:tcW w:w="0" w:type="auto"/>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BE</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103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21.138</w:t>
            </w:r>
          </w:p>
        </w:tc>
        <w:tc>
          <w:tcPr>
            <w:tcW w:w="0" w:type="auto"/>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0.583</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0.034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0.016</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28.78</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5.335</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5.97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10.67</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11.94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-7.74</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24.30</w:t>
            </w:r>
          </w:p>
        </w:tc>
        <w:tc>
          <w:tcPr>
            <w:tcW w:w="0" w:type="auto"/>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-3.19</w:t>
            </w:r>
          </w:p>
        </w:tc>
      </w:tr>
      <w:tr w:rsidR="008B27E7" w:rsidRPr="002D0155" w:rsidTr="00367C6D">
        <w:trPr>
          <w:trHeight w:val="225"/>
        </w:trPr>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98RE30</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I</w:t>
            </w:r>
          </w:p>
        </w:tc>
        <w:tc>
          <w:tcPr>
            <w:tcW w:w="0" w:type="auto"/>
            <w:tcBorders>
              <w:bottom w:val="single" w:sz="12" w:space="0" w:color="auto"/>
            </w:tcBorders>
            <w:tcMar>
              <w:top w:w="0" w:type="dxa"/>
              <w:left w:w="0" w:type="dxa"/>
              <w:bottom w:w="0" w:type="dxa"/>
              <w:right w:w="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BE</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42</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22.337</w:t>
            </w:r>
          </w:p>
        </w:tc>
        <w:tc>
          <w:tcPr>
            <w:tcW w:w="0" w:type="auto"/>
            <w:tcBorders>
              <w:bottom w:val="single" w:sz="12" w:space="0" w:color="auto"/>
            </w:tcBorders>
            <w:tcMar>
              <w:top w:w="0" w:type="dxa"/>
              <w:left w:w="100" w:type="dxa"/>
              <w:bottom w:w="0" w:type="dxa"/>
              <w:right w:w="100" w:type="dxa"/>
            </w:tcMar>
          </w:tcPr>
          <w:p w:rsidR="008B27E7" w:rsidRPr="00165B3E" w:rsidRDefault="008B27E7" w:rsidP="00367C6D">
            <w:pPr>
              <w:jc w:val="center"/>
              <w:rPr>
                <w:rFonts w:cs="Times New Roman"/>
                <w:sz w:val="10"/>
                <w:szCs w:val="10"/>
                <w:lang w:val="en-US"/>
              </w:rPr>
            </w:pPr>
            <w:r w:rsidRPr="00165B3E">
              <w:rPr>
                <w:rFonts w:cs="Times New Roman"/>
                <w:sz w:val="10"/>
                <w:szCs w:val="10"/>
                <w:lang w:val="en-US"/>
              </w:rPr>
              <w:t>0.15</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10</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0.590</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0.039</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0.015</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26.49</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4.755</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5.25</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9.51</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10.5</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-7.48</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23.95</w:t>
            </w:r>
          </w:p>
        </w:tc>
        <w:tc>
          <w:tcPr>
            <w:tcW w:w="0" w:type="auto"/>
            <w:tcBorders>
              <w:bottom w:val="single" w:sz="12" w:space="0" w:color="auto"/>
            </w:tcBorders>
            <w:tcMar>
              <w:top w:w="0" w:type="dxa"/>
              <w:left w:w="100" w:type="dxa"/>
              <w:bottom w:w="0" w:type="dxa"/>
              <w:right w:w="100" w:type="dxa"/>
            </w:tcMar>
          </w:tcPr>
          <w:p w:rsidR="008B27E7" w:rsidRPr="002D0155" w:rsidRDefault="008B27E7" w:rsidP="00367C6D">
            <w:pPr>
              <w:spacing w:line="240" w:lineRule="auto"/>
              <w:jc w:val="center"/>
              <w:rPr>
                <w:rFonts w:cs="Times New Roman"/>
                <w:sz w:val="10"/>
                <w:szCs w:val="10"/>
                <w:lang w:val="en-US"/>
              </w:rPr>
            </w:pPr>
            <w:r w:rsidRPr="002D0155">
              <w:rPr>
                <w:rFonts w:cs="Times New Roman"/>
                <w:sz w:val="10"/>
                <w:szCs w:val="10"/>
                <w:lang w:val="en-US"/>
              </w:rPr>
              <w:t>-3.99</w:t>
            </w:r>
          </w:p>
        </w:tc>
      </w:tr>
    </w:tbl>
    <w:p w:rsidR="008B27E7" w:rsidRPr="002D0155" w:rsidRDefault="008B27E7" w:rsidP="008B27E7">
      <w:pPr>
        <w:rPr>
          <w:rFonts w:cs="Times New Roman"/>
          <w:sz w:val="10"/>
          <w:szCs w:val="10"/>
          <w:lang w:val="en-US"/>
        </w:rPr>
      </w:pPr>
      <w:r w:rsidRPr="002D0155">
        <w:rPr>
          <w:rFonts w:cs="Times New Roman"/>
          <w:sz w:val="10"/>
          <w:szCs w:val="10"/>
          <w:lang w:val="en-US"/>
        </w:rPr>
        <w:t xml:space="preserve"> </w:t>
      </w:r>
    </w:p>
    <w:p w:rsidR="008B27E7" w:rsidRPr="002D0155" w:rsidRDefault="008B27E7" w:rsidP="008B27E7">
      <w:pPr>
        <w:rPr>
          <w:rFonts w:cs="Times New Roman"/>
          <w:sz w:val="24"/>
          <w:szCs w:val="24"/>
          <w:lang w:val="en-US"/>
        </w:rPr>
      </w:pPr>
      <w:r w:rsidRPr="002D0155">
        <w:rPr>
          <w:rFonts w:cs="Times New Roman"/>
          <w:noProof/>
          <w:sz w:val="24"/>
          <w:szCs w:val="24"/>
          <w:lang w:val="en-US"/>
        </w:rPr>
        <w:lastRenderedPageBreak/>
        <w:drawing>
          <wp:inline distT="114300" distB="114300" distL="114300" distR="114300" wp14:anchorId="623E5C4B" wp14:editId="0D678F74">
            <wp:extent cx="5787868" cy="5597534"/>
            <wp:effectExtent l="0" t="0" r="0" b="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t="14104" b="11102"/>
                    <a:stretch>
                      <a:fillRect/>
                    </a:stretch>
                  </pic:blipFill>
                  <pic:spPr>
                    <a:xfrm>
                      <a:off x="0" y="0"/>
                      <a:ext cx="5787868" cy="5597534"/>
                    </a:xfrm>
                    <a:prstGeom prst="rect">
                      <a:avLst/>
                    </a:prstGeom>
                    <a:ln/>
                  </pic:spPr>
                </pic:pic>
              </a:graphicData>
            </a:graphic>
          </wp:inline>
        </w:drawing>
      </w:r>
    </w:p>
    <w:p w:rsidR="008B27E7" w:rsidRPr="008368AF" w:rsidRDefault="008B27E7" w:rsidP="008B27E7">
      <w:pPr>
        <w:rPr>
          <w:rFonts w:cs="Times New Roman"/>
          <w:color w:val="222222"/>
          <w:sz w:val="18"/>
          <w:szCs w:val="18"/>
          <w:lang w:val="en-US"/>
        </w:rPr>
      </w:pPr>
      <w:r w:rsidRPr="008368AF">
        <w:rPr>
          <w:rFonts w:cs="Times New Roman"/>
          <w:b/>
          <w:bCs/>
          <w:color w:val="222222"/>
          <w:sz w:val="18"/>
          <w:szCs w:val="18"/>
          <w:lang w:val="en-US"/>
        </w:rPr>
        <w:t>Figure S3:</w:t>
      </w:r>
      <w:r w:rsidRPr="008368AF">
        <w:rPr>
          <w:rFonts w:cs="Times New Roman"/>
          <w:sz w:val="18"/>
          <w:szCs w:val="18"/>
          <w:lang w:val="en-US"/>
        </w:rPr>
        <w:t xml:space="preserve"> Pedogenic carbonate clumped isotope temperatures, oxygen and carbon stable isotopic values and calculated soil water </w:t>
      </w:r>
      <w:r w:rsidRPr="008368AF">
        <w:rPr>
          <w:rFonts w:ascii="Cambria Math" w:eastAsia="Times New Roman" w:hAnsi="Cambria Math" w:cs="Cambria Math"/>
          <w:sz w:val="18"/>
          <w:szCs w:val="18"/>
          <w:lang w:val="en-US"/>
        </w:rPr>
        <w:t>𝛿</w:t>
      </w:r>
      <w:r w:rsidRPr="008368AF">
        <w:rPr>
          <w:rFonts w:cs="Times New Roman"/>
          <w:sz w:val="18"/>
          <w:szCs w:val="18"/>
          <w:vertAlign w:val="superscript"/>
          <w:lang w:val="en-US"/>
        </w:rPr>
        <w:t>18</w:t>
      </w:r>
      <w:r w:rsidRPr="008368AF">
        <w:rPr>
          <w:rFonts w:cs="Times New Roman"/>
          <w:sz w:val="18"/>
          <w:szCs w:val="18"/>
          <w:lang w:val="en-US"/>
        </w:rPr>
        <w:t>O</w:t>
      </w:r>
      <w:r w:rsidRPr="008368AF">
        <w:rPr>
          <w:rFonts w:cs="Times New Roman"/>
          <w:sz w:val="18"/>
          <w:szCs w:val="18"/>
          <w:vertAlign w:val="subscript"/>
          <w:lang w:val="en-US"/>
        </w:rPr>
        <w:t>w</w:t>
      </w:r>
      <w:r w:rsidRPr="008368AF">
        <w:rPr>
          <w:rFonts w:cs="Times New Roman"/>
          <w:sz w:val="18"/>
          <w:szCs w:val="18"/>
          <w:lang w:val="en-US"/>
        </w:rPr>
        <w:t xml:space="preserve"> values. L</w:t>
      </w:r>
      <w:r w:rsidRPr="008368AF">
        <w:rPr>
          <w:rFonts w:cs="Times New Roman"/>
          <w:color w:val="222222"/>
          <w:sz w:val="18"/>
          <w:szCs w:val="18"/>
          <w:lang w:val="en-US"/>
        </w:rPr>
        <w:t xml:space="preserve">ithostratigraphy of the </w:t>
      </w:r>
      <w:proofErr w:type="spellStart"/>
      <w:r w:rsidRPr="008368AF">
        <w:rPr>
          <w:rFonts w:cs="Times New Roman"/>
          <w:color w:val="222222"/>
          <w:sz w:val="18"/>
          <w:szCs w:val="18"/>
          <w:lang w:val="en-US"/>
        </w:rPr>
        <w:t>Ruines</w:t>
      </w:r>
      <w:proofErr w:type="spellEnd"/>
      <w:r w:rsidRPr="008368AF">
        <w:rPr>
          <w:rFonts w:cs="Times New Roman"/>
          <w:color w:val="222222"/>
          <w:sz w:val="18"/>
          <w:szCs w:val="18"/>
          <w:lang w:val="en-US"/>
        </w:rPr>
        <w:t xml:space="preserve">-Grange (CR) and </w:t>
      </w:r>
      <w:proofErr w:type="spellStart"/>
      <w:r w:rsidRPr="008368AF">
        <w:rPr>
          <w:rFonts w:cs="Times New Roman"/>
          <w:color w:val="222222"/>
          <w:sz w:val="18"/>
          <w:szCs w:val="18"/>
          <w:lang w:val="en-US"/>
        </w:rPr>
        <w:t>Beynes</w:t>
      </w:r>
      <w:proofErr w:type="spellEnd"/>
      <w:r w:rsidRPr="008368AF">
        <w:rPr>
          <w:rFonts w:cs="Times New Roman"/>
          <w:color w:val="222222"/>
          <w:sz w:val="18"/>
          <w:szCs w:val="18"/>
          <w:lang w:val="en-US"/>
        </w:rPr>
        <w:t xml:space="preserve"> (BE) sections. Modified after </w:t>
      </w:r>
      <w:r w:rsidR="00B63D91">
        <w:rPr>
          <w:rFonts w:cs="Times New Roman"/>
          <w:color w:val="222222"/>
          <w:sz w:val="18"/>
          <w:szCs w:val="18"/>
          <w:lang w:val="en-US"/>
        </w:rPr>
        <w:fldChar w:fldCharType="begin" w:fldLock="1"/>
      </w:r>
      <w:r w:rsidR="00B63D91">
        <w:rPr>
          <w:rFonts w:cs="Times New Roman"/>
          <w:color w:val="222222"/>
          <w:sz w:val="18"/>
          <w:szCs w:val="18"/>
          <w:lang w:val="en-US"/>
        </w:rPr>
        <w:instrText>ADDIN CSL_CITATION {"citationItems":[{"id":"ITEM-1","itemData":{"author":[{"dropping-particle":"","family":"Bialkowski","given":"Anne","non-dropping-particle":"","parse-names":false,"suffix":""}],"id":"ITEM-1","issued":{"date-parts":[["2002"]]},"publisher":"École Nationale Supérieure des Mines de Paris","title":"Stratigraphie isotopique (carbone et oxygène) des séries continentales d'un bassin d'avant-pays (Oligo-Miocène du bassin de Digne-Valensole): paléoenvironnements et séquences de dépot","type":"thesis"},"uris":["http://www.mendeley.com/documents/?uuid=ad63ba83-8732-4983-8a23-6887d0ac09ef"]},{"id":"ITEM-2","itemData":{"author":[{"dropping-particle":"","family":"Bauer","given":"Hugues","non-dropping-particle":"","parse-names":false,"suffix":""}],"id":"ITEM-2","issued":{"date-parts":[["2006"]]},"title":"Influence of climate , eustasy and tectonics in the architecture of continental deposits . a case study from the early and middle miocene of the digne-valensole foreland basin ( se france )","type":"article-journal"},"uris":["http://www.mendeley.com/documents/?uuid=7c53d18e-5531-48b0-9f4f-13cd7115bfea"]},{"id":"ITEM-3","itemData":{"DOI":"10.2113/gssgfbull.184.6.583","ISSN":"00379409","abstract":"Stable isotope (C and O) analyses were carried out on pedogenic nodules from carbonate-rich paleosols from early to middle Miocene strata in the Digne-Valensole foreland basin (southeast France). Paleosols from three sections corresponding to several paleoenvironments were sampled in order to investigate the local influence on the isotope record of the depositional sites: a deltaic floodplain (Châteauredon section, BCR), an inland floodplain (Saule Mort section, SM) and a shallow lacustrine system (Pont d'Aiguines section, PA). According to their biostratigraphy, they correspond to the same stratigraphic interval. Paleosols are regularly distributed along the three sections. They have developed either on floodplain alluvium or on palustrine carbonate mud. They are characterized by fersiallitic red soils with a calcic horizon, typical of a xeric soil moisture conditions with a marked seasonality. Carbonate nodules sampled at depths of 0.3 to 1 m below the preserved top soil are considered suitable for paleoecological interpretation. The cross-plot of the δ18 and δ13 C values shows well-distributed data indicating that the pedogenic nodules were not affected by any major recrystallizations during burial. Their distribution indicates climate conditions similar to those of modern Mediterranean soils, characterized by carbonates precipitating from enriched meteoric water. A refined stratigraphic attribution of all the sections is based on the carbon isotope chemostratigraphy developed on the Châteauredon section by correlation with marine carbon isotope data [Bialkowski et al., 2006]. All sections extend from very early Aquitanian to middle Serravallian. No major hiatus was identified except for the one associated with a highly karstified surface in the Pont d'Aiguines section. The hiatus duration, estimated to 1 Ma, is interpreted as the record of some deformation at the front of the Digne thrust sheet during the Langhian. Most carbon isotope values are heavier than -8‰, suggesting a water-stressed C3 vegetation growing in a semi-arid environment. These semi-arid conditions are found in all sections during early Aquitanian and late Burdigalian to early Serravallian (Middle Miocene climatic optimum, MMCO), indicating similar environmental conditions between the coastal sites (BCR and PA sections) and the inland SM section. From middle Aquitanian to late Burdigalian, data from the coastal sites indicate typical C3 vegetation whereas xeric conditions character…","author":[{"dropping-particle":"","family":"Cojan","given":"Isabelle","non-dropping-particle":"","parse-names":false,"suffix":""},{"dropping-particle":"","family":"Bialkowski","given":"Anne","non-dropping-particle":"","parse-names":false,"suffix":""},{"dropping-particle":"","family":"Gillot","given":"Thomas","non-dropping-particle":"","parse-names":false,"suffix":""},{"dropping-particle":"","family":"Renard","given":"Maurice","non-dropping-particle":"","parse-names":false,"suffix":""}],"container-title":"Bulletin de la Societe Geologique de France","id":"ITEM-3","issue":"6","issued":{"date-parts":[["2013"]]},"page":"583-599","title":"Paleoenvironnement and paleoclimate reconstruction for the early to middle Miocene from stable isotopes in pedogenic carbonates (Digne-Valensole basin, southeastern France)","type":"article-journal","volume":"184"},"uris":["http://www.mendeley.com/documents/?uuid=668a4bf7-610b-4404-a43c-e145aceb38e9"]}],"mendeley":{"formattedCitation":"(Bauer, 2006; Bialkowski, 2002; Cojan et al., 2013)","manualFormatting":"Bauer (2006), Bialkowski (2002), and Cojan et al. (2013)","plainTextFormattedCitation":"(Bauer, 2006; Bialkowski, 2002; Cojan et al., 2013)","previouslyFormattedCitation":"(Bauer, 2006; Bialkowski, 2002; Cojan et al., 2013)"},"properties":{"noteIndex":0},"schema":"https://github.com/citation-style-language/schema/raw/master/csl-citation.json"}</w:instrText>
      </w:r>
      <w:r w:rsidR="00B63D91">
        <w:rPr>
          <w:rFonts w:cs="Times New Roman"/>
          <w:color w:val="222222"/>
          <w:sz w:val="18"/>
          <w:szCs w:val="18"/>
          <w:lang w:val="en-US"/>
        </w:rPr>
        <w:fldChar w:fldCharType="separate"/>
      </w:r>
      <w:r w:rsidR="00B63D91" w:rsidRPr="00B63D91">
        <w:rPr>
          <w:rFonts w:cs="Times New Roman"/>
          <w:noProof/>
          <w:color w:val="222222"/>
          <w:sz w:val="18"/>
          <w:szCs w:val="18"/>
          <w:lang w:val="en-US"/>
        </w:rPr>
        <w:t>Bauer</w:t>
      </w:r>
      <w:r w:rsidR="00B63D91">
        <w:rPr>
          <w:rFonts w:cs="Times New Roman"/>
          <w:noProof/>
          <w:color w:val="222222"/>
          <w:sz w:val="18"/>
          <w:szCs w:val="18"/>
          <w:lang w:val="en-US"/>
        </w:rPr>
        <w:t xml:space="preserve"> (</w:t>
      </w:r>
      <w:r w:rsidR="00B63D91" w:rsidRPr="00B63D91">
        <w:rPr>
          <w:rFonts w:cs="Times New Roman"/>
          <w:noProof/>
          <w:color w:val="222222"/>
          <w:sz w:val="18"/>
          <w:szCs w:val="18"/>
          <w:lang w:val="en-US"/>
        </w:rPr>
        <w:t>2006</w:t>
      </w:r>
      <w:r w:rsidR="00B63D91">
        <w:rPr>
          <w:rFonts w:cs="Times New Roman"/>
          <w:noProof/>
          <w:color w:val="222222"/>
          <w:sz w:val="18"/>
          <w:szCs w:val="18"/>
          <w:lang w:val="en-US"/>
        </w:rPr>
        <w:t xml:space="preserve">), </w:t>
      </w:r>
      <w:r w:rsidR="00B63D91" w:rsidRPr="00B63D91">
        <w:rPr>
          <w:rFonts w:cs="Times New Roman"/>
          <w:noProof/>
          <w:color w:val="222222"/>
          <w:sz w:val="18"/>
          <w:szCs w:val="18"/>
          <w:lang w:val="en-US"/>
        </w:rPr>
        <w:t>Bialkowski</w:t>
      </w:r>
      <w:r w:rsidR="00B63D91">
        <w:rPr>
          <w:rFonts w:cs="Times New Roman"/>
          <w:noProof/>
          <w:color w:val="222222"/>
          <w:sz w:val="18"/>
          <w:szCs w:val="18"/>
          <w:lang w:val="en-US"/>
        </w:rPr>
        <w:t xml:space="preserve"> (</w:t>
      </w:r>
      <w:r w:rsidR="00B63D91" w:rsidRPr="00B63D91">
        <w:rPr>
          <w:rFonts w:cs="Times New Roman"/>
          <w:noProof/>
          <w:color w:val="222222"/>
          <w:sz w:val="18"/>
          <w:szCs w:val="18"/>
          <w:lang w:val="en-US"/>
        </w:rPr>
        <w:t>2002</w:t>
      </w:r>
      <w:r w:rsidR="00B63D91">
        <w:rPr>
          <w:rFonts w:cs="Times New Roman"/>
          <w:noProof/>
          <w:color w:val="222222"/>
          <w:sz w:val="18"/>
          <w:szCs w:val="18"/>
          <w:lang w:val="en-US"/>
        </w:rPr>
        <w:t>), and</w:t>
      </w:r>
      <w:r w:rsidR="00B63D91" w:rsidRPr="00B63D91">
        <w:rPr>
          <w:rFonts w:cs="Times New Roman"/>
          <w:noProof/>
          <w:color w:val="222222"/>
          <w:sz w:val="18"/>
          <w:szCs w:val="18"/>
          <w:lang w:val="en-US"/>
        </w:rPr>
        <w:t xml:space="preserve"> Cojan et al. </w:t>
      </w:r>
      <w:r w:rsidR="00B63D91">
        <w:rPr>
          <w:rFonts w:cs="Times New Roman"/>
          <w:noProof/>
          <w:color w:val="222222"/>
          <w:sz w:val="18"/>
          <w:szCs w:val="18"/>
          <w:lang w:val="en-US"/>
        </w:rPr>
        <w:t>(</w:t>
      </w:r>
      <w:r w:rsidR="00B63D91" w:rsidRPr="00B63D91">
        <w:rPr>
          <w:rFonts w:cs="Times New Roman"/>
          <w:noProof/>
          <w:color w:val="222222"/>
          <w:sz w:val="18"/>
          <w:szCs w:val="18"/>
          <w:lang w:val="en-US"/>
        </w:rPr>
        <w:t>2013)</w:t>
      </w:r>
      <w:r w:rsidR="00B63D91">
        <w:rPr>
          <w:rFonts w:cs="Times New Roman"/>
          <w:color w:val="222222"/>
          <w:sz w:val="18"/>
          <w:szCs w:val="18"/>
          <w:lang w:val="en-US"/>
        </w:rPr>
        <w:fldChar w:fldCharType="end"/>
      </w:r>
      <w:r w:rsidRPr="008368AF">
        <w:rPr>
          <w:rFonts w:cs="Times New Roman"/>
          <w:color w:val="222222"/>
          <w:sz w:val="18"/>
          <w:szCs w:val="18"/>
          <w:lang w:val="en-US"/>
        </w:rPr>
        <w:t xml:space="preserve">. </w:t>
      </w:r>
    </w:p>
    <w:p w:rsidR="008B27E7" w:rsidRPr="008368AF" w:rsidRDefault="0067478A" w:rsidP="008B27E7">
      <w:pPr>
        <w:pStyle w:val="Heading1"/>
      </w:pPr>
      <w:bookmarkStart w:id="4" w:name="_ldkjwomftzel" w:colFirst="0" w:colLast="0"/>
      <w:bookmarkEnd w:id="4"/>
      <w:r>
        <w:t>S</w:t>
      </w:r>
      <w:r w:rsidR="008B27E7" w:rsidRPr="008368AF">
        <w:t>5.    Age Model</w:t>
      </w:r>
    </w:p>
    <w:p w:rsidR="008B27E7" w:rsidRPr="002D0155" w:rsidRDefault="008B27E7" w:rsidP="008B27E7">
      <w:pPr>
        <w:rPr>
          <w:lang w:val="en-US"/>
        </w:rPr>
      </w:pPr>
      <w:r w:rsidRPr="002D0155">
        <w:rPr>
          <w:lang w:val="en-US"/>
        </w:rPr>
        <w:t xml:space="preserve">As described in the main text, we adopt and update the initial age model of </w:t>
      </w:r>
      <w:r w:rsidR="00B63D91">
        <w:rPr>
          <w:lang w:val="en-US"/>
        </w:rPr>
        <w:fldChar w:fldCharType="begin" w:fldLock="1"/>
      </w:r>
      <w:r w:rsidR="00B63D91">
        <w:rPr>
          <w:lang w:val="en-US"/>
        </w:rPr>
        <w:instrText>ADDIN CSL_CITATION {"citationItems":[{"id":"ITEM-1","itemData":{"DOI":"10.1007/s00015-006-1176-y","ISSN":"00129402","abstract":"This study presents the results of a palynological analysis (dinocysts, spores and pollen) that are discussed with those obtained from stable isotopes geochemistry (δ13C and δ18O) on Miocene coastal and continental deposits in the southern area of the Digne Valensole Basin. Palynology study has been conducted on dark levels while isotopic analysis was performed on paleosol carbonate nodules. Stratigraphic attributions based on palynology are restricted to dinoflagellate cysts associations as spore and pollen assemblages are scarcely identified. They confirm the stratigraphy based on the micromammal fossil sites and propose an Aquitanian to early Serravallian age. From a selection of ODP-DSDP sites, the marine δ13C chemostratigraphy shows several characteristic isotopic intervals. These were also identified on the continental signal from the paleosols. Stratigraphic interpretation from the isotopic continental signal is in good agreement with both palynological data and micromammal sites attributions. It can offer a high resolution correlation, a few 100 kyr when paleosols are frequent and δ13C fluctuations significant. The method puts also in evidence hiatuses (during middle Aquitanian and late Burdigalian) and precise the age of formations interbedded between micromammal sites. Regarding paleoenvironmental reconstruction, the palynological study is more efficient than isotopic data and shows a flora evolution from mesothermic riparian and coastal vegetation during Aquitanian/Burdigalian to herbaceous and more open vegetation during the Langhian period in association to a drier and warmer climate. This study brings also new insights on paleogeographic reconstructions. The studied area was located close to the sea coast during the lower Miocene. Marine incursions occurred during the middle Aquitanian and from late Burdigalian to early Serravallian. These are characterized by tidal facies as well as dinoflagellate cysts and benthic foraminifera occurrences. These marine incursions, better recorded in the eastern part of the Châteauredon Dome, argued for a northern or a southern connection with the Miocene sea in relation to the foreland basin geodynamic evolution.","author":[{"dropping-particle":"","family":"Bialkowski","given":"Anne","non-dropping-particle":"","parse-names":false,"suffix":""},{"dropping-particle":"","family":"Châteauneuf","given":"Jean Jacques","non-dropping-particle":"","parse-names":false,"suffix":""},{"dropping-particle":"","family":"Cojan","given":"Isabelle","non-dropping-particle":"","parse-names":false,"suffix":""},{"dropping-particle":"","family":"Bauer","given":"Hugues","non-dropping-particle":"","parse-names":false,"suffix":""}],"container-title":"Eclogae Geologicae Helvetiae","id":"ITEM-1","issue":"1","issued":{"date-parts":[["2006"]]},"page":"1-15","title":"Integrated stratigraphy and paleoenvironmental reconstruction of the Miocene series of the Châteauredon Dome, S.E. France","type":"article-journal","volume":"99"},"uris":["http://www.mendeley.com/documents/?uuid=de58d704-37fe-49ff-be83-743a6e307507"]}],"mendeley":{"formattedCitation":"(Bialkowski et al., 2006)","manualFormatting":"Bialkowski et al. (2006)","plainTextFormattedCitation":"(Bialkowski et al., 2006)","previouslyFormattedCitation":"(Bialkowski et al., 2006)"},"properties":{"noteIndex":0},"schema":"https://github.com/citation-style-language/schema/raw/master/csl-citation.json"}</w:instrText>
      </w:r>
      <w:r w:rsidR="00B63D91">
        <w:rPr>
          <w:lang w:val="en-US"/>
        </w:rPr>
        <w:fldChar w:fldCharType="separate"/>
      </w:r>
      <w:r w:rsidR="00B63D91" w:rsidRPr="00B63D91">
        <w:rPr>
          <w:noProof/>
          <w:lang w:val="en-US"/>
        </w:rPr>
        <w:t>Bialkowski et al.</w:t>
      </w:r>
      <w:r w:rsidR="00B63D91">
        <w:rPr>
          <w:noProof/>
          <w:lang w:val="en-US"/>
        </w:rPr>
        <w:t xml:space="preserve"> (</w:t>
      </w:r>
      <w:r w:rsidR="00B63D91" w:rsidRPr="00B63D91">
        <w:rPr>
          <w:noProof/>
          <w:lang w:val="en-US"/>
        </w:rPr>
        <w:t>2006)</w:t>
      </w:r>
      <w:r w:rsidR="00B63D91">
        <w:rPr>
          <w:lang w:val="en-US"/>
        </w:rPr>
        <w:fldChar w:fldCharType="end"/>
      </w:r>
      <w:r w:rsidRPr="002D0155">
        <w:rPr>
          <w:lang w:val="en-US"/>
        </w:rPr>
        <w:t xml:space="preserve"> by tying the </w:t>
      </w:r>
      <w:r w:rsidRPr="002D0155">
        <w:rPr>
          <w:rFonts w:ascii="Cambria Math" w:hAnsi="Cambria Math" w:cs="Cambria Math"/>
          <w:lang w:val="en-US"/>
        </w:rPr>
        <w:t>𝛿</w:t>
      </w:r>
      <w:r w:rsidRPr="002D0155">
        <w:rPr>
          <w:vertAlign w:val="superscript"/>
          <w:lang w:val="en-US"/>
        </w:rPr>
        <w:t>13</w:t>
      </w:r>
      <w:r w:rsidRPr="002D0155">
        <w:rPr>
          <w:lang w:val="en-US"/>
        </w:rPr>
        <w:t xml:space="preserve">C curve of the BCR composite section to the LOESS smoothed benthic deep-sea foraminifera carbon isotope curve from </w:t>
      </w:r>
      <w:r w:rsidR="00B63D91">
        <w:rPr>
          <w:lang w:val="en-US"/>
        </w:rPr>
        <w:fldChar w:fldCharType="begin" w:fldLock="1"/>
      </w:r>
      <w:r w:rsidR="00B63D91">
        <w:rPr>
          <w:lang w:val="en-US"/>
        </w:rPr>
        <w:instrText>ADDIN CSL_CITATION {"citationItems":[{"id":"ITEM-1","itemData":{"DOI":"10.1126/SCIENCE.ABA6853","ISSN":"10959203","PMID":"32913105","abstract":"Much of our understanding of Earth's past climate comes from the measurement of oxygen and carbon isotope variations in deep-sea benthic foraminifera. Yet, long intervals in existing records lack the temporal resolution and age control needed to thoroughly categorize climate states of the Cenozoic era and to study their dynamics. Here, we present a new, highly resolved, astronomically dated, continuous composite of benthic foraminifer isotope records developed in our laboratories. Four climate states-Hothouse, Warmhouse, Coolhouse, Icehouse-are identified on the basis of their distinctive response to astronomical forcing depending on greenhouse gas concentrations and polar ice sheet volume. Statistical analysis of the nonlinear behavior encoded in our record reveals the key role that polar ice volume plays in the predictability of Cenozoic climate dynamics.","author":[{"dropping-particle":"","family":"Westerhold","given":"Thomas","non-dropping-particle":"","parse-names":false,"suffix":""},{"dropping-particle":"","family":"Marwan","given":"Norbert","non-dropping-particle":"","parse-names":false,"suffix":""},{"dropping-particle":"","family":"Drury","given":"Anna Joy","non-dropping-particle":"","parse-names":false,"suffix":""},{"dropping-particle":"","family":"Liebrand","given":"Diederik","non-dropping-particle":"","parse-names":false,"suffix":""},{"dropping-particle":"","family":"Agnini","given":"Claudia","non-dropping-particle":"","parse-names":false,"suffix":""},{"dropping-particle":"","family":"Anagnostou","given":"Eleni","non-dropping-particle":"","parse-names":false,"suffix":""},{"dropping-particle":"","family":"Barnet","given":"James S.K.","non-dropping-particle":"","parse-names":false,"suffix":""},{"dropping-particle":"","family":"Bohaty","given":"Steven M.","non-dropping-particle":"","parse-names":false,"suffix":""},{"dropping-particle":"","family":"Vleeschouwer","given":"David","non-dropping-particle":"De","parse-names":false,"suffix":""},{"dropping-particle":"","family":"Florindo","given":"Fabio","non-dropping-particle":"","parse-names":false,"suffix":""},{"dropping-particle":"","family":"Frederichs","given":"Thomas","non-dropping-particle":"","parse-names":false,"suffix":""},{"dropping-particle":"","family":"Hodell","given":"David A.","non-dropping-particle":"","parse-names":false,"suffix":""},{"dropping-particle":"","family":"Holbourn","given":"Ann E.","non-dropping-particle":"","parse-names":false,"suffix":""},{"dropping-particle":"","family":"Kroon","given":"Dick","non-dropping-particle":"","parse-names":false,"suffix":""},{"dropping-particle":"","family":"Lauretano","given":"Vittoria","non-dropping-particle":"","parse-names":false,"suffix":""},{"dropping-particle":"","family":"Littler","given":"Kate","non-dropping-particle":"","parse-names":false,"suffix":""},{"dropping-particle":"","family":"Lourens","given":"Lucas J.","non-dropping-particle":"","parse-names":false,"suffix":""},{"dropping-particle":"","family":"Lyle","given":"Mitchell","non-dropping-particle":"","parse-names":false,"suffix":""},{"dropping-particle":"","family":"Pälike","given":"Heiko","non-dropping-particle":"","parse-names":false,"suffix":""},{"dropping-particle":"","family":"Röhl","given":"Ursula","non-dropping-particle":"","parse-names":false,"suffix":""},{"dropping-particle":"","family":"Tian","given":"Jun","non-dropping-particle":"","parse-names":false,"suffix":""},{"dropping-particle":"","family":"Wilkens","given":"Roy H.","non-dropping-particle":"","parse-names":false,"suffix":""},{"dropping-particle":"","family":"Wilson","given":"Paul A.","non-dropping-particle":"","parse-names":false,"suffix":""},{"dropping-particle":"","family":"Zachos","given":"James C.","non-dropping-particle":"","parse-names":false,"suffix":""}],"container-title":"Science","id":"ITEM-1","issue":"6509","issued":{"date-parts":[["2020"]]},"page":"1383-1388","title":"An astronomically dated record of Earth's climate and its predictability over the last 66 million years","type":"article-journal","volume":"369"},"uris":["http://www.mendeley.com/documents/?uuid=61987b0b-c80f-4d01-9fd7-a9bfefcba9a8"]}],"mendeley":{"formattedCitation":"(Westerhold et al., 2020)","manualFormatting":"Westerhold et al. (2020)","plainTextFormattedCitation":"(Westerhold et al., 2020)","previouslyFormattedCitation":"(Westerhold et al., 2020)"},"properties":{"noteIndex":0},"schema":"https://github.com/citation-style-language/schema/raw/master/csl-citation.json"}</w:instrText>
      </w:r>
      <w:r w:rsidR="00B63D91">
        <w:rPr>
          <w:lang w:val="en-US"/>
        </w:rPr>
        <w:fldChar w:fldCharType="separate"/>
      </w:r>
      <w:r w:rsidR="00B63D91" w:rsidRPr="00B63D91">
        <w:rPr>
          <w:noProof/>
          <w:lang w:val="en-US"/>
        </w:rPr>
        <w:t>Westerhold et al.</w:t>
      </w:r>
      <w:r w:rsidR="00B63D91">
        <w:rPr>
          <w:noProof/>
          <w:lang w:val="en-US"/>
        </w:rPr>
        <w:t xml:space="preserve"> (</w:t>
      </w:r>
      <w:r w:rsidR="00B63D91" w:rsidRPr="00B63D91">
        <w:rPr>
          <w:noProof/>
          <w:lang w:val="en-US"/>
        </w:rPr>
        <w:t>2020)</w:t>
      </w:r>
      <w:r w:rsidR="00B63D91">
        <w:rPr>
          <w:lang w:val="en-US"/>
        </w:rPr>
        <w:fldChar w:fldCharType="end"/>
      </w:r>
      <w:r w:rsidRPr="002D0155">
        <w:rPr>
          <w:lang w:val="en-US"/>
        </w:rPr>
        <w:t xml:space="preserve">. </w:t>
      </w:r>
      <w:r w:rsidRPr="002D0155">
        <w:rPr>
          <w:color w:val="222222"/>
          <w:lang w:val="en-US"/>
        </w:rPr>
        <w:t xml:space="preserve">Tuning of the curves was performed using the </w:t>
      </w:r>
      <w:proofErr w:type="spellStart"/>
      <w:r w:rsidRPr="006732A5">
        <w:rPr>
          <w:i/>
          <w:iCs/>
          <w:color w:val="222222"/>
          <w:lang w:val="en-US"/>
        </w:rPr>
        <w:t>QAnalySeries</w:t>
      </w:r>
      <w:proofErr w:type="spellEnd"/>
      <w:r w:rsidRPr="002D0155">
        <w:rPr>
          <w:color w:val="222222"/>
          <w:lang w:val="en-US"/>
        </w:rPr>
        <w:t xml:space="preserve"> software </w:t>
      </w:r>
      <w:r w:rsidR="00B63D91">
        <w:rPr>
          <w:color w:val="222222"/>
          <w:lang w:val="en-US"/>
        </w:rPr>
        <w:fldChar w:fldCharType="begin" w:fldLock="1"/>
      </w:r>
      <w:r w:rsidR="00B63D91">
        <w:rPr>
          <w:color w:val="222222"/>
          <w:lang w:val="en-US"/>
        </w:rPr>
        <w:instrText>ADDIN CSL_CITATION {"citationItems":[{"id":"ITEM-1","itemData":{"author":[{"dropping-particle":"","family":"Kotov","given":"S","non-dropping-particle":"","parse-names":false,"suffix":""},{"dropping-particle":"","family":"Paelike","given":"H","non-dropping-particle":"","parse-names":false,"suffix":""}],"container-title":"AGU Fall Meeting Abstracts","id":"ITEM-1","issued":{"date-parts":[["2018","12"]]},"page":"PP53D-1230","title":"QAnalySeries - a cross-platform time series tuning and analysis tool","type":"paper-conference","volume":"2018"},"uris":["http://www.mendeley.com/documents/?uuid=b5a831f7-7df9-4850-9554-7e5e972d5469"]}],"mendeley":{"formattedCitation":"(Kotov and Paelike, 2018)","plainTextFormattedCitation":"(Kotov and Paelike, 2018)","previouslyFormattedCitation":"(Kotov and Paelike, 2018)"},"properties":{"noteIndex":0},"schema":"https://github.com/citation-style-language/schema/raw/master/csl-citation.json"}</w:instrText>
      </w:r>
      <w:r w:rsidR="00B63D91">
        <w:rPr>
          <w:color w:val="222222"/>
          <w:lang w:val="en-US"/>
        </w:rPr>
        <w:fldChar w:fldCharType="separate"/>
      </w:r>
      <w:r w:rsidR="00B63D91" w:rsidRPr="00B63D91">
        <w:rPr>
          <w:noProof/>
          <w:color w:val="222222"/>
          <w:lang w:val="en-US"/>
        </w:rPr>
        <w:t>(Kotov and Paelike, 2018)</w:t>
      </w:r>
      <w:r w:rsidR="00B63D91">
        <w:rPr>
          <w:color w:val="222222"/>
          <w:lang w:val="en-US"/>
        </w:rPr>
        <w:fldChar w:fldCharType="end"/>
      </w:r>
      <w:r w:rsidRPr="002D0155">
        <w:rPr>
          <w:color w:val="222222"/>
          <w:lang w:val="en-US"/>
        </w:rPr>
        <w:t>.</w:t>
      </w:r>
      <w:r w:rsidRPr="002D0155">
        <w:rPr>
          <w:lang w:val="en-US"/>
        </w:rPr>
        <w:t xml:space="preserve"> Absolute ages for epochs and stages of Neogene follow the astronomically tuned time scale of </w:t>
      </w:r>
      <w:r w:rsidR="00B63D91">
        <w:rPr>
          <w:lang w:val="en-US"/>
        </w:rPr>
        <w:fldChar w:fldCharType="begin" w:fldLock="1"/>
      </w:r>
      <w:r w:rsidR="00B63D91">
        <w:rPr>
          <w:lang w:val="en-US"/>
        </w:rPr>
        <w:instrText>ADDIN CSL_CITATION {"citationItems":[{"id":"ITEM-1","itemData":{"DOI":"10.1016/B978-0-444-59425-9.00029-9","ISBN":"9780444594259","author":[{"dropping-particle":"","family":"Hilgen","given":"Frederik J.","non-dropping-particle":"","parse-names":false,"suffix":""},{"dropping-particle":"","family":"Lourens","given":"Lucas J.","non-dropping-particle":"","parse-names":false,"suffix":""},{"dropping-particle":"","family":"Dam","given":"Jan A.","non-dropping-particle":"Van","parse-names":false,"suffix":""},{"dropping-particle":"","family":"Beu","given":"Alan G.","non-dropping-particle":"","parse-names":false,"suffix":""},{"dropping-particle":"","family":"Boyes","given":"Andrew F.","non-dropping-particle":"","parse-names":false,"suffix":""},{"dropping-particle":"","family":"Cooper","given":"Roger A.","non-dropping-particle":"","parse-names":false,"suffix":""},{"dropping-particle":"","family":"Krijgsman","given":"Wout","non-dropping-particle":"","parse-names":false,"suffix":""},{"dropping-particle":"","family":"Ogg","given":"James G.","non-dropping-particle":"","parse-names":false,"suffix":""},{"dropping-particle":"","family":"Piller","given":"Werner E.","non-dropping-particle":"","parse-names":false,"suffix":""},{"dropping-particle":"","family":"Wilson","given":"Douglas S.","non-dropping-particle":"","parse-names":false,"suffix":""}],"container-title":"The Geologic Time Scale 2012","id":"ITEM-1","issued":{"date-parts":[["2012"]]},"number-of-pages":"923-978","title":"The neogene period","type":"book"},"uris":["http://www.mendeley.com/documents/?uuid=08c4df74-484d-4d42-b2c2-3cba6aec6831"]}],"mendeley":{"formattedCitation":"(Hilgen et al., 2012)","manualFormatting":"Hilgen et al. (2012)","plainTextFormattedCitation":"(Hilgen et al., 2012)","previouslyFormattedCitation":"(Hilgen et al., 2012)"},"properties":{"noteIndex":0},"schema":"https://github.com/citation-style-language/schema/raw/master/csl-citation.json"}</w:instrText>
      </w:r>
      <w:r w:rsidR="00B63D91">
        <w:rPr>
          <w:lang w:val="en-US"/>
        </w:rPr>
        <w:fldChar w:fldCharType="separate"/>
      </w:r>
      <w:r w:rsidR="00B63D91" w:rsidRPr="00B63D91">
        <w:rPr>
          <w:noProof/>
          <w:lang w:val="en-US"/>
        </w:rPr>
        <w:t>Hilgen et al.</w:t>
      </w:r>
      <w:r w:rsidR="00B63D91">
        <w:rPr>
          <w:noProof/>
          <w:lang w:val="en-US"/>
        </w:rPr>
        <w:t xml:space="preserve"> (</w:t>
      </w:r>
      <w:r w:rsidR="00B63D91" w:rsidRPr="00B63D91">
        <w:rPr>
          <w:noProof/>
          <w:lang w:val="en-US"/>
        </w:rPr>
        <w:t>2012)</w:t>
      </w:r>
      <w:r w:rsidR="00B63D91">
        <w:rPr>
          <w:lang w:val="en-US"/>
        </w:rPr>
        <w:fldChar w:fldCharType="end"/>
      </w:r>
      <w:r w:rsidRPr="002D0155">
        <w:rPr>
          <w:lang w:val="en-US"/>
        </w:rPr>
        <w:t xml:space="preserve">. </w:t>
      </w:r>
    </w:p>
    <w:p w:rsidR="008B27E7" w:rsidRPr="008368AF" w:rsidRDefault="008B27E7" w:rsidP="008B27E7">
      <w:pPr>
        <w:rPr>
          <w:rFonts w:cs="Times New Roman"/>
          <w:sz w:val="18"/>
          <w:szCs w:val="18"/>
          <w:lang w:val="en-US"/>
        </w:rPr>
      </w:pPr>
    </w:p>
    <w:p w:rsidR="008B27E7" w:rsidRPr="008368AF" w:rsidRDefault="008B27E7" w:rsidP="008B27E7">
      <w:pPr>
        <w:rPr>
          <w:rFonts w:cs="Times New Roman"/>
          <w:sz w:val="18"/>
          <w:szCs w:val="18"/>
          <w:lang w:val="en-US"/>
        </w:rPr>
      </w:pPr>
      <w:r w:rsidRPr="008368AF">
        <w:rPr>
          <w:rFonts w:cs="Times New Roman"/>
          <w:b/>
          <w:bCs/>
          <w:sz w:val="18"/>
          <w:szCs w:val="18"/>
          <w:lang w:val="en-US"/>
        </w:rPr>
        <w:t>Table S2.</w:t>
      </w:r>
      <w:r w:rsidRPr="008368AF">
        <w:rPr>
          <w:rFonts w:cs="Times New Roman"/>
          <w:sz w:val="18"/>
          <w:szCs w:val="18"/>
          <w:lang w:val="en-US"/>
        </w:rPr>
        <w:t xml:space="preserve"> Tie points age model GTS 2012</w:t>
      </w:r>
    </w:p>
    <w:tbl>
      <w:tblPr>
        <w:tblW w:w="5000" w:type="pct"/>
        <w:jc w:val="center"/>
        <w:tblLook w:val="0600" w:firstRow="0" w:lastRow="0" w:firstColumn="0" w:lastColumn="0" w:noHBand="1" w:noVBand="1"/>
      </w:tblPr>
      <w:tblGrid>
        <w:gridCol w:w="1094"/>
        <w:gridCol w:w="1289"/>
        <w:gridCol w:w="1900"/>
        <w:gridCol w:w="1900"/>
        <w:gridCol w:w="2846"/>
      </w:tblGrid>
      <w:tr w:rsidR="008B27E7" w:rsidRPr="002D0155" w:rsidTr="00367C6D">
        <w:trPr>
          <w:jc w:val="center"/>
        </w:trPr>
        <w:tc>
          <w:tcPr>
            <w:tcW w:w="605" w:type="pct"/>
            <w:tcBorders>
              <w:top w:val="single" w:sz="12" w:space="0" w:color="auto"/>
            </w:tcBorders>
            <w:tcMar>
              <w:top w:w="-22" w:type="dxa"/>
              <w:left w:w="-22" w:type="dxa"/>
              <w:bottom w:w="-22" w:type="dxa"/>
              <w:right w:w="-22" w:type="dxa"/>
            </w:tcMar>
          </w:tcPr>
          <w:p w:rsidR="008B27E7" w:rsidRPr="006D1865" w:rsidRDefault="008B27E7" w:rsidP="00367C6D">
            <w:pPr>
              <w:spacing w:line="240" w:lineRule="auto"/>
              <w:jc w:val="center"/>
              <w:rPr>
                <w:rFonts w:cs="Times New Roman"/>
                <w:b/>
                <w:bCs/>
                <w:sz w:val="14"/>
                <w:szCs w:val="14"/>
                <w:lang w:val="en-US"/>
              </w:rPr>
            </w:pPr>
            <w:r w:rsidRPr="006D1865">
              <w:rPr>
                <w:rFonts w:cs="Times New Roman"/>
                <w:b/>
                <w:bCs/>
                <w:sz w:val="14"/>
                <w:szCs w:val="14"/>
                <w:lang w:val="en-US"/>
              </w:rPr>
              <w:lastRenderedPageBreak/>
              <w:t>Tie point</w:t>
            </w:r>
          </w:p>
        </w:tc>
        <w:tc>
          <w:tcPr>
            <w:tcW w:w="714" w:type="pct"/>
            <w:tcBorders>
              <w:top w:val="single" w:sz="12" w:space="0" w:color="auto"/>
            </w:tcBorders>
            <w:tcMar>
              <w:top w:w="-22" w:type="dxa"/>
              <w:left w:w="-22" w:type="dxa"/>
              <w:bottom w:w="-22" w:type="dxa"/>
              <w:right w:w="-22" w:type="dxa"/>
            </w:tcMar>
          </w:tcPr>
          <w:p w:rsidR="008B27E7" w:rsidRPr="006D1865" w:rsidRDefault="008B27E7" w:rsidP="00367C6D">
            <w:pPr>
              <w:spacing w:line="240" w:lineRule="auto"/>
              <w:jc w:val="center"/>
              <w:rPr>
                <w:rFonts w:cs="Times New Roman"/>
                <w:b/>
                <w:bCs/>
                <w:sz w:val="14"/>
                <w:szCs w:val="14"/>
                <w:lang w:val="en-US"/>
              </w:rPr>
            </w:pPr>
            <w:r w:rsidRPr="006D1865">
              <w:rPr>
                <w:rFonts w:cs="Times New Roman"/>
                <w:b/>
                <w:bCs/>
                <w:sz w:val="14"/>
                <w:szCs w:val="14"/>
                <w:lang w:val="en-US"/>
              </w:rPr>
              <w:t>Sample ID</w:t>
            </w:r>
          </w:p>
        </w:tc>
        <w:tc>
          <w:tcPr>
            <w:tcW w:w="1052" w:type="pct"/>
            <w:tcBorders>
              <w:top w:val="single" w:sz="12" w:space="0" w:color="auto"/>
            </w:tcBorders>
            <w:tcMar>
              <w:top w:w="-22" w:type="dxa"/>
              <w:left w:w="-22" w:type="dxa"/>
              <w:bottom w:w="-22" w:type="dxa"/>
              <w:right w:w="-22" w:type="dxa"/>
            </w:tcMar>
          </w:tcPr>
          <w:p w:rsidR="008B27E7" w:rsidRPr="006D1865" w:rsidRDefault="008B27E7" w:rsidP="00367C6D">
            <w:pPr>
              <w:spacing w:line="240" w:lineRule="auto"/>
              <w:jc w:val="center"/>
              <w:rPr>
                <w:rFonts w:cs="Times New Roman"/>
                <w:b/>
                <w:bCs/>
                <w:sz w:val="14"/>
                <w:szCs w:val="14"/>
                <w:lang w:val="en-US"/>
              </w:rPr>
            </w:pPr>
            <w:r w:rsidRPr="006D1865">
              <w:rPr>
                <w:rFonts w:cs="Times New Roman"/>
                <w:b/>
                <w:bCs/>
                <w:sz w:val="14"/>
                <w:szCs w:val="14"/>
                <w:lang w:val="en-US"/>
              </w:rPr>
              <w:t>GTS 1995 (Ma)</w:t>
            </w:r>
          </w:p>
        </w:tc>
        <w:tc>
          <w:tcPr>
            <w:tcW w:w="1052" w:type="pct"/>
            <w:tcBorders>
              <w:top w:val="single" w:sz="12" w:space="0" w:color="auto"/>
            </w:tcBorders>
            <w:tcMar>
              <w:top w:w="-22" w:type="dxa"/>
              <w:left w:w="-22" w:type="dxa"/>
              <w:bottom w:w="-22" w:type="dxa"/>
              <w:right w:w="-22" w:type="dxa"/>
            </w:tcMar>
          </w:tcPr>
          <w:p w:rsidR="008B27E7" w:rsidRPr="006D1865" w:rsidRDefault="008B27E7" w:rsidP="00367C6D">
            <w:pPr>
              <w:spacing w:line="240" w:lineRule="auto"/>
              <w:jc w:val="center"/>
              <w:rPr>
                <w:rFonts w:cs="Times New Roman"/>
                <w:b/>
                <w:bCs/>
                <w:sz w:val="14"/>
                <w:szCs w:val="14"/>
                <w:lang w:val="en-US"/>
              </w:rPr>
            </w:pPr>
            <w:r w:rsidRPr="006D1865">
              <w:rPr>
                <w:rFonts w:cs="Times New Roman"/>
                <w:b/>
                <w:bCs/>
                <w:sz w:val="14"/>
                <w:szCs w:val="14"/>
                <w:lang w:val="en-US"/>
              </w:rPr>
              <w:t>GTS 2012 (Ma)</w:t>
            </w:r>
          </w:p>
        </w:tc>
        <w:tc>
          <w:tcPr>
            <w:tcW w:w="1576" w:type="pct"/>
            <w:tcBorders>
              <w:top w:val="single" w:sz="12" w:space="0" w:color="auto"/>
            </w:tcBorders>
            <w:tcMar>
              <w:top w:w="-22" w:type="dxa"/>
              <w:left w:w="-22" w:type="dxa"/>
              <w:bottom w:w="-22" w:type="dxa"/>
              <w:right w:w="-22" w:type="dxa"/>
            </w:tcMar>
          </w:tcPr>
          <w:p w:rsidR="008B27E7" w:rsidRPr="006D1865" w:rsidRDefault="008B27E7" w:rsidP="00367C6D">
            <w:pPr>
              <w:spacing w:line="240" w:lineRule="auto"/>
              <w:jc w:val="center"/>
              <w:rPr>
                <w:rFonts w:cs="Times New Roman"/>
                <w:b/>
                <w:bCs/>
                <w:sz w:val="14"/>
                <w:szCs w:val="14"/>
                <w:lang w:val="en-US"/>
              </w:rPr>
            </w:pPr>
            <w:r w:rsidRPr="006D1865">
              <w:rPr>
                <w:rFonts w:cs="Times New Roman"/>
                <w:b/>
                <w:bCs/>
                <w:sz w:val="14"/>
                <w:szCs w:val="14"/>
                <w:lang w:val="en-US"/>
              </w:rPr>
              <w:t>Stratigraphic height (m)</w:t>
            </w:r>
          </w:p>
        </w:tc>
      </w:tr>
      <w:tr w:rsidR="008B27E7" w:rsidRPr="002D0155" w:rsidTr="00367C6D">
        <w:trPr>
          <w:jc w:val="center"/>
        </w:trPr>
        <w:tc>
          <w:tcPr>
            <w:tcW w:w="605" w:type="pct"/>
            <w:tcBorders>
              <w:top w:val="single" w:sz="8" w:space="0" w:color="auto"/>
            </w:tcBorders>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12</w:t>
            </w:r>
          </w:p>
        </w:tc>
        <w:tc>
          <w:tcPr>
            <w:tcW w:w="714" w:type="pct"/>
            <w:tcBorders>
              <w:top w:val="single" w:sz="8" w:space="0" w:color="auto"/>
            </w:tcBorders>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98GR37</w:t>
            </w:r>
          </w:p>
        </w:tc>
        <w:tc>
          <w:tcPr>
            <w:tcW w:w="1052" w:type="pct"/>
            <w:tcBorders>
              <w:top w:val="single" w:sz="8" w:space="0" w:color="auto"/>
            </w:tcBorders>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12.5</w:t>
            </w:r>
          </w:p>
        </w:tc>
        <w:tc>
          <w:tcPr>
            <w:tcW w:w="1052" w:type="pct"/>
            <w:tcBorders>
              <w:top w:val="single" w:sz="8" w:space="0" w:color="auto"/>
            </w:tcBorders>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12.3</w:t>
            </w:r>
          </w:p>
        </w:tc>
        <w:tc>
          <w:tcPr>
            <w:tcW w:w="1576" w:type="pct"/>
            <w:tcBorders>
              <w:top w:val="single" w:sz="8" w:space="0" w:color="auto"/>
            </w:tcBorders>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537.5</w:t>
            </w:r>
          </w:p>
        </w:tc>
      </w:tr>
      <w:tr w:rsidR="008B27E7" w:rsidRPr="002D0155" w:rsidTr="00367C6D">
        <w:trPr>
          <w:jc w:val="center"/>
        </w:trPr>
        <w:tc>
          <w:tcPr>
            <w:tcW w:w="605"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11</w:t>
            </w:r>
          </w:p>
        </w:tc>
        <w:tc>
          <w:tcPr>
            <w:tcW w:w="714"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99CH03</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13</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13.1</w:t>
            </w:r>
          </w:p>
        </w:tc>
        <w:tc>
          <w:tcPr>
            <w:tcW w:w="1576"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516</w:t>
            </w:r>
          </w:p>
        </w:tc>
      </w:tr>
      <w:tr w:rsidR="008B27E7" w:rsidRPr="002D0155" w:rsidTr="00367C6D">
        <w:trPr>
          <w:jc w:val="center"/>
        </w:trPr>
        <w:tc>
          <w:tcPr>
            <w:tcW w:w="605"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10</w:t>
            </w:r>
          </w:p>
        </w:tc>
        <w:tc>
          <w:tcPr>
            <w:tcW w:w="714"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99CH16</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13.5</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13.8</w:t>
            </w:r>
          </w:p>
        </w:tc>
        <w:tc>
          <w:tcPr>
            <w:tcW w:w="1576"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497</w:t>
            </w:r>
          </w:p>
        </w:tc>
      </w:tr>
      <w:tr w:rsidR="008B27E7" w:rsidRPr="002D0155" w:rsidTr="00367C6D">
        <w:trPr>
          <w:jc w:val="center"/>
        </w:trPr>
        <w:tc>
          <w:tcPr>
            <w:tcW w:w="605"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w:t>
            </w:r>
          </w:p>
        </w:tc>
        <w:tc>
          <w:tcPr>
            <w:tcW w:w="714"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99CH14</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14</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13.9</w:t>
            </w:r>
          </w:p>
        </w:tc>
        <w:tc>
          <w:tcPr>
            <w:tcW w:w="1576"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494.5</w:t>
            </w:r>
          </w:p>
        </w:tc>
      </w:tr>
      <w:tr w:rsidR="008B27E7" w:rsidRPr="002D0155" w:rsidTr="00367C6D">
        <w:trPr>
          <w:jc w:val="center"/>
        </w:trPr>
        <w:tc>
          <w:tcPr>
            <w:tcW w:w="605"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8</w:t>
            </w:r>
          </w:p>
        </w:tc>
        <w:tc>
          <w:tcPr>
            <w:tcW w:w="714"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98GR24</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15.5</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15.6</w:t>
            </w:r>
          </w:p>
        </w:tc>
        <w:tc>
          <w:tcPr>
            <w:tcW w:w="1576"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445.5</w:t>
            </w:r>
          </w:p>
        </w:tc>
      </w:tr>
      <w:tr w:rsidR="008B27E7" w:rsidRPr="002D0155" w:rsidTr="00367C6D">
        <w:trPr>
          <w:jc w:val="center"/>
        </w:trPr>
        <w:tc>
          <w:tcPr>
            <w:tcW w:w="605"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7</w:t>
            </w:r>
          </w:p>
        </w:tc>
        <w:tc>
          <w:tcPr>
            <w:tcW w:w="714"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98GR05</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16.9</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16.8</w:t>
            </w:r>
          </w:p>
        </w:tc>
        <w:tc>
          <w:tcPr>
            <w:tcW w:w="1576"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348.5</w:t>
            </w:r>
          </w:p>
        </w:tc>
      </w:tr>
      <w:tr w:rsidR="008B27E7" w:rsidRPr="002D0155" w:rsidTr="00367C6D">
        <w:trPr>
          <w:jc w:val="center"/>
        </w:trPr>
        <w:tc>
          <w:tcPr>
            <w:tcW w:w="605"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6</w:t>
            </w:r>
          </w:p>
        </w:tc>
        <w:tc>
          <w:tcPr>
            <w:tcW w:w="714"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98RU20</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20.7</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19.8</w:t>
            </w:r>
          </w:p>
        </w:tc>
        <w:tc>
          <w:tcPr>
            <w:tcW w:w="1576"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180.5</w:t>
            </w:r>
          </w:p>
        </w:tc>
      </w:tr>
      <w:tr w:rsidR="008B27E7" w:rsidRPr="002D0155" w:rsidTr="00367C6D">
        <w:trPr>
          <w:jc w:val="center"/>
        </w:trPr>
        <w:tc>
          <w:tcPr>
            <w:tcW w:w="605"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5</w:t>
            </w:r>
          </w:p>
        </w:tc>
        <w:tc>
          <w:tcPr>
            <w:tcW w:w="714"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98RE45</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21.8</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21.3</w:t>
            </w:r>
          </w:p>
        </w:tc>
        <w:tc>
          <w:tcPr>
            <w:tcW w:w="1576"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93.8</w:t>
            </w:r>
          </w:p>
        </w:tc>
      </w:tr>
      <w:tr w:rsidR="008B27E7" w:rsidRPr="002D0155" w:rsidTr="00367C6D">
        <w:trPr>
          <w:jc w:val="center"/>
        </w:trPr>
        <w:tc>
          <w:tcPr>
            <w:tcW w:w="605"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4</w:t>
            </w:r>
          </w:p>
        </w:tc>
        <w:tc>
          <w:tcPr>
            <w:tcW w:w="714"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98RE36</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22.3</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21.9</w:t>
            </w:r>
          </w:p>
        </w:tc>
        <w:tc>
          <w:tcPr>
            <w:tcW w:w="1576"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60</w:t>
            </w:r>
          </w:p>
        </w:tc>
      </w:tr>
      <w:tr w:rsidR="008B27E7" w:rsidRPr="002D0155" w:rsidTr="00367C6D">
        <w:trPr>
          <w:jc w:val="center"/>
        </w:trPr>
        <w:tc>
          <w:tcPr>
            <w:tcW w:w="605"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3</w:t>
            </w:r>
          </w:p>
        </w:tc>
        <w:tc>
          <w:tcPr>
            <w:tcW w:w="714"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98RE31</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22.8</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22.3</w:t>
            </w:r>
          </w:p>
        </w:tc>
        <w:tc>
          <w:tcPr>
            <w:tcW w:w="1576"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43.5</w:t>
            </w:r>
          </w:p>
        </w:tc>
      </w:tr>
      <w:tr w:rsidR="008B27E7" w:rsidRPr="002D0155" w:rsidTr="00367C6D">
        <w:trPr>
          <w:jc w:val="center"/>
        </w:trPr>
        <w:tc>
          <w:tcPr>
            <w:tcW w:w="605"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w:t>
            </w:r>
          </w:p>
        </w:tc>
        <w:tc>
          <w:tcPr>
            <w:tcW w:w="714"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98RE23</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23</w:t>
            </w:r>
          </w:p>
        </w:tc>
        <w:tc>
          <w:tcPr>
            <w:tcW w:w="1052"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23</w:t>
            </w:r>
          </w:p>
        </w:tc>
        <w:tc>
          <w:tcPr>
            <w:tcW w:w="1576" w:type="pct"/>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23.5</w:t>
            </w:r>
          </w:p>
        </w:tc>
      </w:tr>
      <w:tr w:rsidR="008B27E7" w:rsidRPr="002D0155" w:rsidTr="00367C6D">
        <w:trPr>
          <w:jc w:val="center"/>
        </w:trPr>
        <w:tc>
          <w:tcPr>
            <w:tcW w:w="605" w:type="pct"/>
            <w:tcBorders>
              <w:bottom w:val="single" w:sz="12" w:space="0" w:color="auto"/>
            </w:tcBorders>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1</w:t>
            </w:r>
          </w:p>
        </w:tc>
        <w:tc>
          <w:tcPr>
            <w:tcW w:w="714" w:type="pct"/>
            <w:tcBorders>
              <w:bottom w:val="single" w:sz="12" w:space="0" w:color="auto"/>
            </w:tcBorders>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98RE05</w:t>
            </w:r>
          </w:p>
        </w:tc>
        <w:tc>
          <w:tcPr>
            <w:tcW w:w="1052" w:type="pct"/>
            <w:tcBorders>
              <w:bottom w:val="single" w:sz="12" w:space="0" w:color="auto"/>
            </w:tcBorders>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23.3</w:t>
            </w:r>
          </w:p>
        </w:tc>
        <w:tc>
          <w:tcPr>
            <w:tcW w:w="1052" w:type="pct"/>
            <w:tcBorders>
              <w:bottom w:val="single" w:sz="12" w:space="0" w:color="auto"/>
            </w:tcBorders>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23.3</w:t>
            </w:r>
          </w:p>
        </w:tc>
        <w:tc>
          <w:tcPr>
            <w:tcW w:w="1576" w:type="pct"/>
            <w:tcBorders>
              <w:bottom w:val="single" w:sz="12" w:space="0" w:color="auto"/>
            </w:tcBorders>
            <w:tcMar>
              <w:top w:w="-22" w:type="dxa"/>
              <w:left w:w="-22" w:type="dxa"/>
              <w:bottom w:w="-22" w:type="dxa"/>
              <w:right w:w="-22" w:type="dxa"/>
            </w:tcMar>
          </w:tcPr>
          <w:p w:rsidR="008B27E7" w:rsidRPr="008368AF" w:rsidRDefault="008B27E7" w:rsidP="00367C6D">
            <w:pPr>
              <w:spacing w:line="240" w:lineRule="auto"/>
              <w:jc w:val="center"/>
              <w:rPr>
                <w:rFonts w:cs="Times New Roman"/>
                <w:sz w:val="14"/>
                <w:szCs w:val="14"/>
                <w:lang w:val="en-US"/>
              </w:rPr>
            </w:pPr>
            <w:r w:rsidRPr="008368AF">
              <w:rPr>
                <w:rFonts w:cs="Times New Roman"/>
                <w:sz w:val="14"/>
                <w:szCs w:val="14"/>
                <w:lang w:val="en-US"/>
              </w:rPr>
              <w:t>-0.5</w:t>
            </w:r>
          </w:p>
        </w:tc>
      </w:tr>
    </w:tbl>
    <w:p w:rsidR="008B27E7" w:rsidRPr="002D0155" w:rsidRDefault="008B27E7" w:rsidP="008B27E7">
      <w:pPr>
        <w:rPr>
          <w:rFonts w:cs="Times New Roman"/>
          <w:sz w:val="24"/>
          <w:szCs w:val="24"/>
          <w:lang w:val="en-US"/>
        </w:rPr>
      </w:pPr>
      <w:r w:rsidRPr="002D0155">
        <w:rPr>
          <w:rFonts w:cs="Times New Roman"/>
          <w:sz w:val="24"/>
          <w:szCs w:val="24"/>
          <w:lang w:val="en-US"/>
        </w:rPr>
        <w:t xml:space="preserve"> </w:t>
      </w:r>
    </w:p>
    <w:p w:rsidR="008B27E7" w:rsidRPr="002D0155" w:rsidRDefault="008B27E7" w:rsidP="008B27E7">
      <w:pPr>
        <w:rPr>
          <w:rFonts w:cs="Times New Roman"/>
          <w:sz w:val="18"/>
          <w:szCs w:val="18"/>
          <w:lang w:val="en-US"/>
        </w:rPr>
      </w:pPr>
      <w:r w:rsidRPr="006D1865">
        <w:rPr>
          <w:rFonts w:cs="Times New Roman"/>
          <w:b/>
          <w:bCs/>
          <w:sz w:val="18"/>
          <w:szCs w:val="18"/>
          <w:lang w:val="en-US"/>
        </w:rPr>
        <w:t>Table S3.</w:t>
      </w:r>
      <w:r w:rsidRPr="006D1865">
        <w:rPr>
          <w:rFonts w:cs="Times New Roman"/>
          <w:sz w:val="18"/>
          <w:szCs w:val="18"/>
          <w:lang w:val="en-US"/>
        </w:rPr>
        <w:t xml:space="preserve"> </w:t>
      </w:r>
      <w:proofErr w:type="spellStart"/>
      <w:r w:rsidRPr="006D1865">
        <w:rPr>
          <w:rFonts w:cs="Times New Roman"/>
          <w:sz w:val="18"/>
          <w:szCs w:val="18"/>
          <w:lang w:val="en-US"/>
        </w:rPr>
        <w:t>Biostratigraphic</w:t>
      </w:r>
      <w:proofErr w:type="spellEnd"/>
      <w:r w:rsidRPr="006D1865">
        <w:rPr>
          <w:rFonts w:cs="Times New Roman"/>
          <w:sz w:val="18"/>
          <w:szCs w:val="18"/>
          <w:lang w:val="en-US"/>
        </w:rPr>
        <w:t xml:space="preserve">, palynologic and </w:t>
      </w:r>
      <w:proofErr w:type="spellStart"/>
      <w:r w:rsidRPr="006D1865">
        <w:rPr>
          <w:rFonts w:cs="Times New Roman"/>
          <w:sz w:val="18"/>
          <w:szCs w:val="18"/>
          <w:lang w:val="en-US"/>
        </w:rPr>
        <w:t>dynocyst</w:t>
      </w:r>
      <w:proofErr w:type="spellEnd"/>
      <w:r w:rsidRPr="006D1865">
        <w:rPr>
          <w:rFonts w:cs="Times New Roman"/>
          <w:sz w:val="18"/>
          <w:szCs w:val="18"/>
          <w:lang w:val="en-US"/>
        </w:rPr>
        <w:t xml:space="preserve">-based constraints (from </w:t>
      </w:r>
      <w:r w:rsidR="00B63D91">
        <w:rPr>
          <w:rFonts w:cs="Times New Roman"/>
          <w:sz w:val="18"/>
          <w:szCs w:val="18"/>
          <w:lang w:val="en-US"/>
        </w:rPr>
        <w:fldChar w:fldCharType="begin" w:fldLock="1"/>
      </w:r>
      <w:r w:rsidR="00B63D91">
        <w:rPr>
          <w:rFonts w:cs="Times New Roman"/>
          <w:sz w:val="18"/>
          <w:szCs w:val="18"/>
          <w:lang w:val="en-US"/>
        </w:rPr>
        <w:instrText>ADDIN CSL_CITATION {"citationItems":[{"id":"ITEM-1","itemData":{"author":[{"dropping-particle":"","family":"Bialkowski","given":"Anne","non-dropping-particle":"","parse-names":false,"suffix":""}],"id":"ITEM-1","issued":{"date-parts":[["2002"]]},"publisher":"École Nationale Supérieure des Mines de Paris","title":"Stratigraphie isotopique (carbone et oxygène) des séries continentales d'un bassin d'avant-pays (Oligo-Miocène du bassin de Digne-Valensole): paléoenvironnements et séquences de dépot","type":"thesis"},"uris":["http://www.mendeley.com/documents/?uuid=ad63ba83-8732-4983-8a23-6887d0ac09ef"]},{"id":"ITEM-2","itemData":{"DOI":"10.2113/gssgfbull.184.6.583","ISSN":"00379409","abstract":"Stable isotope (C and O) analyses were carried out on pedogenic nodules from carbonate-rich paleosols from early to middle Miocene strata in the Digne-Valensole foreland basin (southeast France). Paleosols from three sections corresponding to several paleoenvironments were sampled in order to investigate the local influence on the isotope record of the depositional sites: a deltaic floodplain (Châteauredon section, BCR), an inland floodplain (Saule Mort section, SM) and a shallow lacustrine system (Pont d'Aiguines section, PA). According to their biostratigraphy, they correspond to the same stratigraphic interval. Paleosols are regularly distributed along the three sections. They have developed either on floodplain alluvium or on palustrine carbonate mud. They are characterized by fersiallitic red soils with a calcic horizon, typical of a xeric soil moisture conditions with a marked seasonality. Carbonate nodules sampled at depths of 0.3 to 1 m below the preserved top soil are considered suitable for paleoecological interpretation. The cross-plot of the δ18 and δ13 C values shows well-distributed data indicating that the pedogenic nodules were not affected by any major recrystallizations during burial. Their distribution indicates climate conditions similar to those of modern Mediterranean soils, characterized by carbonates precipitating from enriched meteoric water. A refined stratigraphic attribution of all the sections is based on the carbon isotope chemostratigraphy developed on the Châteauredon section by correlation with marine carbon isotope data [Bialkowski et al., 2006]. All sections extend from very early Aquitanian to middle Serravallian. No major hiatus was identified except for the one associated with a highly karstified surface in the Pont d'Aiguines section. The hiatus duration, estimated to 1 Ma, is interpreted as the record of some deformation at the front of the Digne thrust sheet during the Langhian. Most carbon isotope values are heavier than -8‰, suggesting a water-stressed C3 vegetation growing in a semi-arid environment. These semi-arid conditions are found in all sections during early Aquitanian and late Burdigalian to early Serravallian (Middle Miocene climatic optimum, MMCO), indicating similar environmental conditions between the coastal sites (BCR and PA sections) and the inland SM section. From middle Aquitanian to late Burdigalian, data from the coastal sites indicate typical C3 vegetation whereas xeric conditions character…","author":[{"dropping-particle":"","family":"Cojan","given":"Isabelle","non-dropping-particle":"","parse-names":false,"suffix":""},{"dropping-particle":"","family":"Bialkowski","given":"Anne","non-dropping-particle":"","parse-names":false,"suffix":""},{"dropping-particle":"","family":"Gillot","given":"Thomas","non-dropping-particle":"","parse-names":false,"suffix":""},{"dropping-particle":"","family":"Renard","given":"Maurice","non-dropping-particle":"","parse-names":false,"suffix":""}],"container-title":"Bulletin de la Societe Geologique de France","id":"ITEM-2","issue":"6","issued":{"date-parts":[["2013"]]},"page":"583-599","title":"Paleoenvironnement and paleoclimate reconstruction for the early to middle Miocene from stable isotopes in pedogenic carbonates (Digne-Valensole basin, southeastern France)","type":"article-journal","volume":"184"},"uris":["http://www.mendeley.com/documents/?uuid=668a4bf7-610b-4404-a43c-e145aceb38e9"]}],"mendeley":{"formattedCitation":"(Bialkowski, 2002; Cojan et al., 2013)","manualFormatting":"Bialkowski (2002) and Cojan et al. (2013)","plainTextFormattedCitation":"(Bialkowski, 2002; Cojan et al., 2013)","previouslyFormattedCitation":"(Bialkowski, 2002; Cojan et al., 2013)"},"properties":{"noteIndex":0},"schema":"https://github.com/citation-style-language/schema/raw/master/csl-citation.json"}</w:instrText>
      </w:r>
      <w:r w:rsidR="00B63D91">
        <w:rPr>
          <w:rFonts w:cs="Times New Roman"/>
          <w:sz w:val="18"/>
          <w:szCs w:val="18"/>
          <w:lang w:val="en-US"/>
        </w:rPr>
        <w:fldChar w:fldCharType="separate"/>
      </w:r>
      <w:r w:rsidR="00B63D91" w:rsidRPr="00B63D91">
        <w:rPr>
          <w:rFonts w:cs="Times New Roman"/>
          <w:noProof/>
          <w:sz w:val="18"/>
          <w:szCs w:val="18"/>
          <w:lang w:val="en-US"/>
        </w:rPr>
        <w:t>Bialkowski</w:t>
      </w:r>
      <w:r w:rsidR="00B63D91">
        <w:rPr>
          <w:rFonts w:cs="Times New Roman"/>
          <w:noProof/>
          <w:sz w:val="18"/>
          <w:szCs w:val="18"/>
          <w:lang w:val="en-US"/>
        </w:rPr>
        <w:t xml:space="preserve"> (</w:t>
      </w:r>
      <w:r w:rsidR="00B63D91" w:rsidRPr="00B63D91">
        <w:rPr>
          <w:rFonts w:cs="Times New Roman"/>
          <w:noProof/>
          <w:sz w:val="18"/>
          <w:szCs w:val="18"/>
          <w:lang w:val="en-US"/>
        </w:rPr>
        <w:t>2002</w:t>
      </w:r>
      <w:r w:rsidR="00B63D91">
        <w:rPr>
          <w:rFonts w:cs="Times New Roman"/>
          <w:noProof/>
          <w:sz w:val="18"/>
          <w:szCs w:val="18"/>
          <w:lang w:val="en-US"/>
        </w:rPr>
        <w:t>) and</w:t>
      </w:r>
      <w:r w:rsidR="00B63D91" w:rsidRPr="00B63D91">
        <w:rPr>
          <w:rFonts w:cs="Times New Roman"/>
          <w:noProof/>
          <w:sz w:val="18"/>
          <w:szCs w:val="18"/>
          <w:lang w:val="en-US"/>
        </w:rPr>
        <w:t xml:space="preserve"> Cojan et al.</w:t>
      </w:r>
      <w:r w:rsidR="00B63D91">
        <w:rPr>
          <w:rFonts w:cs="Times New Roman"/>
          <w:noProof/>
          <w:sz w:val="18"/>
          <w:szCs w:val="18"/>
          <w:lang w:val="en-US"/>
        </w:rPr>
        <w:t xml:space="preserve"> (</w:t>
      </w:r>
      <w:r w:rsidR="00B63D91" w:rsidRPr="00B63D91">
        <w:rPr>
          <w:rFonts w:cs="Times New Roman"/>
          <w:noProof/>
          <w:sz w:val="18"/>
          <w:szCs w:val="18"/>
          <w:lang w:val="en-US"/>
        </w:rPr>
        <w:t>2013)</w:t>
      </w:r>
      <w:r w:rsidR="00B63D91">
        <w:rPr>
          <w:rFonts w:cs="Times New Roman"/>
          <w:sz w:val="18"/>
          <w:szCs w:val="18"/>
          <w:lang w:val="en-US"/>
        </w:rPr>
        <w:fldChar w:fldCharType="end"/>
      </w:r>
      <w:r w:rsidRPr="006D1865">
        <w:rPr>
          <w:rFonts w:cs="Times New Roman"/>
          <w:sz w:val="18"/>
          <w:szCs w:val="18"/>
          <w:lang w:val="en-US"/>
        </w:rPr>
        <w:t xml:space="preserve"> with stratigraphic height and age range. </w:t>
      </w:r>
    </w:p>
    <w:tbl>
      <w:tblPr>
        <w:tblW w:w="8355" w:type="dxa"/>
        <w:jc w:val="center"/>
        <w:tblLayout w:type="fixed"/>
        <w:tblLook w:val="0600" w:firstRow="0" w:lastRow="0" w:firstColumn="0" w:lastColumn="0" w:noHBand="1" w:noVBand="1"/>
      </w:tblPr>
      <w:tblGrid>
        <w:gridCol w:w="2850"/>
        <w:gridCol w:w="2685"/>
        <w:gridCol w:w="2820"/>
      </w:tblGrid>
      <w:tr w:rsidR="008B27E7" w:rsidRPr="002D0155" w:rsidTr="00367C6D">
        <w:trPr>
          <w:trHeight w:val="245"/>
          <w:jc w:val="center"/>
        </w:trPr>
        <w:tc>
          <w:tcPr>
            <w:tcW w:w="2850" w:type="dxa"/>
            <w:tcBorders>
              <w:top w:val="single" w:sz="12" w:space="0" w:color="auto"/>
              <w:bottom w:val="single" w:sz="8" w:space="0" w:color="auto"/>
            </w:tcBorders>
            <w:tcMar>
              <w:top w:w="0" w:type="dxa"/>
              <w:left w:w="0" w:type="dxa"/>
              <w:bottom w:w="0" w:type="dxa"/>
              <w:right w:w="0" w:type="dxa"/>
            </w:tcMar>
          </w:tcPr>
          <w:p w:rsidR="008B27E7" w:rsidRPr="001C3AA8" w:rsidRDefault="008B27E7" w:rsidP="00367C6D">
            <w:pPr>
              <w:jc w:val="center"/>
              <w:rPr>
                <w:rFonts w:cs="Times New Roman"/>
                <w:b/>
                <w:bCs/>
                <w:sz w:val="14"/>
                <w:szCs w:val="14"/>
                <w:lang w:val="en-US"/>
              </w:rPr>
            </w:pPr>
            <w:r w:rsidRPr="001C3AA8">
              <w:rPr>
                <w:rFonts w:cs="Times New Roman"/>
                <w:b/>
                <w:bCs/>
                <w:sz w:val="14"/>
                <w:szCs w:val="14"/>
                <w:lang w:val="en-US"/>
              </w:rPr>
              <w:t>Constraint</w:t>
            </w:r>
          </w:p>
        </w:tc>
        <w:tc>
          <w:tcPr>
            <w:tcW w:w="2685" w:type="dxa"/>
            <w:tcBorders>
              <w:top w:val="single" w:sz="12" w:space="0" w:color="auto"/>
              <w:bottom w:val="single" w:sz="8" w:space="0" w:color="auto"/>
            </w:tcBorders>
            <w:tcMar>
              <w:top w:w="0" w:type="dxa"/>
              <w:left w:w="0" w:type="dxa"/>
              <w:bottom w:w="0" w:type="dxa"/>
              <w:right w:w="0" w:type="dxa"/>
            </w:tcMar>
          </w:tcPr>
          <w:p w:rsidR="008B27E7" w:rsidRPr="001C3AA8" w:rsidRDefault="008B27E7" w:rsidP="00367C6D">
            <w:pPr>
              <w:jc w:val="center"/>
              <w:rPr>
                <w:rFonts w:cs="Times New Roman"/>
                <w:b/>
                <w:bCs/>
                <w:sz w:val="14"/>
                <w:szCs w:val="14"/>
                <w:lang w:val="en-US"/>
              </w:rPr>
            </w:pPr>
            <w:r w:rsidRPr="001C3AA8">
              <w:rPr>
                <w:rFonts w:cs="Times New Roman"/>
                <w:b/>
                <w:bCs/>
                <w:sz w:val="14"/>
                <w:szCs w:val="14"/>
                <w:lang w:val="en-US"/>
              </w:rPr>
              <w:t>Stratigraphic height (m)</w:t>
            </w:r>
          </w:p>
        </w:tc>
        <w:tc>
          <w:tcPr>
            <w:tcW w:w="2820" w:type="dxa"/>
            <w:tcBorders>
              <w:top w:val="single" w:sz="12" w:space="0" w:color="auto"/>
              <w:bottom w:val="single" w:sz="8" w:space="0" w:color="auto"/>
            </w:tcBorders>
            <w:tcMar>
              <w:top w:w="0" w:type="dxa"/>
              <w:left w:w="0" w:type="dxa"/>
              <w:bottom w:w="0" w:type="dxa"/>
              <w:right w:w="0" w:type="dxa"/>
            </w:tcMar>
          </w:tcPr>
          <w:p w:rsidR="008B27E7" w:rsidRPr="001C3AA8" w:rsidRDefault="008B27E7" w:rsidP="00367C6D">
            <w:pPr>
              <w:jc w:val="center"/>
              <w:rPr>
                <w:rFonts w:cs="Times New Roman"/>
                <w:b/>
                <w:bCs/>
                <w:sz w:val="14"/>
                <w:szCs w:val="14"/>
                <w:lang w:val="en-US"/>
              </w:rPr>
            </w:pPr>
            <w:r w:rsidRPr="001C3AA8">
              <w:rPr>
                <w:rFonts w:cs="Times New Roman"/>
                <w:b/>
                <w:bCs/>
                <w:sz w:val="14"/>
                <w:szCs w:val="14"/>
                <w:lang w:val="en-US"/>
              </w:rPr>
              <w:t>Age range (Ma)</w:t>
            </w:r>
          </w:p>
        </w:tc>
      </w:tr>
      <w:tr w:rsidR="008B27E7" w:rsidRPr="002D0155" w:rsidTr="00367C6D">
        <w:trPr>
          <w:trHeight w:val="169"/>
          <w:jc w:val="center"/>
        </w:trPr>
        <w:tc>
          <w:tcPr>
            <w:tcW w:w="2850" w:type="dxa"/>
            <w:tcBorders>
              <w:top w:val="single" w:sz="8" w:space="0" w:color="auto"/>
            </w:tcBorders>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Micromammal fossil F5</w:t>
            </w:r>
          </w:p>
        </w:tc>
        <w:tc>
          <w:tcPr>
            <w:tcW w:w="2685" w:type="dxa"/>
            <w:tcBorders>
              <w:top w:val="single" w:sz="8" w:space="0" w:color="auto"/>
            </w:tcBorders>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547</w:t>
            </w:r>
          </w:p>
        </w:tc>
        <w:tc>
          <w:tcPr>
            <w:tcW w:w="2820" w:type="dxa"/>
            <w:tcBorders>
              <w:top w:val="single" w:sz="8" w:space="0" w:color="auto"/>
            </w:tcBorders>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13.1–11.2</w:t>
            </w:r>
          </w:p>
        </w:tc>
      </w:tr>
      <w:tr w:rsidR="008B27E7" w:rsidRPr="002D0155" w:rsidTr="00367C6D">
        <w:trPr>
          <w:jc w:val="center"/>
        </w:trPr>
        <w:tc>
          <w:tcPr>
            <w:tcW w:w="285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 xml:space="preserve">Pollen or </w:t>
            </w:r>
            <w:proofErr w:type="spellStart"/>
            <w:r w:rsidRPr="001C3AA8">
              <w:rPr>
                <w:rFonts w:cs="Times New Roman"/>
                <w:sz w:val="14"/>
                <w:szCs w:val="14"/>
                <w:lang w:val="en-US"/>
              </w:rPr>
              <w:t>dynocyst</w:t>
            </w:r>
            <w:proofErr w:type="spellEnd"/>
            <w:r w:rsidRPr="001C3AA8">
              <w:rPr>
                <w:rFonts w:cs="Times New Roman"/>
                <w:sz w:val="14"/>
                <w:szCs w:val="14"/>
                <w:lang w:val="en-US"/>
              </w:rPr>
              <w:t xml:space="preserve"> (98GR38)</w:t>
            </w:r>
          </w:p>
        </w:tc>
        <w:tc>
          <w:tcPr>
            <w:tcW w:w="2685"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510</w:t>
            </w:r>
          </w:p>
        </w:tc>
        <w:tc>
          <w:tcPr>
            <w:tcW w:w="282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15.9–11.6</w:t>
            </w:r>
          </w:p>
        </w:tc>
      </w:tr>
      <w:tr w:rsidR="008B27E7" w:rsidRPr="002D0155" w:rsidTr="00367C6D">
        <w:trPr>
          <w:jc w:val="center"/>
        </w:trPr>
        <w:tc>
          <w:tcPr>
            <w:tcW w:w="285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 xml:space="preserve">Pollen or </w:t>
            </w:r>
            <w:proofErr w:type="spellStart"/>
            <w:r w:rsidRPr="001C3AA8">
              <w:rPr>
                <w:rFonts w:cs="Times New Roman"/>
                <w:sz w:val="14"/>
                <w:szCs w:val="14"/>
                <w:lang w:val="en-US"/>
              </w:rPr>
              <w:t>dynocyst</w:t>
            </w:r>
            <w:proofErr w:type="spellEnd"/>
            <w:r w:rsidRPr="001C3AA8">
              <w:rPr>
                <w:rFonts w:cs="Times New Roman"/>
                <w:sz w:val="14"/>
                <w:szCs w:val="14"/>
                <w:lang w:val="en-US"/>
              </w:rPr>
              <w:t xml:space="preserve"> (98GR34)</w:t>
            </w:r>
          </w:p>
        </w:tc>
        <w:tc>
          <w:tcPr>
            <w:tcW w:w="2685"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485.5</w:t>
            </w:r>
          </w:p>
        </w:tc>
        <w:tc>
          <w:tcPr>
            <w:tcW w:w="282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15.9–11.6</w:t>
            </w:r>
          </w:p>
        </w:tc>
      </w:tr>
      <w:tr w:rsidR="008B27E7" w:rsidRPr="002D0155" w:rsidTr="00367C6D">
        <w:trPr>
          <w:jc w:val="center"/>
        </w:trPr>
        <w:tc>
          <w:tcPr>
            <w:tcW w:w="285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 xml:space="preserve">Pollen or </w:t>
            </w:r>
            <w:proofErr w:type="spellStart"/>
            <w:r w:rsidRPr="001C3AA8">
              <w:rPr>
                <w:rFonts w:cs="Times New Roman"/>
                <w:sz w:val="14"/>
                <w:szCs w:val="14"/>
                <w:lang w:val="en-US"/>
              </w:rPr>
              <w:t>dynocyst</w:t>
            </w:r>
            <w:proofErr w:type="spellEnd"/>
            <w:r w:rsidRPr="001C3AA8">
              <w:rPr>
                <w:rFonts w:cs="Times New Roman"/>
                <w:sz w:val="14"/>
                <w:szCs w:val="14"/>
                <w:lang w:val="en-US"/>
              </w:rPr>
              <w:t xml:space="preserve"> (98GR27)</w:t>
            </w:r>
          </w:p>
        </w:tc>
        <w:tc>
          <w:tcPr>
            <w:tcW w:w="2685"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456.5</w:t>
            </w:r>
          </w:p>
        </w:tc>
        <w:tc>
          <w:tcPr>
            <w:tcW w:w="282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15.9–11.6</w:t>
            </w:r>
          </w:p>
        </w:tc>
      </w:tr>
      <w:tr w:rsidR="008B27E7" w:rsidRPr="002D0155" w:rsidTr="00367C6D">
        <w:trPr>
          <w:jc w:val="center"/>
        </w:trPr>
        <w:tc>
          <w:tcPr>
            <w:tcW w:w="285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 xml:space="preserve">Pollen or </w:t>
            </w:r>
            <w:proofErr w:type="spellStart"/>
            <w:r w:rsidRPr="001C3AA8">
              <w:rPr>
                <w:rFonts w:cs="Times New Roman"/>
                <w:sz w:val="14"/>
                <w:szCs w:val="14"/>
                <w:lang w:val="en-US"/>
              </w:rPr>
              <w:t>dynocyst</w:t>
            </w:r>
            <w:proofErr w:type="spellEnd"/>
            <w:r w:rsidRPr="001C3AA8">
              <w:rPr>
                <w:rFonts w:cs="Times New Roman"/>
                <w:sz w:val="14"/>
                <w:szCs w:val="14"/>
                <w:lang w:val="en-US"/>
              </w:rPr>
              <w:t xml:space="preserve"> (98GR25)</w:t>
            </w:r>
          </w:p>
        </w:tc>
        <w:tc>
          <w:tcPr>
            <w:tcW w:w="2685"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447</w:t>
            </w:r>
          </w:p>
        </w:tc>
        <w:tc>
          <w:tcPr>
            <w:tcW w:w="282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15.9–11.6</w:t>
            </w:r>
          </w:p>
        </w:tc>
      </w:tr>
      <w:tr w:rsidR="008B27E7" w:rsidRPr="002D0155" w:rsidTr="00367C6D">
        <w:trPr>
          <w:jc w:val="center"/>
        </w:trPr>
        <w:tc>
          <w:tcPr>
            <w:tcW w:w="285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 xml:space="preserve">Pollen or </w:t>
            </w:r>
            <w:proofErr w:type="spellStart"/>
            <w:r w:rsidRPr="001C3AA8">
              <w:rPr>
                <w:rFonts w:cs="Times New Roman"/>
                <w:sz w:val="14"/>
                <w:szCs w:val="14"/>
                <w:lang w:val="en-US"/>
              </w:rPr>
              <w:t>dynocyst</w:t>
            </w:r>
            <w:proofErr w:type="spellEnd"/>
            <w:r w:rsidRPr="001C3AA8">
              <w:rPr>
                <w:rFonts w:cs="Times New Roman"/>
                <w:sz w:val="14"/>
                <w:szCs w:val="14"/>
                <w:lang w:val="en-US"/>
              </w:rPr>
              <w:t xml:space="preserve"> (98GR24)</w:t>
            </w:r>
          </w:p>
        </w:tc>
        <w:tc>
          <w:tcPr>
            <w:tcW w:w="2685"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445.5</w:t>
            </w:r>
          </w:p>
        </w:tc>
        <w:tc>
          <w:tcPr>
            <w:tcW w:w="282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15.9–11.6</w:t>
            </w:r>
          </w:p>
        </w:tc>
      </w:tr>
      <w:tr w:rsidR="008B27E7" w:rsidRPr="002D0155" w:rsidTr="00367C6D">
        <w:trPr>
          <w:jc w:val="center"/>
        </w:trPr>
        <w:tc>
          <w:tcPr>
            <w:tcW w:w="285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Micromammal fossil F4</w:t>
            </w:r>
          </w:p>
        </w:tc>
        <w:tc>
          <w:tcPr>
            <w:tcW w:w="2685"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407–417</w:t>
            </w:r>
          </w:p>
        </w:tc>
        <w:tc>
          <w:tcPr>
            <w:tcW w:w="282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17.1–16.7</w:t>
            </w:r>
          </w:p>
        </w:tc>
      </w:tr>
      <w:tr w:rsidR="008B27E7" w:rsidRPr="002D0155" w:rsidTr="00367C6D">
        <w:trPr>
          <w:jc w:val="center"/>
        </w:trPr>
        <w:tc>
          <w:tcPr>
            <w:tcW w:w="285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 xml:space="preserve">Pollen or </w:t>
            </w:r>
            <w:proofErr w:type="spellStart"/>
            <w:r w:rsidRPr="001C3AA8">
              <w:rPr>
                <w:rFonts w:cs="Times New Roman"/>
                <w:sz w:val="14"/>
                <w:szCs w:val="14"/>
                <w:lang w:val="en-US"/>
              </w:rPr>
              <w:t>dynocyst</w:t>
            </w:r>
            <w:proofErr w:type="spellEnd"/>
            <w:r w:rsidRPr="001C3AA8">
              <w:rPr>
                <w:rFonts w:cs="Times New Roman"/>
                <w:sz w:val="14"/>
                <w:szCs w:val="14"/>
                <w:lang w:val="en-US"/>
              </w:rPr>
              <w:t xml:space="preserve"> (98GR16)</w:t>
            </w:r>
          </w:p>
        </w:tc>
        <w:tc>
          <w:tcPr>
            <w:tcW w:w="2685"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375</w:t>
            </w:r>
          </w:p>
        </w:tc>
        <w:tc>
          <w:tcPr>
            <w:tcW w:w="282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17.5–15.1</w:t>
            </w:r>
          </w:p>
        </w:tc>
      </w:tr>
      <w:tr w:rsidR="008B27E7" w:rsidRPr="002D0155" w:rsidTr="00367C6D">
        <w:trPr>
          <w:jc w:val="center"/>
        </w:trPr>
        <w:tc>
          <w:tcPr>
            <w:tcW w:w="285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Micromammal fossil F3</w:t>
            </w:r>
          </w:p>
        </w:tc>
        <w:tc>
          <w:tcPr>
            <w:tcW w:w="2685"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100–105</w:t>
            </w:r>
          </w:p>
        </w:tc>
        <w:tc>
          <w:tcPr>
            <w:tcW w:w="282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21.7–19.5</w:t>
            </w:r>
          </w:p>
        </w:tc>
      </w:tr>
      <w:tr w:rsidR="008B27E7" w:rsidRPr="002D0155" w:rsidTr="00367C6D">
        <w:trPr>
          <w:jc w:val="center"/>
        </w:trPr>
        <w:tc>
          <w:tcPr>
            <w:tcW w:w="285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Micromammal fossil F1</w:t>
            </w:r>
          </w:p>
        </w:tc>
        <w:tc>
          <w:tcPr>
            <w:tcW w:w="2685"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95</w:t>
            </w:r>
          </w:p>
        </w:tc>
        <w:tc>
          <w:tcPr>
            <w:tcW w:w="2820" w:type="dxa"/>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21.7–19.5</w:t>
            </w:r>
          </w:p>
        </w:tc>
      </w:tr>
      <w:tr w:rsidR="008B27E7" w:rsidRPr="002D0155" w:rsidTr="00367C6D">
        <w:trPr>
          <w:jc w:val="center"/>
        </w:trPr>
        <w:tc>
          <w:tcPr>
            <w:tcW w:w="2850" w:type="dxa"/>
            <w:tcBorders>
              <w:bottom w:val="single" w:sz="12" w:space="0" w:color="auto"/>
            </w:tcBorders>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 xml:space="preserve">Pollen or </w:t>
            </w:r>
            <w:proofErr w:type="spellStart"/>
            <w:r w:rsidRPr="001C3AA8">
              <w:rPr>
                <w:rFonts w:cs="Times New Roman"/>
                <w:sz w:val="14"/>
                <w:szCs w:val="14"/>
                <w:lang w:val="en-US"/>
              </w:rPr>
              <w:t>dynocyst</w:t>
            </w:r>
            <w:proofErr w:type="spellEnd"/>
            <w:r w:rsidRPr="001C3AA8">
              <w:rPr>
                <w:rFonts w:cs="Times New Roman"/>
                <w:sz w:val="14"/>
                <w:szCs w:val="14"/>
                <w:lang w:val="en-US"/>
              </w:rPr>
              <w:t xml:space="preserve"> (RU3)</w:t>
            </w:r>
          </w:p>
        </w:tc>
        <w:tc>
          <w:tcPr>
            <w:tcW w:w="2685" w:type="dxa"/>
            <w:tcBorders>
              <w:bottom w:val="single" w:sz="12" w:space="0" w:color="auto"/>
            </w:tcBorders>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54.5</w:t>
            </w:r>
          </w:p>
        </w:tc>
        <w:tc>
          <w:tcPr>
            <w:tcW w:w="2820" w:type="dxa"/>
            <w:tcBorders>
              <w:bottom w:val="single" w:sz="12" w:space="0" w:color="auto"/>
            </w:tcBorders>
            <w:shd w:val="clear" w:color="auto" w:fill="auto"/>
            <w:tcMar>
              <w:top w:w="0" w:type="dxa"/>
              <w:left w:w="0" w:type="dxa"/>
              <w:bottom w:w="0" w:type="dxa"/>
              <w:right w:w="0" w:type="dxa"/>
            </w:tcMar>
          </w:tcPr>
          <w:p w:rsidR="008B27E7" w:rsidRPr="001C3AA8" w:rsidRDefault="008B27E7" w:rsidP="00367C6D">
            <w:pPr>
              <w:jc w:val="center"/>
              <w:rPr>
                <w:rFonts w:cs="Times New Roman"/>
                <w:sz w:val="14"/>
                <w:szCs w:val="14"/>
                <w:lang w:val="en-US"/>
              </w:rPr>
            </w:pPr>
            <w:r w:rsidRPr="001C3AA8">
              <w:rPr>
                <w:rFonts w:cs="Times New Roman"/>
                <w:sz w:val="14"/>
                <w:szCs w:val="14"/>
                <w:lang w:val="en-US"/>
              </w:rPr>
              <w:t>23.03–20.44</w:t>
            </w:r>
          </w:p>
        </w:tc>
      </w:tr>
    </w:tbl>
    <w:p w:rsidR="008B27E7" w:rsidRPr="002D0155" w:rsidRDefault="008B27E7" w:rsidP="008B27E7">
      <w:pPr>
        <w:rPr>
          <w:rFonts w:cs="Times New Roman"/>
          <w:sz w:val="18"/>
          <w:szCs w:val="18"/>
          <w:lang w:val="en-US"/>
        </w:rPr>
      </w:pPr>
    </w:p>
    <w:p w:rsidR="008B27E7" w:rsidRPr="002D0155" w:rsidRDefault="008B27E7" w:rsidP="008B27E7">
      <w:pPr>
        <w:rPr>
          <w:rFonts w:cs="Times New Roman"/>
          <w:sz w:val="18"/>
          <w:szCs w:val="18"/>
          <w:lang w:val="en-US"/>
        </w:rPr>
      </w:pPr>
    </w:p>
    <w:p w:rsidR="008B27E7" w:rsidRPr="002D0155" w:rsidRDefault="008B27E7" w:rsidP="008B27E7">
      <w:pPr>
        <w:rPr>
          <w:rFonts w:cs="Times New Roman"/>
          <w:sz w:val="18"/>
          <w:szCs w:val="18"/>
          <w:lang w:val="en-US"/>
        </w:rPr>
      </w:pPr>
    </w:p>
    <w:p w:rsidR="008B27E7" w:rsidRPr="002D0155" w:rsidRDefault="008B27E7" w:rsidP="008B27E7">
      <w:pPr>
        <w:rPr>
          <w:rFonts w:cs="Times New Roman"/>
          <w:sz w:val="18"/>
          <w:szCs w:val="18"/>
          <w:lang w:val="en-US"/>
        </w:rPr>
      </w:pPr>
    </w:p>
    <w:p w:rsidR="008B27E7" w:rsidRPr="002D0155" w:rsidRDefault="008B27E7" w:rsidP="008B27E7">
      <w:pPr>
        <w:rPr>
          <w:rFonts w:cs="Times New Roman"/>
          <w:sz w:val="18"/>
          <w:szCs w:val="18"/>
          <w:lang w:val="en-US"/>
        </w:rPr>
      </w:pPr>
    </w:p>
    <w:p w:rsidR="008B27E7" w:rsidRPr="002D0155" w:rsidRDefault="008B27E7" w:rsidP="008B27E7">
      <w:pPr>
        <w:rPr>
          <w:rFonts w:cs="Times New Roman"/>
          <w:sz w:val="18"/>
          <w:szCs w:val="18"/>
          <w:lang w:val="en-US"/>
        </w:rPr>
      </w:pPr>
    </w:p>
    <w:p w:rsidR="008B27E7" w:rsidRPr="002D0155" w:rsidRDefault="008B27E7" w:rsidP="008B27E7">
      <w:pPr>
        <w:rPr>
          <w:rFonts w:cs="Times New Roman"/>
          <w:sz w:val="18"/>
          <w:szCs w:val="18"/>
          <w:lang w:val="en-US"/>
        </w:rPr>
      </w:pPr>
    </w:p>
    <w:p w:rsidR="008B27E7" w:rsidRPr="002D0155" w:rsidRDefault="008B27E7" w:rsidP="008B27E7">
      <w:pPr>
        <w:rPr>
          <w:rFonts w:cs="Times New Roman"/>
          <w:sz w:val="18"/>
          <w:szCs w:val="18"/>
          <w:lang w:val="en-US"/>
        </w:rPr>
      </w:pPr>
    </w:p>
    <w:p w:rsidR="008B27E7" w:rsidRPr="002D0155" w:rsidRDefault="008B27E7" w:rsidP="008B27E7">
      <w:pPr>
        <w:rPr>
          <w:rFonts w:cs="Times New Roman"/>
          <w:sz w:val="18"/>
          <w:szCs w:val="18"/>
          <w:lang w:val="en-US"/>
        </w:rPr>
      </w:pPr>
    </w:p>
    <w:p w:rsidR="008B27E7" w:rsidRPr="002D0155" w:rsidRDefault="008B27E7" w:rsidP="008B27E7">
      <w:pPr>
        <w:rPr>
          <w:rFonts w:cs="Times New Roman"/>
          <w:sz w:val="18"/>
          <w:szCs w:val="18"/>
          <w:lang w:val="en-US"/>
        </w:rPr>
      </w:pPr>
      <w:r w:rsidRPr="002D0155">
        <w:rPr>
          <w:rFonts w:cs="Times New Roman"/>
          <w:noProof/>
          <w:sz w:val="18"/>
          <w:szCs w:val="18"/>
          <w:lang w:val="en-US"/>
        </w:rPr>
        <w:drawing>
          <wp:inline distT="114300" distB="114300" distL="114300" distR="114300" wp14:anchorId="58F6FF53" wp14:editId="16ADF71C">
            <wp:extent cx="4744160" cy="7072313"/>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l="8654" t="1851" r="8654" b="2849"/>
                    <a:stretch>
                      <a:fillRect/>
                    </a:stretch>
                  </pic:blipFill>
                  <pic:spPr>
                    <a:xfrm>
                      <a:off x="0" y="0"/>
                      <a:ext cx="4744160" cy="7072313"/>
                    </a:xfrm>
                    <a:prstGeom prst="rect">
                      <a:avLst/>
                    </a:prstGeom>
                    <a:ln/>
                  </pic:spPr>
                </pic:pic>
              </a:graphicData>
            </a:graphic>
          </wp:inline>
        </w:drawing>
      </w:r>
    </w:p>
    <w:p w:rsidR="008B27E7" w:rsidRDefault="008B27E7" w:rsidP="008B27E7">
      <w:pPr>
        <w:rPr>
          <w:rFonts w:cs="Times New Roman"/>
          <w:color w:val="222222"/>
          <w:sz w:val="18"/>
          <w:szCs w:val="18"/>
          <w:lang w:val="en-US"/>
        </w:rPr>
      </w:pPr>
      <w:r w:rsidRPr="001C3AA8">
        <w:rPr>
          <w:rFonts w:cs="Times New Roman"/>
          <w:b/>
          <w:bCs/>
          <w:color w:val="222222"/>
          <w:sz w:val="18"/>
          <w:szCs w:val="18"/>
          <w:lang w:val="en-US"/>
        </w:rPr>
        <w:lastRenderedPageBreak/>
        <w:t>Figure S4</w:t>
      </w:r>
      <w:r>
        <w:rPr>
          <w:rFonts w:cs="Times New Roman"/>
          <w:b/>
          <w:bCs/>
          <w:color w:val="222222"/>
          <w:sz w:val="18"/>
          <w:szCs w:val="18"/>
          <w:lang w:val="en-US"/>
        </w:rPr>
        <w:t>:</w:t>
      </w:r>
      <w:r w:rsidRPr="001C3AA8">
        <w:rPr>
          <w:rFonts w:cs="Times New Roman"/>
          <w:color w:val="222222"/>
          <w:sz w:val="18"/>
          <w:szCs w:val="18"/>
          <w:lang w:val="en-US"/>
        </w:rPr>
        <w:t xml:space="preserve"> Correlation between the </w:t>
      </w:r>
      <w:r w:rsidRPr="001C3AA8">
        <w:rPr>
          <w:rFonts w:ascii="Cambria Math" w:eastAsia="Times New Roman" w:hAnsi="Cambria Math" w:cs="Cambria Math"/>
          <w:sz w:val="18"/>
          <w:szCs w:val="18"/>
          <w:lang w:val="en-US"/>
        </w:rPr>
        <w:t>𝛿</w:t>
      </w:r>
      <w:r w:rsidRPr="001C3AA8">
        <w:rPr>
          <w:rFonts w:cs="Times New Roman"/>
          <w:sz w:val="18"/>
          <w:szCs w:val="18"/>
          <w:vertAlign w:val="superscript"/>
          <w:lang w:val="en-US"/>
        </w:rPr>
        <w:t>13</w:t>
      </w:r>
      <w:r w:rsidRPr="001C3AA8">
        <w:rPr>
          <w:rFonts w:cs="Times New Roman"/>
          <w:sz w:val="18"/>
          <w:szCs w:val="18"/>
          <w:lang w:val="en-US"/>
        </w:rPr>
        <w:t xml:space="preserve">C </w:t>
      </w:r>
      <w:r w:rsidRPr="001C3AA8">
        <w:rPr>
          <w:rFonts w:cs="Times New Roman"/>
          <w:color w:val="222222"/>
          <w:sz w:val="18"/>
          <w:szCs w:val="18"/>
          <w:lang w:val="en-US"/>
        </w:rPr>
        <w:t xml:space="preserve">curve of the BCR composite section </w:t>
      </w:r>
      <w:r w:rsidR="00B63D91">
        <w:rPr>
          <w:rFonts w:cs="Times New Roman"/>
          <w:color w:val="222222"/>
          <w:sz w:val="18"/>
          <w:szCs w:val="18"/>
          <w:lang w:val="en-US"/>
        </w:rPr>
        <w:fldChar w:fldCharType="begin" w:fldLock="1"/>
      </w:r>
      <w:r w:rsidR="00B63D91">
        <w:rPr>
          <w:rFonts w:cs="Times New Roman"/>
          <w:color w:val="222222"/>
          <w:sz w:val="18"/>
          <w:szCs w:val="18"/>
          <w:lang w:val="en-US"/>
        </w:rPr>
        <w:instrText>ADDIN CSL_CITATION {"citationItems":[{"id":"ITEM-1","itemData":{"author":[{"dropping-particle":"","family":"Bialkowski","given":"Anne","non-dropping-particle":"","parse-names":false,"suffix":""}],"id":"ITEM-1","issued":{"date-parts":[["2002"]]},"publisher":"École Nationale Supérieure des Mines de Paris","title":"Stratigraphie isotopique (carbone et oxygène) des séries continentales d'un bassin d'avant-pays (Oligo-Miocène du bassin de Digne-Valensole): paléoenvironnements et séquences de dépot","type":"thesis"},"uris":["http://www.mendeley.com/documents/?uuid=ad63ba83-8732-4983-8a23-6887d0ac09ef"]}],"mendeley":{"formattedCitation":"(Bialkowski, 2002)","plainTextFormattedCitation":"(Bialkowski, 2002)","previouslyFormattedCitation":"(Bialkowski, 2002)"},"properties":{"noteIndex":0},"schema":"https://github.com/citation-style-language/schema/raw/master/csl-citation.json"}</w:instrText>
      </w:r>
      <w:r w:rsidR="00B63D91">
        <w:rPr>
          <w:rFonts w:cs="Times New Roman"/>
          <w:color w:val="222222"/>
          <w:sz w:val="18"/>
          <w:szCs w:val="18"/>
          <w:lang w:val="en-US"/>
        </w:rPr>
        <w:fldChar w:fldCharType="separate"/>
      </w:r>
      <w:r w:rsidR="00B63D91" w:rsidRPr="00B63D91">
        <w:rPr>
          <w:rFonts w:cs="Times New Roman"/>
          <w:noProof/>
          <w:color w:val="222222"/>
          <w:sz w:val="18"/>
          <w:szCs w:val="18"/>
          <w:lang w:val="en-US"/>
        </w:rPr>
        <w:t>(Bialkowski, 2002)</w:t>
      </w:r>
      <w:r w:rsidR="00B63D91">
        <w:rPr>
          <w:rFonts w:cs="Times New Roman"/>
          <w:color w:val="222222"/>
          <w:sz w:val="18"/>
          <w:szCs w:val="18"/>
          <w:lang w:val="en-US"/>
        </w:rPr>
        <w:fldChar w:fldCharType="end"/>
      </w:r>
      <w:r w:rsidRPr="001C3AA8">
        <w:rPr>
          <w:rFonts w:cs="Times New Roman"/>
          <w:color w:val="222222"/>
          <w:sz w:val="18"/>
          <w:szCs w:val="18"/>
          <w:lang w:val="en-US"/>
        </w:rPr>
        <w:t xml:space="preserve"> and the reference marine data </w:t>
      </w:r>
      <w:r w:rsidR="00B63D91">
        <w:rPr>
          <w:rFonts w:cs="Times New Roman"/>
          <w:color w:val="222222"/>
          <w:sz w:val="18"/>
          <w:szCs w:val="18"/>
          <w:lang w:val="en-US"/>
        </w:rPr>
        <w:fldChar w:fldCharType="begin" w:fldLock="1"/>
      </w:r>
      <w:r w:rsidR="00B63D91">
        <w:rPr>
          <w:rFonts w:cs="Times New Roman"/>
          <w:color w:val="222222"/>
          <w:sz w:val="18"/>
          <w:szCs w:val="18"/>
          <w:lang w:val="en-US"/>
        </w:rPr>
        <w:instrText>ADDIN CSL_CITATION {"citationItems":[{"id":"ITEM-1","itemData":{"DOI":"10.1126/SCIENCE.ABA6853","ISSN":"10959203","PMID":"32913105","abstract":"Much of our understanding of Earth's past climate comes from the measurement of oxygen and carbon isotope variations in deep-sea benthic foraminifera. Yet, long intervals in existing records lack the temporal resolution and age control needed to thoroughly categorize climate states of the Cenozoic era and to study their dynamics. Here, we present a new, highly resolved, astronomically dated, continuous composite of benthic foraminifer isotope records developed in our laboratories. Four climate states-Hothouse, Warmhouse, Coolhouse, Icehouse-are identified on the basis of their distinctive response to astronomical forcing depending on greenhouse gas concentrations and polar ice sheet volume. Statistical analysis of the nonlinear behavior encoded in our record reveals the key role that polar ice volume plays in the predictability of Cenozoic climate dynamics.","author":[{"dropping-particle":"","family":"Westerhold","given":"Thomas","non-dropping-particle":"","parse-names":false,"suffix":""},{"dropping-particle":"","family":"Marwan","given":"Norbert","non-dropping-particle":"","parse-names":false,"suffix":""},{"dropping-particle":"","family":"Drury","given":"Anna Joy","non-dropping-particle":"","parse-names":false,"suffix":""},{"dropping-particle":"","family":"Liebrand","given":"Diederik","non-dropping-particle":"","parse-names":false,"suffix":""},{"dropping-particle":"","family":"Agnini","given":"Claudia","non-dropping-particle":"","parse-names":false,"suffix":""},{"dropping-particle":"","family":"Anagnostou","given":"Eleni","non-dropping-particle":"","parse-names":false,"suffix":""},{"dropping-particle":"","family":"Barnet","given":"James S.K.","non-dropping-particle":"","parse-names":false,"suffix":""},{"dropping-particle":"","family":"Bohaty","given":"Steven M.","non-dropping-particle":"","parse-names":false,"suffix":""},{"dropping-particle":"","family":"Vleeschouwer","given":"David","non-dropping-particle":"De","parse-names":false,"suffix":""},{"dropping-particle":"","family":"Florindo","given":"Fabio","non-dropping-particle":"","parse-names":false,"suffix":""},{"dropping-particle":"","family":"Frederichs","given":"Thomas","non-dropping-particle":"","parse-names":false,"suffix":""},{"dropping-particle":"","family":"Hodell","given":"David A.","non-dropping-particle":"","parse-names":false,"suffix":""},{"dropping-particle":"","family":"Holbourn","given":"Ann E.","non-dropping-particle":"","parse-names":false,"suffix":""},{"dropping-particle":"","family":"Kroon","given":"Dick","non-dropping-particle":"","parse-names":false,"suffix":""},{"dropping-particle":"","family":"Lauretano","given":"Vittoria","non-dropping-particle":"","parse-names":false,"suffix":""},{"dropping-particle":"","family":"Littler","given":"Kate","non-dropping-particle":"","parse-names":false,"suffix":""},{"dropping-particle":"","family":"Lourens","given":"Lucas J.","non-dropping-particle":"","parse-names":false,"suffix":""},{"dropping-particle":"","family":"Lyle","given":"Mitchell","non-dropping-particle":"","parse-names":false,"suffix":""},{"dropping-particle":"","family":"Pälike","given":"Heiko","non-dropping-particle":"","parse-names":false,"suffix":""},{"dropping-particle":"","family":"Röhl","given":"Ursula","non-dropping-particle":"","parse-names":false,"suffix":""},{"dropping-particle":"","family":"Tian","given":"Jun","non-dropping-particle":"","parse-names":false,"suffix":""},{"dropping-particle":"","family":"Wilkens","given":"Roy H.","non-dropping-particle":"","parse-names":false,"suffix":""},{"dropping-particle":"","family":"Wilson","given":"Paul A.","non-dropping-particle":"","parse-names":false,"suffix":""},{"dropping-particle":"","family":"Zachos","given":"James C.","non-dropping-particle":"","parse-names":false,"suffix":""}],"container-title":"Science","id":"ITEM-1","issue":"6509","issued":{"date-parts":[["2020"]]},"page":"1383-1388","title":"An astronomically dated record of Earth's climate and its predictability over the last 66 million years","type":"article-journal","volume":"369"},"uris":["http://www.mendeley.com/documents/?uuid=61987b0b-c80f-4d01-9fd7-a9bfefcba9a8"]}],"mendeley":{"formattedCitation":"(Westerhold et al., 2020)","plainTextFormattedCitation":"(Westerhold et al., 2020)"},"properties":{"noteIndex":0},"schema":"https://github.com/citation-style-language/schema/raw/master/csl-citation.json"}</w:instrText>
      </w:r>
      <w:r w:rsidR="00B63D91">
        <w:rPr>
          <w:rFonts w:cs="Times New Roman"/>
          <w:color w:val="222222"/>
          <w:sz w:val="18"/>
          <w:szCs w:val="18"/>
          <w:lang w:val="en-US"/>
        </w:rPr>
        <w:fldChar w:fldCharType="separate"/>
      </w:r>
      <w:r w:rsidR="00B63D91" w:rsidRPr="00B63D91">
        <w:rPr>
          <w:rFonts w:cs="Times New Roman"/>
          <w:noProof/>
          <w:color w:val="222222"/>
          <w:sz w:val="18"/>
          <w:szCs w:val="18"/>
          <w:lang w:val="en-US"/>
        </w:rPr>
        <w:t>(Westerhold et al., 2020)</w:t>
      </w:r>
      <w:r w:rsidR="00B63D91">
        <w:rPr>
          <w:rFonts w:cs="Times New Roman"/>
          <w:color w:val="222222"/>
          <w:sz w:val="18"/>
          <w:szCs w:val="18"/>
          <w:lang w:val="en-US"/>
        </w:rPr>
        <w:fldChar w:fldCharType="end"/>
      </w:r>
      <w:r w:rsidRPr="001C3AA8">
        <w:rPr>
          <w:rFonts w:cs="Times New Roman"/>
          <w:color w:val="222222"/>
          <w:sz w:val="18"/>
          <w:szCs w:val="18"/>
          <w:lang w:val="en-US"/>
        </w:rPr>
        <w:t xml:space="preserve">. </w:t>
      </w:r>
    </w:p>
    <w:p w:rsidR="009A689C" w:rsidRPr="001C3AA8" w:rsidRDefault="009A689C" w:rsidP="008B27E7">
      <w:pPr>
        <w:rPr>
          <w:rFonts w:cs="Times New Roman"/>
          <w:color w:val="222222"/>
          <w:sz w:val="18"/>
          <w:szCs w:val="18"/>
          <w:lang w:val="en-US"/>
        </w:rPr>
      </w:pPr>
    </w:p>
    <w:p w:rsidR="008B27E7" w:rsidRDefault="008B27E7" w:rsidP="008B27E7">
      <w:pPr>
        <w:pStyle w:val="Heading1"/>
        <w:rPr>
          <w:lang w:val="en-US"/>
        </w:rPr>
      </w:pPr>
      <w:bookmarkStart w:id="5" w:name="_rpypqm38hyaz" w:colFirst="0" w:colLast="0"/>
      <w:bookmarkEnd w:id="5"/>
      <w:r w:rsidRPr="002D0155">
        <w:rPr>
          <w:lang w:val="en-US"/>
        </w:rPr>
        <w:t>References</w:t>
      </w:r>
    </w:p>
    <w:p w:rsidR="00B63D91" w:rsidRPr="00B63D91" w:rsidRDefault="00B63D91" w:rsidP="00B63D91">
      <w:pPr>
        <w:widowControl w:val="0"/>
        <w:autoSpaceDE w:val="0"/>
        <w:autoSpaceDN w:val="0"/>
        <w:adjustRightInd w:val="0"/>
        <w:rPr>
          <w:rFonts w:cs="Times New Roman"/>
          <w:noProof/>
        </w:rPr>
      </w:pPr>
      <w:r>
        <w:rPr>
          <w:lang w:val="en-US"/>
        </w:rPr>
        <w:fldChar w:fldCharType="begin" w:fldLock="1"/>
      </w:r>
      <w:r>
        <w:rPr>
          <w:lang w:val="en-US"/>
        </w:rPr>
        <w:instrText xml:space="preserve">ADDIN Mendeley Bibliography CSL_BIBLIOGRAPHY </w:instrText>
      </w:r>
      <w:r>
        <w:rPr>
          <w:lang w:val="en-US"/>
        </w:rPr>
        <w:fldChar w:fldCharType="separate"/>
      </w:r>
      <w:r w:rsidRPr="00B63D91">
        <w:rPr>
          <w:rFonts w:cs="Times New Roman"/>
          <w:noProof/>
        </w:rPr>
        <w:t>Anderson, N. T., Kelson, J. R., Kele, S., Daëron, M., Bonifacie, M., Horita, J., Mackey, T. J., John, C. M., Kluge, T., Petschnig, P., Jost, A. B., Huntington, K. W., Bernasconi, S. M., and Bergmann, K. D.: A Unified Clumped Isotope Thermometer Calibration (0.5–1,100°C) Using Carbonate-Based Standardization, Geophys. Res. Lett., 48, 1–11, https://doi.org/10.1029/2020GL092069, 2021.</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Bauer, H.: Influence of climate , eustasy and tectonics in the architecture of continental deposits . a case study from the early and middle miocene of the digne-valensole foreland basin ( se france ), 2006.</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Bernasconi, S. M., Müller, I. A., Bergmann, K. D., Breitenbach, S. F. M., Fernandez, A., Hodell, D. A., Jaggi, M., Meckler, A. N., Millan, I., and Ziegler, M.: Reducing Uncertainties in Carbonate Clumped Isotope Analysis Through Consistent Carbonate-Based Standardization, Geochemistry, Geophys. Geosystems, 19, 2895–2914, https://doi.org/10.1029/2017GC007385, 2018.</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Bernasconi, S. M., Daëron, M., Bergmann, K. D., Bonifacie, M., Meckler, A. N., Affek, H. P., Anderson, N., Bajnai, D., Barkan, E., Beverly, E., Blamart, D., Burgener, L., Calmels, D., Chaduteau, C., Clog, M., Davidheiser-Kroll, B., Davies, A., Dux, F., Eiler, J., Elliott, B., Fetrow, A. C., Fiebig, J., Goldberg, S., Hermoso, M., Huntington, K. W., Hyland, E., Ingalls, M., Jaggi, M., John, C. M., Jost, A. B., Katz, S., Kelson, J., Kluge, T., Kocken, I. J., Laskar, A., Leutert, T. J., Liang, D., Lucarelli, J., Mackey, T. J., Mangenot, X., Meinicke, N., Modestou, S. E., Müller, I. A., Murray, S., Neary, A., Packard, N., Passey, B. H., Pelletier, E., Petersen, S., Piasecki, A., Schauer, A., Snell, K. E., Swart, P. K., Tripati, A., Upadhyay, D., Vennemann, T., Winkelstern, I., Yarian, D., Yoshida, N., Zhang, N., and Ziegler, M.: InterCarb: A Community Effort to Improve Interlaboratory Standardization of the Carbonate Clumped Isotope Thermometer Using Carbonate Standards, Geochemistry, Geophys. Geosystems, 22, 1–25, https://doi.org/10.1029/2020GC009588, 2021.</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Bernecker, M., Hofmann, S., Staudigel, P. T., Davies, A. J., Tagliavento, M., Meijer, N., Ballian, A., and Fiebig, J.: A robust methodology for triple (∆47, ∆48, ∆49) clumped isotope analysis of carbonates, Chem. Geol., 642, 121803, https://doi.org/10.1016/j.chemgeo.2023.121803, 2023.</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Bialkowski, A.: Stratigraphie isotopique (carbone et oxygène) des séries continentales d’un bassin d’avant-pays (Oligo-Miocène du bassin de Digne-Valensole): paléoenvironnements et séquences de dépot, École Nationale Supérieure des Mines de Paris, 2002.</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Bialkowski, A., Châteauneuf, J. J., Cojan, I., and Bauer, H.: Integrated stratigraphy and paleoenvironmental reconstruction of the Miocene series of the Châteauredon Dome, S.E. France, Eclogae Geol. Helv., 99, 1–15, https://doi.org/10.1007/s00015-006-1176-y, 2006.</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Breecker, D. O., Sharp, Z. D., and McFadden, L. D.: Seasonal bias in the formation and stable isotopic composition of pedogenic carbonate in modern soils from central New Mexico, USA, Bull. Geol. Soc. Am., 121, 630–640, https://doi.org/10.1130/B26413.1, 2009.</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lastRenderedPageBreak/>
        <w:t>Cojan, I., Bialkowski, A., Gillot, T., and Renard, M.: Paleoenvironnement and paleoclimate reconstruction for the early to middle Miocene from stable isotopes in pedogenic carbonates (Digne-Valensole basin, southeastern France), Bull. la Soc. Geol. Fr., 184, 583–599, https://doi.org/10.2113/gssgfbull.184.6.583, 2013.</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Daëron, M.: Full Propagation of Analytical Uncertainties in Δ47 Measurements, Geochemistry, Geophys. Geosystems, 22, 1–19, https://doi.org/10.1029/2020GC009592, 2021.</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Eiler, J. M.: Paleoclimate reconstruction using carbonate clumped isotope thermometry, Quat. Sci. Rev., 30, 3575–3588, https://doi.org/10.1016/j.quascirev.2011.09.001, 2011.</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Fiebig, J., Daëron, M., Bernecker, M., Guo, W., Schneider, G., Boch, R., Bernasconi, S. M., Jautzy, J., and Dietzel, M.: Calibration of the dual clumped isotope thermometer for carbonates, Geochim. Cosmochim. Acta, 312, 235–256, https://doi.org/10.1016/j.gca.2021.07.012, 2021.</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Gallagher, T. M., Hren, M., and Sheldon, N. D.: The effect of soil temperature seasonality on climate reconstructions from paleosols, Am. J. Sci., 319, 549–581, https://doi.org/10.2475/07.2019.02, 2019.</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Hilgen, F. J., Lourens, L. J., Van Dam, J. A., Beu, A. G., Boyes, A. F., Cooper, R. A., Krijgsman, W., Ogg, J. G., Piller, W. E., and Wilson, D. S.: The neogene period, 923–978 pp., https://doi.org/10.1016/B978-0-444-59425-9.00029-9, 2012.</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Kim, S. T., Mucci, A., and Taylor, B. E.: Phosphoric acid fractionation factors for calcite and aragonite between 25 and 75 °C: Revisited, Chem. Geol., 246, 135–146, https://doi.org/10.1016/j.chemgeo.2007.08.005, 2007.</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Kim, S. T., Coplen, T. B., and Horita, J.: Normalization of stable isotope data for carbonate minerals: Implementation of IUPAC guidelines, Geochim. Cosmochim. Acta, 158, 276–289, https://doi.org/10.1016/j.gca.2015.02.011, 2015.</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Kotov, S. and Paelike, H.: QAnalySeries - a cross-platform time series tuning and analysis tool, in: AGU Fall Meeting Abstracts, PP53D-1230, 2018.</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Müller, I. A., Fernandez, A., Radke, J., van Dijk, J., Bowen, D., Schwieters, J., and Bernasconi, S. M.: Carbonate clumped isotope analyses with the long-integration dual-inlet (LIDI) workflow: scratching at the lower sample weight boundaries, Rapid Commun. Mass Spectrom., 31, 1057–1066, https://doi.org/10.1002/rcm.7878, 2017.</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Peters, N. A., Huntington, K. W., and Hoke, G. D.: Hot or not? Impact of seasonally variable soil carbonate formation on paleotemperature and O-isotope records from clumped isotope thermometry, Earth Planet. Sci. Lett., 361, 208–218, https://doi.org/10.1016/j.epsl.2012.10.024, 2013.</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Quade, J., Garzione, C., and Eiler, J.: Paleoelevation reconstruction using pedogenic carbonates, Paleoaltimetry Geochemical Thermodyn. Approaches, 66, 53–87, https://doi.org/10.2138/rmg.2007.66.3, 2007.</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Tagliavento, M., Hofmann, S., Böttcher, M. E., Peltz, M., and Fiebig, J.: Clumped isotope analysis of ( bio ) apatite using a Kiel IV device in long-integration dual-inlet mode, Rapid Commun Mass Spectrom., 37, 1–14, https://doi.org/10.1002/rcm.9656, 2023.</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 xml:space="preserve">Westerhold, T., Marwan, N., Drury, A. J., Liebrand, D., Agnini, C., Anagnostou, E., Barnet, J. S. K., Bohaty, S. M., De Vleeschouwer, D., Florindo, F., Frederichs, T., Hodell, D. A., Holbourn, A. E., Kroon, D., Lauretano, V., Littler, K., Lourens, L. J., Lyle, M., Pälike, H., Röhl, U., Tian, J., Wilkens, R. H., Wilson, P. A., and Zachos, J. </w:t>
      </w:r>
      <w:r w:rsidRPr="00B63D91">
        <w:rPr>
          <w:rFonts w:cs="Times New Roman"/>
          <w:noProof/>
        </w:rPr>
        <w:lastRenderedPageBreak/>
        <w:t>C.: An astronomically dated record of Earth’s climate and its predictability over the last 66 million years, Science (80-. )., 369, 1383–1388, https://doi.org/10.1126/SCIENCE.ABA6853, 2020.</w:t>
      </w:r>
    </w:p>
    <w:p w:rsidR="00B63D91" w:rsidRPr="00B63D91" w:rsidRDefault="00B63D91" w:rsidP="00B63D91">
      <w:pPr>
        <w:widowControl w:val="0"/>
        <w:autoSpaceDE w:val="0"/>
        <w:autoSpaceDN w:val="0"/>
        <w:adjustRightInd w:val="0"/>
        <w:rPr>
          <w:rFonts w:cs="Times New Roman"/>
          <w:noProof/>
        </w:rPr>
      </w:pPr>
      <w:r w:rsidRPr="00B63D91">
        <w:rPr>
          <w:rFonts w:cs="Times New Roman"/>
          <w:noProof/>
        </w:rPr>
        <w:t>Zamanian, K., Pustovoytov, K., and Kuzyakov, Y.: Pedogenic carbonates: Forms and formation processes, Earth-Science Rev., 157, 1–17, https://doi.org/10.1016/j.earscirev.2016.03.003, 2016.</w:t>
      </w:r>
    </w:p>
    <w:p w:rsidR="00A95447" w:rsidRPr="00FC3E16" w:rsidRDefault="00B63D91" w:rsidP="00FC3E16">
      <w:pPr>
        <w:widowControl w:val="0"/>
        <w:autoSpaceDE w:val="0"/>
        <w:autoSpaceDN w:val="0"/>
        <w:adjustRightInd w:val="0"/>
        <w:rPr>
          <w:lang w:val="en-US"/>
        </w:rPr>
      </w:pPr>
      <w:r>
        <w:rPr>
          <w:lang w:val="en-US"/>
        </w:rPr>
        <w:fldChar w:fldCharType="end"/>
      </w:r>
    </w:p>
    <w:sectPr w:rsidR="00A95447" w:rsidRPr="00FC3E16" w:rsidSect="002D0155">
      <w:footerReference w:type="default" r:id="rId11"/>
      <w:pgSz w:w="11909" w:h="16834"/>
      <w:pgMar w:top="1440" w:right="1440" w:bottom="1440" w:left="1440" w:header="720" w:footer="720" w:gutter="0"/>
      <w:lnNumType w:countBy="5" w:restart="continuous"/>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C7BC8" w:rsidRDefault="009C7BC8">
      <w:pPr>
        <w:spacing w:before="0" w:after="0" w:line="240" w:lineRule="auto"/>
      </w:pPr>
      <w:r>
        <w:separator/>
      </w:r>
    </w:p>
  </w:endnote>
  <w:endnote w:type="continuationSeparator" w:id="0">
    <w:p w:rsidR="009C7BC8" w:rsidRDefault="009C7BC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4042D" w:rsidRDefault="00000000">
    <w:pPr>
      <w:jc w:val="right"/>
    </w:pPr>
    <w:r>
      <w:fldChar w:fldCharType="begin"/>
    </w:r>
    <w:r>
      <w:instrText>PAGE</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C7BC8" w:rsidRDefault="009C7BC8">
      <w:pPr>
        <w:spacing w:before="0" w:after="0" w:line="240" w:lineRule="auto"/>
      </w:pPr>
      <w:r>
        <w:separator/>
      </w:r>
    </w:p>
  </w:footnote>
  <w:footnote w:type="continuationSeparator" w:id="0">
    <w:p w:rsidR="009C7BC8" w:rsidRDefault="009C7BC8">
      <w:pPr>
        <w:spacing w:before="0"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27E7"/>
    <w:rsid w:val="0014042D"/>
    <w:rsid w:val="00272656"/>
    <w:rsid w:val="004A3863"/>
    <w:rsid w:val="004C0A4B"/>
    <w:rsid w:val="00501A34"/>
    <w:rsid w:val="005454BB"/>
    <w:rsid w:val="005F2A3E"/>
    <w:rsid w:val="0067478A"/>
    <w:rsid w:val="006769B6"/>
    <w:rsid w:val="008733FC"/>
    <w:rsid w:val="008B27E7"/>
    <w:rsid w:val="00985759"/>
    <w:rsid w:val="009A689C"/>
    <w:rsid w:val="009C7BC8"/>
    <w:rsid w:val="00A25158"/>
    <w:rsid w:val="00A95447"/>
    <w:rsid w:val="00B63D91"/>
    <w:rsid w:val="00BC6E4F"/>
    <w:rsid w:val="00CC7A5F"/>
    <w:rsid w:val="00D9555C"/>
    <w:rsid w:val="00F40F01"/>
    <w:rsid w:val="00FC226B"/>
    <w:rsid w:val="00FC3E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4CCD4E"/>
  <w15:chartTrackingRefBased/>
  <w15:docId w15:val="{65B71AD2-436C-6E42-83AC-741AAAA921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27E7"/>
    <w:pPr>
      <w:spacing w:before="120" w:after="120" w:line="360" w:lineRule="auto"/>
      <w:jc w:val="both"/>
    </w:pPr>
    <w:rPr>
      <w:rFonts w:ascii="Times New Roman" w:eastAsia="Arial" w:hAnsi="Times New Roman" w:cs="Arial"/>
      <w:kern w:val="0"/>
      <w:sz w:val="20"/>
      <w:szCs w:val="22"/>
      <w:lang w:val="fr" w:eastAsia="en-GB"/>
      <w14:ligatures w14:val="none"/>
    </w:rPr>
  </w:style>
  <w:style w:type="paragraph" w:styleId="Heading1">
    <w:name w:val="heading 1"/>
    <w:basedOn w:val="Normal"/>
    <w:next w:val="Normal"/>
    <w:link w:val="Heading1Char"/>
    <w:uiPriority w:val="9"/>
    <w:qFormat/>
    <w:rsid w:val="008B27E7"/>
    <w:pPr>
      <w:keepNext/>
      <w:keepLines/>
      <w:spacing w:before="400"/>
      <w:outlineLvl w:val="0"/>
    </w:pPr>
    <w:rPr>
      <w:b/>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B27E7"/>
    <w:rPr>
      <w:rFonts w:ascii="Times New Roman" w:eastAsia="Arial" w:hAnsi="Times New Roman" w:cs="Arial"/>
      <w:b/>
      <w:kern w:val="0"/>
      <w:sz w:val="20"/>
      <w:szCs w:val="40"/>
      <w:lang w:val="fr" w:eastAsia="en-GB"/>
      <w14:ligatures w14:val="none"/>
    </w:rPr>
  </w:style>
  <w:style w:type="character" w:styleId="LineNumber">
    <w:name w:val="line number"/>
    <w:basedOn w:val="DefaultParagraphFont"/>
    <w:uiPriority w:val="99"/>
    <w:semiHidden/>
    <w:unhideWhenUsed/>
    <w:rsid w:val="008B27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8BC7B14B-E54B-094B-9293-36CFC7C0E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11</Pages>
  <Words>19700</Words>
  <Characters>112294</Characters>
  <Application>Microsoft Office Word</Application>
  <DocSecurity>0</DocSecurity>
  <Lines>935</Lines>
  <Paragraphs>263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Armelle Ballian</dc:creator>
  <cp:keywords/>
  <dc:description/>
  <cp:lastModifiedBy>Armelle Ballian</cp:lastModifiedBy>
  <cp:revision>11</cp:revision>
  <dcterms:created xsi:type="dcterms:W3CDTF">2024-07-05T09:29:00Z</dcterms:created>
  <dcterms:modified xsi:type="dcterms:W3CDTF">2024-07-05T16:17:00Z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7th edition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http://www.zotero.org/styles/climate-of-the-past</vt:lpwstr>
  </property>
  <property fmtid="{D5CDD505-2E9C-101B-9397-08002B2CF9AE}" pid="13" name="Mendeley Recent Style Name 5_1">
    <vt:lpwstr>Climate of the Past</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b684e33a-b4ab-320e-b23e-79aa06ef322a</vt:lpwstr>
  </property>
  <property fmtid="{D5CDD505-2E9C-101B-9397-08002B2CF9AE}" pid="24" name="Mendeley Citation Style_1">
    <vt:lpwstr>http://www.zotero.org/styles/climate-of-the-past</vt:lpwstr>
  </property>
</Properties>
</file>