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D67A3" w14:textId="77777777" w:rsidR="00D56C3D" w:rsidRPr="00BD53D0" w:rsidRDefault="00D56C3D" w:rsidP="00D56C3D">
      <w:pPr>
        <w:pStyle w:val="Authors"/>
        <w:rPr>
          <w:b/>
          <w:sz w:val="34"/>
        </w:rPr>
      </w:pPr>
      <w:r w:rsidRPr="00BD53D0">
        <w:rPr>
          <w:b/>
          <w:sz w:val="34"/>
        </w:rPr>
        <w:t xml:space="preserve">Plutonium </w:t>
      </w:r>
      <w:r>
        <w:rPr>
          <w:b/>
          <w:sz w:val="34"/>
        </w:rPr>
        <w:t xml:space="preserve">concentrations </w:t>
      </w:r>
      <w:r w:rsidRPr="00BD53D0">
        <w:rPr>
          <w:b/>
          <w:sz w:val="34"/>
        </w:rPr>
        <w:t xml:space="preserve">link soil organic matter decline to wind erosion in ploughed soils of South Africa </w:t>
      </w:r>
    </w:p>
    <w:p w14:paraId="357DA22C" w14:textId="77777777" w:rsidR="00D56C3D" w:rsidRPr="00BD53D0" w:rsidRDefault="00D56C3D" w:rsidP="00D56C3D">
      <w:pPr>
        <w:pStyle w:val="Teaser"/>
        <w:spacing w:before="0"/>
        <w:rPr>
          <w:lang w:val="en-GB"/>
        </w:rPr>
      </w:pPr>
      <w:r w:rsidRPr="00BD53D0">
        <w:rPr>
          <w:color w:val="000000"/>
          <w:lang w:val="en-GB"/>
        </w:rPr>
        <w:t>Joel Mohren</w:t>
      </w:r>
      <w:r w:rsidRPr="00BD53D0">
        <w:rPr>
          <w:color w:val="000000"/>
          <w:vertAlign w:val="superscript"/>
          <w:lang w:val="en-GB"/>
        </w:rPr>
        <w:t>1</w:t>
      </w:r>
      <w:r>
        <w:rPr>
          <w:color w:val="000000"/>
          <w:vertAlign w:val="superscript"/>
          <w:lang w:val="en-GB"/>
        </w:rPr>
        <w:t>,2</w:t>
      </w:r>
      <w:r w:rsidRPr="00BD53D0">
        <w:rPr>
          <w:color w:val="000000"/>
          <w:lang w:val="en-GB"/>
        </w:rPr>
        <w:t>*, Hendrik Wiesel</w:t>
      </w:r>
      <w:r>
        <w:rPr>
          <w:color w:val="000000"/>
          <w:vertAlign w:val="superscript"/>
          <w:lang w:val="en-GB"/>
        </w:rPr>
        <w:t>3</w:t>
      </w:r>
      <w:r w:rsidRPr="00BD53D0">
        <w:rPr>
          <w:color w:val="000000"/>
          <w:vertAlign w:val="superscript"/>
          <w:lang w:val="en-GB"/>
        </w:rPr>
        <w:t>,</w:t>
      </w:r>
      <w:r>
        <w:rPr>
          <w:color w:val="000000"/>
          <w:vertAlign w:val="superscript"/>
          <w:lang w:val="en-GB"/>
        </w:rPr>
        <w:t>4</w:t>
      </w:r>
      <w:r w:rsidRPr="00BD53D0">
        <w:rPr>
          <w:color w:val="000000"/>
          <w:lang w:val="en-GB"/>
        </w:rPr>
        <w:t>, Wulf Amelung</w:t>
      </w:r>
      <w:r>
        <w:rPr>
          <w:color w:val="000000"/>
          <w:vertAlign w:val="superscript"/>
          <w:lang w:val="en-GB"/>
        </w:rPr>
        <w:t>5</w:t>
      </w:r>
      <w:r w:rsidRPr="00BD53D0">
        <w:rPr>
          <w:color w:val="000000"/>
          <w:lang w:val="en-GB"/>
        </w:rPr>
        <w:t>, L. Keith Fifield</w:t>
      </w:r>
      <w:r>
        <w:rPr>
          <w:color w:val="000000"/>
          <w:vertAlign w:val="superscript"/>
          <w:lang w:val="en-GB"/>
        </w:rPr>
        <w:t>6</w:t>
      </w:r>
      <w:r w:rsidRPr="00BD53D0">
        <w:rPr>
          <w:color w:val="000000"/>
          <w:lang w:val="en-GB"/>
        </w:rPr>
        <w:t>, Alexandra Sandhage-Hofmann</w:t>
      </w:r>
      <w:r>
        <w:rPr>
          <w:color w:val="000000"/>
          <w:vertAlign w:val="superscript"/>
          <w:lang w:val="en-GB"/>
        </w:rPr>
        <w:t>5</w:t>
      </w:r>
      <w:r w:rsidRPr="00BD53D0">
        <w:rPr>
          <w:color w:val="000000"/>
          <w:lang w:val="en-GB"/>
        </w:rPr>
        <w:t>, Erik Strub</w:t>
      </w:r>
      <w:r>
        <w:rPr>
          <w:color w:val="000000"/>
          <w:vertAlign w:val="superscript"/>
          <w:lang w:val="en-GB"/>
        </w:rPr>
        <w:t>3</w:t>
      </w:r>
      <w:r w:rsidRPr="00BD53D0">
        <w:rPr>
          <w:color w:val="000000"/>
          <w:lang w:val="en-GB"/>
        </w:rPr>
        <w:t>, Steven A. Binnie</w:t>
      </w:r>
      <w:r w:rsidRPr="00BD53D0">
        <w:rPr>
          <w:color w:val="000000"/>
          <w:vertAlign w:val="superscript"/>
          <w:lang w:val="en-GB"/>
        </w:rPr>
        <w:t>1</w:t>
      </w:r>
      <w:r w:rsidRPr="00BD53D0">
        <w:rPr>
          <w:color w:val="000000"/>
          <w:lang w:val="en-GB"/>
        </w:rPr>
        <w:t>, Stefan Heinze</w:t>
      </w:r>
      <w:r>
        <w:rPr>
          <w:color w:val="000000"/>
          <w:vertAlign w:val="superscript"/>
          <w:lang w:val="en-GB"/>
        </w:rPr>
        <w:t>7</w:t>
      </w:r>
      <w:r w:rsidRPr="00BD53D0">
        <w:rPr>
          <w:color w:val="000000"/>
          <w:lang w:val="en-GB"/>
        </w:rPr>
        <w:t xml:space="preserve">, </w:t>
      </w:r>
      <w:proofErr w:type="spellStart"/>
      <w:r w:rsidRPr="00BD53D0">
        <w:rPr>
          <w:color w:val="000000"/>
          <w:lang w:val="en-GB"/>
        </w:rPr>
        <w:t>Elmarie</w:t>
      </w:r>
      <w:proofErr w:type="spellEnd"/>
      <w:r w:rsidRPr="00BD53D0">
        <w:rPr>
          <w:color w:val="000000"/>
          <w:lang w:val="en-GB"/>
        </w:rPr>
        <w:t xml:space="preserve"> Kotze</w:t>
      </w:r>
      <w:r>
        <w:rPr>
          <w:color w:val="000000"/>
          <w:vertAlign w:val="superscript"/>
          <w:lang w:val="en-GB"/>
        </w:rPr>
        <w:t>8</w:t>
      </w:r>
      <w:r w:rsidRPr="00BD53D0">
        <w:rPr>
          <w:color w:val="000000"/>
          <w:lang w:val="en-GB"/>
        </w:rPr>
        <w:t>, Chris Du Preez</w:t>
      </w:r>
      <w:r>
        <w:rPr>
          <w:color w:val="000000"/>
          <w:vertAlign w:val="superscript"/>
          <w:lang w:val="en-GB"/>
        </w:rPr>
        <w:t>8</w:t>
      </w:r>
      <w:r w:rsidRPr="00BD53D0">
        <w:rPr>
          <w:color w:val="000000"/>
          <w:lang w:val="en-GB"/>
        </w:rPr>
        <w:t>, Stephen G. Tims</w:t>
      </w:r>
      <w:r>
        <w:rPr>
          <w:color w:val="000000"/>
          <w:vertAlign w:val="superscript"/>
          <w:lang w:val="en-GB"/>
        </w:rPr>
        <w:t>6</w:t>
      </w:r>
      <w:r w:rsidRPr="00BD53D0">
        <w:rPr>
          <w:color w:val="000000"/>
          <w:lang w:val="en-GB"/>
        </w:rPr>
        <w:t>, Tibor J. Dunai</w:t>
      </w:r>
      <w:r w:rsidRPr="00BD53D0">
        <w:rPr>
          <w:color w:val="000000"/>
          <w:vertAlign w:val="superscript"/>
          <w:lang w:val="en-GB"/>
        </w:rPr>
        <w:t>1</w:t>
      </w:r>
    </w:p>
    <w:p w14:paraId="2FC3302D" w14:textId="77777777" w:rsidR="00D56C3D" w:rsidRDefault="00D56C3D" w:rsidP="00D56C3D">
      <w:pPr>
        <w:pStyle w:val="Affiliation"/>
      </w:pPr>
      <w:r w:rsidRPr="00BD53D0">
        <w:rPr>
          <w:vertAlign w:val="superscript"/>
        </w:rPr>
        <w:t>1</w:t>
      </w:r>
      <w:r w:rsidRPr="00BD53D0">
        <w:t xml:space="preserve">Institute of Geology and Mineralogy, University of Cologne, </w:t>
      </w:r>
      <w:proofErr w:type="spellStart"/>
      <w:r w:rsidRPr="00BD53D0">
        <w:t>Zülpicher</w:t>
      </w:r>
      <w:proofErr w:type="spellEnd"/>
      <w:r w:rsidRPr="00BD53D0">
        <w:t xml:space="preserve"> Str. 49b, 50674 Cologne, Germany.</w:t>
      </w:r>
    </w:p>
    <w:p w14:paraId="6E1BFF0B" w14:textId="77777777" w:rsidR="00D56C3D" w:rsidRPr="00BD53D0" w:rsidRDefault="00D56C3D" w:rsidP="00D56C3D">
      <w:pPr>
        <w:pStyle w:val="Affiliation"/>
      </w:pPr>
      <w:r w:rsidRPr="00EF24A9">
        <w:rPr>
          <w:vertAlign w:val="superscript"/>
        </w:rPr>
        <w:t>2</w:t>
      </w:r>
      <w:r>
        <w:t xml:space="preserve">Chair of Physical Geography and </w:t>
      </w:r>
      <w:proofErr w:type="spellStart"/>
      <w:r>
        <w:t>Geoecology</w:t>
      </w:r>
      <w:proofErr w:type="spellEnd"/>
      <w:r>
        <w:t xml:space="preserve">, RWTH Aachen University, </w:t>
      </w:r>
      <w:proofErr w:type="spellStart"/>
      <w:r>
        <w:t>Wüllnerstr</w:t>
      </w:r>
      <w:proofErr w:type="spellEnd"/>
      <w:r>
        <w:t>. 5b, 52062 Aachen, Germany</w:t>
      </w:r>
    </w:p>
    <w:p w14:paraId="43143AE3" w14:textId="77777777" w:rsidR="00D56C3D" w:rsidRPr="00BD53D0" w:rsidRDefault="00D56C3D" w:rsidP="00D56C3D">
      <w:pPr>
        <w:pStyle w:val="Affiliation"/>
      </w:pPr>
      <w:r>
        <w:rPr>
          <w:vertAlign w:val="superscript"/>
        </w:rPr>
        <w:t>3</w:t>
      </w:r>
      <w:r w:rsidRPr="00BD53D0">
        <w:t xml:space="preserve">Division of Nuclear Chemistry, University of Cologne, </w:t>
      </w:r>
      <w:proofErr w:type="spellStart"/>
      <w:r w:rsidRPr="00BD53D0">
        <w:t>Zülpicher</w:t>
      </w:r>
      <w:proofErr w:type="spellEnd"/>
      <w:r w:rsidRPr="00BD53D0">
        <w:t xml:space="preserve"> Str. 45, 50674 Cologne, Germany.</w:t>
      </w:r>
    </w:p>
    <w:p w14:paraId="7A23F3E6" w14:textId="77777777" w:rsidR="00D56C3D" w:rsidRPr="00BD53D0" w:rsidRDefault="00D56C3D" w:rsidP="00D56C3D">
      <w:pPr>
        <w:pStyle w:val="Affiliation"/>
      </w:pPr>
      <w:r>
        <w:rPr>
          <w:vertAlign w:val="superscript"/>
        </w:rPr>
        <w:t>4</w:t>
      </w:r>
      <w:r w:rsidRPr="00BD53D0">
        <w:t xml:space="preserve">Advanced Nuclear Fuels GmbH, </w:t>
      </w:r>
      <w:r>
        <w:t xml:space="preserve">Am </w:t>
      </w:r>
      <w:proofErr w:type="spellStart"/>
      <w:r>
        <w:t>Seitenkanal</w:t>
      </w:r>
      <w:proofErr w:type="spellEnd"/>
      <w:r>
        <w:t xml:space="preserve"> 1, 49811 </w:t>
      </w:r>
      <w:proofErr w:type="spellStart"/>
      <w:r w:rsidRPr="00BD53D0">
        <w:t>Lingen</w:t>
      </w:r>
      <w:proofErr w:type="spellEnd"/>
      <w:r w:rsidRPr="00BD53D0">
        <w:t>, Germany.</w:t>
      </w:r>
    </w:p>
    <w:p w14:paraId="5050ABCD" w14:textId="77777777" w:rsidR="00D56C3D" w:rsidRPr="00BD53D0" w:rsidRDefault="00D56C3D" w:rsidP="00D56C3D">
      <w:pPr>
        <w:pStyle w:val="Affiliation"/>
      </w:pPr>
      <w:r>
        <w:rPr>
          <w:vertAlign w:val="superscript"/>
        </w:rPr>
        <w:t>5</w:t>
      </w:r>
      <w:r w:rsidRPr="00BD53D0">
        <w:t xml:space="preserve">Institute of Crop Science and Resource Conservation, </w:t>
      </w:r>
      <w:r>
        <w:t xml:space="preserve">Soil Science and Soil Ecology, </w:t>
      </w:r>
      <w:r w:rsidRPr="00BD53D0">
        <w:t xml:space="preserve">University of Bonn, </w:t>
      </w:r>
      <w:proofErr w:type="spellStart"/>
      <w:r>
        <w:t>Nussallee</w:t>
      </w:r>
      <w:proofErr w:type="spellEnd"/>
      <w:r w:rsidRPr="00BD53D0">
        <w:t xml:space="preserve"> 13, 53115 Bonn, Germany.</w:t>
      </w:r>
    </w:p>
    <w:p w14:paraId="41DBAB05" w14:textId="77777777" w:rsidR="00D56C3D" w:rsidRPr="00BD53D0" w:rsidRDefault="00D56C3D" w:rsidP="00D56C3D">
      <w:pPr>
        <w:pStyle w:val="Affiliation"/>
      </w:pPr>
      <w:r>
        <w:rPr>
          <w:vertAlign w:val="superscript"/>
        </w:rPr>
        <w:t>6</w:t>
      </w:r>
      <w:r w:rsidRPr="00BD53D0">
        <w:t>Department of Nuclear Physics and Accelerator Applications, Research School of Physics. The Australian National University, Canberra, ACT 2601, Australia</w:t>
      </w:r>
    </w:p>
    <w:p w14:paraId="233CA69A" w14:textId="77777777" w:rsidR="00D56C3D" w:rsidRPr="00BD53D0" w:rsidRDefault="00D56C3D" w:rsidP="00D56C3D">
      <w:pPr>
        <w:pStyle w:val="Affiliation"/>
      </w:pPr>
      <w:r>
        <w:rPr>
          <w:vertAlign w:val="superscript"/>
        </w:rPr>
        <w:t>7</w:t>
      </w:r>
      <w:r w:rsidRPr="00BD53D0">
        <w:t>CologneAMS, Institute of Nuclear Physics, University of Cologne,</w:t>
      </w:r>
      <w:r>
        <w:t xml:space="preserve"> </w:t>
      </w:r>
      <w:proofErr w:type="spellStart"/>
      <w:r>
        <w:t>Zülpicher</w:t>
      </w:r>
      <w:proofErr w:type="spellEnd"/>
      <w:r>
        <w:t xml:space="preserve"> Str. 77, 50937 Cologne,</w:t>
      </w:r>
      <w:r w:rsidRPr="00BD53D0">
        <w:t xml:space="preserve"> Germany.</w:t>
      </w:r>
    </w:p>
    <w:p w14:paraId="68D015DE" w14:textId="77777777" w:rsidR="00D56C3D" w:rsidRPr="00BD53D0" w:rsidRDefault="00D56C3D" w:rsidP="00D56C3D">
      <w:pPr>
        <w:pStyle w:val="Affiliation"/>
      </w:pPr>
      <w:r>
        <w:rPr>
          <w:vertAlign w:val="superscript"/>
        </w:rPr>
        <w:t>8</w:t>
      </w:r>
      <w:r w:rsidRPr="00BD53D0">
        <w:t>Department of Soil, Crop and Climate Sciences, University of the Free State, P.O. Box 339, Bloemfontein 9300, Republic of South Africa.</w:t>
      </w:r>
    </w:p>
    <w:p w14:paraId="11E3E122" w14:textId="77777777" w:rsidR="00D56C3D" w:rsidRPr="00BD53D0" w:rsidRDefault="00D56C3D" w:rsidP="00D56C3D">
      <w:pPr>
        <w:pStyle w:val="Correspondence"/>
      </w:pPr>
      <w:r w:rsidRPr="00BD53D0">
        <w:rPr>
          <w:i/>
        </w:rPr>
        <w:t>Correspondence to</w:t>
      </w:r>
      <w:r w:rsidRPr="00BD53D0">
        <w:t>: Joel Mohren (joel.mohren@uni-koeln.de)</w:t>
      </w:r>
    </w:p>
    <w:p w14:paraId="590FF8D7" w14:textId="4F1BAED4" w:rsidR="00673C93" w:rsidRDefault="00673C93" w:rsidP="00286F53">
      <w:pPr>
        <w:pStyle w:val="Correspondence"/>
      </w:pPr>
    </w:p>
    <w:p w14:paraId="740EED5A" w14:textId="5AF59E25" w:rsidR="00673C93" w:rsidRDefault="00673C93" w:rsidP="00286F53">
      <w:pPr>
        <w:pStyle w:val="Correspondence"/>
      </w:pPr>
    </w:p>
    <w:p w14:paraId="1BC0CE21" w14:textId="67740840" w:rsidR="00673C93" w:rsidRDefault="00673C93" w:rsidP="00286F53">
      <w:pPr>
        <w:pStyle w:val="Correspondence"/>
      </w:pPr>
    </w:p>
    <w:p w14:paraId="696D5BB6" w14:textId="7F3F0F81" w:rsidR="00673C93" w:rsidRDefault="00673C93" w:rsidP="00286F53">
      <w:pPr>
        <w:pStyle w:val="Correspondence"/>
      </w:pPr>
    </w:p>
    <w:p w14:paraId="3142BD6D" w14:textId="39555CC2" w:rsidR="00673C93" w:rsidRDefault="00673C93" w:rsidP="00286F53">
      <w:pPr>
        <w:pStyle w:val="Correspondence"/>
      </w:pPr>
    </w:p>
    <w:p w14:paraId="1AD45519" w14:textId="1F5CE82D" w:rsidR="00673C93" w:rsidRDefault="00673C93" w:rsidP="00286F53">
      <w:pPr>
        <w:pStyle w:val="Correspondence"/>
      </w:pPr>
    </w:p>
    <w:p w14:paraId="4A43C477" w14:textId="13ADF705" w:rsidR="00673C93" w:rsidRDefault="00673C93" w:rsidP="00286F53">
      <w:pPr>
        <w:pStyle w:val="Correspondence"/>
      </w:pPr>
    </w:p>
    <w:p w14:paraId="13EA3184" w14:textId="63A90E0F" w:rsidR="00673C93" w:rsidRDefault="00673C93" w:rsidP="00286F53">
      <w:pPr>
        <w:pStyle w:val="Correspondence"/>
      </w:pPr>
    </w:p>
    <w:p w14:paraId="60C1C436" w14:textId="500EC2E6" w:rsidR="00673C93" w:rsidRDefault="00673C93" w:rsidP="00286F53">
      <w:pPr>
        <w:pStyle w:val="Correspondence"/>
      </w:pPr>
    </w:p>
    <w:p w14:paraId="6157CFBD" w14:textId="4A3BCDD5" w:rsidR="00673C93" w:rsidRDefault="00673C93" w:rsidP="00286F53">
      <w:pPr>
        <w:pStyle w:val="Correspondence"/>
      </w:pPr>
    </w:p>
    <w:p w14:paraId="0F067BDD" w14:textId="77777777" w:rsidR="00673C93" w:rsidRPr="00BD53D0" w:rsidRDefault="00673C93" w:rsidP="00286F53">
      <w:pPr>
        <w:pStyle w:val="Correspondence"/>
      </w:pPr>
    </w:p>
    <w:p w14:paraId="68F95D14" w14:textId="57DB7A7D" w:rsidR="00A578BB" w:rsidRDefault="005C4D17" w:rsidP="00A578BB">
      <w:pPr>
        <w:pStyle w:val="Heading1"/>
      </w:pPr>
      <w:bookmarkStart w:id="0" w:name="_Hlk121823046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106D1C8" wp14:editId="7C5BAAEB">
            <wp:simplePos x="0" y="0"/>
            <wp:positionH relativeFrom="page">
              <wp:align>center</wp:align>
            </wp:positionH>
            <wp:positionV relativeFrom="paragraph">
              <wp:posOffset>334645</wp:posOffset>
            </wp:positionV>
            <wp:extent cx="4327200" cy="42192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_vs_N_clay_silt_40yr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7200" cy="4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5C49">
        <w:t>1</w:t>
      </w:r>
      <w:r w:rsidR="00A578BB">
        <w:t xml:space="preserve"> Supplementary </w:t>
      </w:r>
      <w:proofErr w:type="gramStart"/>
      <w:r w:rsidR="00A578BB">
        <w:t>figu</w:t>
      </w:r>
      <w:bookmarkStart w:id="1" w:name="_GoBack"/>
      <w:bookmarkEnd w:id="1"/>
      <w:r w:rsidR="00A578BB">
        <w:t>res</w:t>
      </w:r>
      <w:bookmarkEnd w:id="0"/>
      <w:proofErr w:type="gramEnd"/>
    </w:p>
    <w:p w14:paraId="0D07D204" w14:textId="77777777" w:rsidR="00911808" w:rsidRDefault="00911808" w:rsidP="00A578BB">
      <w:pPr>
        <w:pStyle w:val="Caption"/>
      </w:pPr>
      <w:bookmarkStart w:id="2" w:name="_Hlk121822901"/>
    </w:p>
    <w:p w14:paraId="5CA237A9" w14:textId="3A7DF409" w:rsidR="00F5258E" w:rsidRDefault="00A578BB" w:rsidP="00A578BB">
      <w:pPr>
        <w:pStyle w:val="Caption"/>
      </w:pPr>
      <w:r>
        <w:t>Figure S</w:t>
      </w:r>
      <w:fldSimple w:instr=" SEQ Figure \* ARABIC ">
        <w:r>
          <w:rPr>
            <w:noProof/>
          </w:rPr>
          <w:t>1</w:t>
        </w:r>
      </w:fldSimple>
      <w:r>
        <w:t xml:space="preserve">: </w:t>
      </w:r>
      <w:r w:rsidRPr="00A578BB">
        <w:t>Linear correlations be</w:t>
      </w:r>
      <w:bookmarkEnd w:id="2"/>
      <w:r w:rsidRPr="00A578BB">
        <w:t>tween soil N contents</w:t>
      </w:r>
      <w:r>
        <w:t xml:space="preserve"> (</w:t>
      </w:r>
      <w:r>
        <w:fldChar w:fldCharType="begin"/>
      </w:r>
      <w:r w:rsidR="00FE5C49">
        <w:instrText xml:space="preserve"> ADDIN EN.CITE &lt;EndNote&gt;&lt;Cite&gt;&lt;Author&gt;Lobe&lt;/Author&gt;&lt;Year&gt;2001&lt;/Year&gt;&lt;RecNum&gt;1343&lt;/RecNum&gt;&lt;DisplayText&gt;Lobe et al., 2001&lt;/DisplayText&gt;&lt;record&gt;&lt;rec-number&gt;1343&lt;/rec-number&gt;&lt;foreign-keys&gt;&lt;key app="EN" db-id="fddrdf5eteteeoetrwoptzs8te0drtpxp5xf" timestamp="1683544678" guid="3ba0628b-d49e-4a9a-9648-e3220e16ce61"&gt;1343&lt;/key&gt;&lt;/foreign-keys&gt;&lt;ref-type name="Journal Article"&gt;17&lt;/ref-type&gt;&lt;contributors&gt;&lt;authors&gt;&lt;author&gt;Lobe, I.&lt;/author&gt;&lt;author&gt;Amelung, W.&lt;/author&gt;&lt;author&gt;Du Preez, C. C.&lt;/author&gt;&lt;/authors&gt;&lt;/contributors&gt;&lt;titles&gt;&lt;title&gt;Losses of carbon and nitrogen with prolonged arable cropping from sandy soils of the South African Highveld&lt;/title&gt;&lt;secondary-title&gt;European Journal of Soil Science&lt;/secondary-title&gt;&lt;/titles&gt;&lt;periodical&gt;&lt;full-title&gt;European Journal of Soil Science&lt;/full-title&gt;&lt;/periodical&gt;&lt;pages&gt;93-101&lt;/pages&gt;&lt;volume&gt;52&lt;/volume&gt;&lt;number&gt;1&lt;/number&gt;&lt;dates&gt;&lt;year&gt;2001&lt;/year&gt;&lt;/dates&gt;&lt;isbn&gt;1351-0754&lt;/isbn&gt;&lt;urls&gt;&lt;related-urls&gt;&lt;url&gt;https://onlinelibrary.wiley.com/doi/abs/10.1046/j.1365-2389.2001.t01-1-00362.x&lt;/url&gt;&lt;/related-urls&gt;&lt;/urls&gt;&lt;electronic-resource-num&gt;https://doi.org/10.1046/j.1365-2389.2001.t01-1-00362.x&lt;/electronic-resource-num&gt;&lt;/record&gt;&lt;/Cite&gt;&lt;/EndNote&gt;</w:instrText>
      </w:r>
      <w:r>
        <w:fldChar w:fldCharType="separate"/>
      </w:r>
      <w:r>
        <w:rPr>
          <w:noProof/>
        </w:rPr>
        <w:t>Lobe et al., 2001</w:t>
      </w:r>
      <w:r>
        <w:fldChar w:fldCharType="end"/>
      </w:r>
      <w:r>
        <w:t>)</w:t>
      </w:r>
      <w:r w:rsidRPr="00A578BB">
        <w:t xml:space="preserve"> and </w:t>
      </w:r>
      <w:r w:rsidRPr="00A578BB">
        <w:rPr>
          <w:vertAlign w:val="superscript"/>
        </w:rPr>
        <w:t>239+240</w:t>
      </w:r>
      <w:r w:rsidRPr="00A578BB">
        <w:t xml:space="preserve">Pu </w:t>
      </w:r>
      <w:r w:rsidR="00673C93">
        <w:t>concentrations in the clay and silt soil fractions, here defined as the soil fractions &lt;20 µm</w:t>
      </w:r>
      <w:r w:rsidRPr="00A578BB">
        <w:t xml:space="preserve">. </w:t>
      </w:r>
      <w:r>
        <w:t>Most plutonium samples depict replicate measurements</w:t>
      </w:r>
      <w:bookmarkStart w:id="3" w:name="_Hlk121822820"/>
      <w:r w:rsidR="00673C93">
        <w:t xml:space="preserve">; the corresponding concentrations are weighted means and the uncertainties either dominated by AMS counting statistics (weighted mean error) or external sources of uncertainty (standard error). </w:t>
      </w:r>
      <w:r w:rsidR="00673C93" w:rsidRPr="00BD53D0">
        <w:t>For single measurements, the 1σ measurement uncertainty provided by the AMS facilities dominates the final uncertainty.</w:t>
      </w:r>
      <w:bookmarkEnd w:id="3"/>
      <w:r w:rsidR="00673C93">
        <w:t xml:space="preserve"> </w:t>
      </w:r>
      <w:r>
        <w:t xml:space="preserve">(vertical error bars either represent 1σ from the mean of several replicates or a 1σ error-propagated uncertainty dominated by the AMS measurement uncertainty). </w:t>
      </w:r>
      <w:r w:rsidRPr="00A578BB">
        <w:t>Samples from sites that have been cropped before 19</w:t>
      </w:r>
      <w:r w:rsidR="00673C93">
        <w:t>63</w:t>
      </w:r>
      <w:r w:rsidRPr="00A578BB">
        <w:t xml:space="preserve"> were excluded from the regression (greyed out data points).</w:t>
      </w:r>
    </w:p>
    <w:p w14:paraId="79B6EDB9" w14:textId="2DF3C76E" w:rsidR="00A578BB" w:rsidRDefault="00A578BB" w:rsidP="003D5288"/>
    <w:p w14:paraId="0449F01B" w14:textId="735F772F" w:rsidR="00A578BB" w:rsidRDefault="00A578BB" w:rsidP="003D5288"/>
    <w:p w14:paraId="4B520615" w14:textId="30B8F05D" w:rsidR="00A578BB" w:rsidRDefault="00A578BB" w:rsidP="003D5288"/>
    <w:p w14:paraId="5C4E6F47" w14:textId="2534CE78" w:rsidR="00A578BB" w:rsidRDefault="00A578BB" w:rsidP="003D5288"/>
    <w:p w14:paraId="6EEF8B51" w14:textId="482380A7" w:rsidR="00A578BB" w:rsidRDefault="00A578BB" w:rsidP="003D5288"/>
    <w:p w14:paraId="150B720B" w14:textId="3B072344" w:rsidR="00A578BB" w:rsidRDefault="00A578BB" w:rsidP="003D5288"/>
    <w:p w14:paraId="69DF575A" w14:textId="65FCE396" w:rsidR="00A578BB" w:rsidRDefault="00A578BB" w:rsidP="003D5288"/>
    <w:p w14:paraId="74599BC1" w14:textId="2F8869D1" w:rsidR="00A578BB" w:rsidRDefault="00673C93" w:rsidP="003D5288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2407C65" wp14:editId="0B67F7EF">
            <wp:simplePos x="0" y="0"/>
            <wp:positionH relativeFrom="page">
              <wp:posOffset>1911350</wp:posOffset>
            </wp:positionH>
            <wp:positionV relativeFrom="paragraph">
              <wp:posOffset>95250</wp:posOffset>
            </wp:positionV>
            <wp:extent cx="4147820" cy="4133850"/>
            <wp:effectExtent l="0" t="0" r="508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l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782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548523" w14:textId="54038EA8" w:rsidR="00673C93" w:rsidRDefault="00673C93" w:rsidP="00673C93">
      <w:pPr>
        <w:pStyle w:val="Caption"/>
      </w:pPr>
      <w:r>
        <w:rPr>
          <w:b w:val="0"/>
          <w:bCs w:val="0"/>
          <w:sz w:val="20"/>
          <w:szCs w:val="24"/>
        </w:rPr>
        <w:t>F</w:t>
      </w:r>
      <w:r>
        <w:t xml:space="preserve">igure S2: </w:t>
      </w:r>
      <w:r w:rsidRPr="00A578BB">
        <w:t xml:space="preserve">Grain size data </w:t>
      </w:r>
      <w:r>
        <w:t xml:space="preserve">measured by </w:t>
      </w:r>
      <w:r>
        <w:fldChar w:fldCharType="begin"/>
      </w:r>
      <w:r>
        <w:instrText xml:space="preserve"> ADDIN EN.CITE &lt;EndNote&gt;&lt;Cite AuthorYear="1"&gt;&lt;Author&gt;Lobe&lt;/Author&gt;&lt;Year&gt;2001&lt;/Year&gt;&lt;RecNum&gt;1343&lt;/RecNum&gt;&lt;DisplayText&gt;Lobe et al. (2001)&lt;/DisplayText&gt;&lt;record&gt;&lt;rec-number&gt;1343&lt;/rec-number&gt;&lt;foreign-keys&gt;&lt;key app="EN" db-id="fddrdf5eteteeoetrwoptzs8te0drtpxp5xf" timestamp="1683544678" guid="3ba0628b-d49e-4a9a-9648-e3220e16ce61"&gt;1343&lt;/key&gt;&lt;/foreign-keys&gt;&lt;ref-type name="Journal Article"&gt;17&lt;/ref-type&gt;&lt;contributors&gt;&lt;authors&gt;&lt;author&gt;Lobe, I.&lt;/author&gt;&lt;author&gt;Amelung, W.&lt;/author&gt;&lt;author&gt;Du Preez, C. C.&lt;/author&gt;&lt;/authors&gt;&lt;/contributors&gt;&lt;titles&gt;&lt;title&gt;Losses of carbon and nitrogen with prolonged arable cropping from sandy soils of the South African Highveld&lt;/title&gt;&lt;secondary-title&gt;European Journal of Soil Science&lt;/secondary-title&gt;&lt;/titles&gt;&lt;periodical&gt;&lt;full-title&gt;European Journal of Soil Science&lt;/full-title&gt;&lt;/periodical&gt;&lt;pages&gt;93-101&lt;/pages&gt;&lt;volume&gt;52&lt;/volume&gt;&lt;number&gt;1&lt;/number&gt;&lt;dates&gt;&lt;year&gt;2001&lt;/year&gt;&lt;/dates&gt;&lt;isbn&gt;1351-0754&lt;/isbn&gt;&lt;urls&gt;&lt;related-urls&gt;&lt;url&gt;https://onlinelibrary.wiley.com/doi/abs/10.1046/j.1365-2389.2001.t01-1-00362.x&lt;/url&gt;&lt;/related-urls&gt;&lt;/urls&gt;&lt;electronic-resource-num&gt;https://doi.org/10.1046/j.1365-2389.2001.t01-1-00362.x&lt;/electronic-resource-num&gt;&lt;/record&gt;&lt;/Cite&gt;&lt;/EndNote&gt;</w:instrText>
      </w:r>
      <w:r>
        <w:fldChar w:fldCharType="separate"/>
      </w:r>
      <w:r>
        <w:rPr>
          <w:noProof/>
        </w:rPr>
        <w:t>Lobe et al. (2001)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ADDIN EN.CITE &lt;EndNote&gt;&lt;Cite AuthorYear="1"&gt;&lt;Author&gt;Amelung&lt;/Author&gt;&lt;Year&gt;2002&lt;/Year&gt;&lt;RecNum&gt;1344&lt;/RecNum&gt;&lt;DisplayText&gt;Amelung et al. (2002)&lt;/DisplayText&gt;&lt;record&gt;&lt;rec-number&gt;1344&lt;/rec-number&gt;&lt;foreign-keys&gt;&lt;key app="EN" db-id="fddrdf5eteteeoetrwoptzs8te0drtpxp5xf" timestamp="1683544678" guid="4350570e-1e4e-4b11-84d5-56462b34f1f4"&gt;1344&lt;/key&gt;&lt;/foreign-keys&gt;&lt;ref-type name="Journal Article"&gt;17&lt;/ref-type&gt;&lt;contributors&gt;&lt;authors&gt;&lt;author&gt;Amelung, W.&lt;/author&gt;&lt;author&gt;Lobe, I.&lt;/author&gt;&lt;author&gt;Du Preez, C. C.&lt;/author&gt;&lt;/authors&gt;&lt;/contributors&gt;&lt;titles&gt;&lt;title&gt;Fate of microbial residues in sandy soils of the South African Highveld as influenced by prolonged arable cropping&lt;/title&gt;&lt;secondary-title&gt;European Journal of Soil Science&lt;/secondary-title&gt;&lt;/titles&gt;&lt;periodical&gt;&lt;full-title&gt;European Journal of Soil Science&lt;/full-title&gt;&lt;/periodical&gt;&lt;pages&gt;29-35&lt;/pages&gt;&lt;volume&gt;53&lt;/volume&gt;&lt;number&gt;1&lt;/number&gt;&lt;dates&gt;&lt;year&gt;2002&lt;/year&gt;&lt;/dates&gt;&lt;isbn&gt;1351-0754&lt;/isbn&gt;&lt;urls&gt;&lt;related-urls&gt;&lt;url&gt;https://onlinelibrary.wiley.com/doi/abs/10.1046/j.1365-2389.2002.00428.x&lt;/url&gt;&lt;/related-urls&gt;&lt;/urls&gt;&lt;electronic-resource-num&gt;https://doi.org/10.1046/j.1365-2389.2002.00428.x&lt;/electronic-resource-num&gt;&lt;/record&gt;&lt;/Cite&gt;&lt;/EndNote&gt;</w:instrText>
      </w:r>
      <w:r>
        <w:fldChar w:fldCharType="separate"/>
      </w:r>
      <w:r>
        <w:rPr>
          <w:noProof/>
        </w:rPr>
        <w:t>Amelung et al. (2002)</w:t>
      </w:r>
      <w:r>
        <w:fldChar w:fldCharType="end"/>
      </w:r>
      <w:r w:rsidRPr="00A578BB">
        <w:t xml:space="preserve">. </w:t>
      </w:r>
      <w:r>
        <w:t>Uncertainties are 1σ standard deviations of the arithmetic means (</w:t>
      </w:r>
      <w:r w:rsidRPr="00E12AF0">
        <w:rPr>
          <w:i/>
        </w:rPr>
        <w:t>n</w:t>
      </w:r>
      <w:r>
        <w:t xml:space="preserve"> </w:t>
      </w:r>
      <w:r w:rsidRPr="00673C93">
        <w:rPr>
          <w:u w:val="single"/>
        </w:rPr>
        <w:t>&gt;</w:t>
      </w:r>
      <w:r>
        <w:t>2 replicates per sample).</w:t>
      </w:r>
    </w:p>
    <w:p w14:paraId="5AEA7C15" w14:textId="1B5BE7EE" w:rsidR="00A578BB" w:rsidRDefault="00A578BB" w:rsidP="003D5288"/>
    <w:p w14:paraId="6F847A11" w14:textId="36873BFE" w:rsidR="00A578BB" w:rsidRDefault="00A578BB" w:rsidP="003D5288"/>
    <w:p w14:paraId="449C061F" w14:textId="24545B2A" w:rsidR="00A578BB" w:rsidRDefault="00A578BB" w:rsidP="003D5288"/>
    <w:p w14:paraId="533A159A" w14:textId="30B29001" w:rsidR="00673C93" w:rsidRDefault="00673C93" w:rsidP="003D5288"/>
    <w:p w14:paraId="4D4B45B6" w14:textId="2C770103" w:rsidR="00673C93" w:rsidRDefault="00673C93" w:rsidP="003D5288"/>
    <w:p w14:paraId="6C6E903A" w14:textId="5A66CE51" w:rsidR="00673C93" w:rsidRDefault="00673C93" w:rsidP="003D5288"/>
    <w:p w14:paraId="3505E792" w14:textId="3B2C62E1" w:rsidR="00673C93" w:rsidRDefault="00673C93" w:rsidP="003D5288"/>
    <w:p w14:paraId="30DA224A" w14:textId="7E80DC58" w:rsidR="00673C93" w:rsidRDefault="00673C93" w:rsidP="003D5288"/>
    <w:p w14:paraId="30921CC6" w14:textId="77777777" w:rsidR="00673C93" w:rsidRDefault="00673C93" w:rsidP="003D5288"/>
    <w:p w14:paraId="426DE43A" w14:textId="747242C4" w:rsidR="004C5838" w:rsidRDefault="004C5838" w:rsidP="003D5288"/>
    <w:p w14:paraId="14F72087" w14:textId="4C48F191" w:rsidR="004C5838" w:rsidRDefault="00E12AF0" w:rsidP="004C5838">
      <w:pPr>
        <w:pStyle w:val="Heading1"/>
      </w:pPr>
      <w:r>
        <w:lastRenderedPageBreak/>
        <w:t>2</w:t>
      </w:r>
      <w:r w:rsidR="004C5838">
        <w:t xml:space="preserve"> Supplementary tables</w:t>
      </w:r>
    </w:p>
    <w:p w14:paraId="6EE83344" w14:textId="7A31B4EC" w:rsidR="00A578BB" w:rsidRDefault="004C5838" w:rsidP="00A578BB">
      <w:pPr>
        <w:pStyle w:val="Caption"/>
      </w:pPr>
      <w:r>
        <w:t>Table</w:t>
      </w:r>
      <w:r w:rsidR="00A578BB">
        <w:t xml:space="preserve"> S</w:t>
      </w:r>
      <w:r w:rsidR="00F555BF">
        <w:t>3</w:t>
      </w:r>
      <w:r>
        <w:rPr>
          <w:noProof/>
        </w:rPr>
        <w:t xml:space="preserve">: Ratios of </w:t>
      </w:r>
      <w:r w:rsidRPr="004C5838">
        <w:rPr>
          <w:noProof/>
          <w:vertAlign w:val="superscript"/>
        </w:rPr>
        <w:t>137</w:t>
      </w:r>
      <w:r>
        <w:rPr>
          <w:noProof/>
        </w:rPr>
        <w:t xml:space="preserve">Cs against </w:t>
      </w:r>
      <w:r w:rsidRPr="004C5838">
        <w:rPr>
          <w:noProof/>
          <w:vertAlign w:val="superscript"/>
        </w:rPr>
        <w:t>239+240</w:t>
      </w:r>
      <w:r>
        <w:rPr>
          <w:noProof/>
        </w:rPr>
        <w:t>Pu.</w:t>
      </w:r>
    </w:p>
    <w:tbl>
      <w:tblPr>
        <w:tblW w:w="4108" w:type="dxa"/>
        <w:jc w:val="center"/>
        <w:tblLook w:val="04A0" w:firstRow="1" w:lastRow="0" w:firstColumn="1" w:lastColumn="0" w:noHBand="0" w:noVBand="1"/>
      </w:tblPr>
      <w:tblGrid>
        <w:gridCol w:w="567"/>
        <w:gridCol w:w="772"/>
        <w:gridCol w:w="1080"/>
        <w:gridCol w:w="751"/>
        <w:gridCol w:w="337"/>
        <w:gridCol w:w="601"/>
      </w:tblGrid>
      <w:tr w:rsidR="0083741F" w:rsidRPr="0083741F" w14:paraId="69374D32" w14:textId="77777777" w:rsidTr="0083741F">
        <w:trPr>
          <w:trHeight w:val="375"/>
          <w:jc w:val="center"/>
        </w:trPr>
        <w:tc>
          <w:tcPr>
            <w:tcW w:w="2419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BCBF493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Sample ID</w:t>
            </w:r>
          </w:p>
        </w:tc>
        <w:tc>
          <w:tcPr>
            <w:tcW w:w="1689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7297D4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vertAlign w:val="superscript"/>
                <w:lang w:eastAsia="en-GB"/>
              </w:rPr>
              <w:t>137</w:t>
            </w:r>
            <w:r w:rsidRPr="0083741F">
              <w:rPr>
                <w:color w:val="000000"/>
                <w:sz w:val="22"/>
                <w:szCs w:val="22"/>
                <w:lang w:eastAsia="en-GB"/>
              </w:rPr>
              <w:t>Cs/</w:t>
            </w:r>
            <w:r w:rsidRPr="0083741F">
              <w:rPr>
                <w:color w:val="000000"/>
                <w:sz w:val="22"/>
                <w:szCs w:val="22"/>
                <w:vertAlign w:val="superscript"/>
                <w:lang w:eastAsia="en-GB"/>
              </w:rPr>
              <w:t>239+240</w:t>
            </w:r>
            <w:r w:rsidRPr="0083741F">
              <w:rPr>
                <w:color w:val="000000"/>
                <w:sz w:val="22"/>
                <w:szCs w:val="22"/>
                <w:lang w:eastAsia="en-GB"/>
              </w:rPr>
              <w:t>Pu</w:t>
            </w:r>
          </w:p>
        </w:tc>
      </w:tr>
      <w:tr w:rsidR="0083741F" w:rsidRPr="0083741F" w14:paraId="5A192B33" w14:textId="77777777" w:rsidTr="0083741F">
        <w:trPr>
          <w:trHeight w:val="31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96550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061FD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BFC07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07F92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18.68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AD483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78293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2.33</w:t>
            </w:r>
          </w:p>
        </w:tc>
      </w:tr>
      <w:tr w:rsidR="0083741F" w:rsidRPr="0083741F" w14:paraId="7E726C1C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B2FA7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FD143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BEF00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CAFEA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22.85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5607A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2F233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4.25</w:t>
            </w:r>
          </w:p>
        </w:tc>
      </w:tr>
      <w:tr w:rsidR="0083741F" w:rsidRPr="0083741F" w14:paraId="6D978545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A695C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KR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89336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45F93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365E4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33.24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8AD59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F2126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3.54</w:t>
            </w:r>
          </w:p>
        </w:tc>
      </w:tr>
      <w:tr w:rsidR="0083741F" w:rsidRPr="0083741F" w14:paraId="70AE2B4E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0996E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KR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B0A6C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B9592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5CEB1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25.16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72F2C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980C7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5.06</w:t>
            </w:r>
          </w:p>
        </w:tc>
      </w:tr>
      <w:tr w:rsidR="0083741F" w:rsidRPr="0083741F" w14:paraId="57D888D6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04772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1C0D9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015E7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52D4A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30.54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738CA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A6D1B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2.58</w:t>
            </w:r>
          </w:p>
        </w:tc>
      </w:tr>
      <w:tr w:rsidR="0083741F" w:rsidRPr="0083741F" w14:paraId="257CB8ED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66677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5AC35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C6A50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738AF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31.88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65F33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F0842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3.78</w:t>
            </w:r>
          </w:p>
        </w:tc>
      </w:tr>
      <w:tr w:rsidR="0083741F" w:rsidRPr="0083741F" w14:paraId="0DBED639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F139F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08517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EA464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54C7F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28.60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47881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FDAEF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2.61</w:t>
            </w:r>
          </w:p>
        </w:tc>
      </w:tr>
      <w:tr w:rsidR="0083741F" w:rsidRPr="0083741F" w14:paraId="30A0376E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D028D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7BDC0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7698E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961B3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28.34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5E646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FC187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3.26</w:t>
            </w:r>
          </w:p>
        </w:tc>
      </w:tr>
      <w:tr w:rsidR="0083741F" w:rsidRPr="0083741F" w14:paraId="35E36EAC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B4A36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AA586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CF074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165C4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29.64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9B897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B4F05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3.25</w:t>
            </w:r>
          </w:p>
        </w:tc>
      </w:tr>
      <w:tr w:rsidR="0083741F" w:rsidRPr="0083741F" w14:paraId="426B1905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9A010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E6F02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5A0D4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7BDA9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22.71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3AB4C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F7793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3.14</w:t>
            </w:r>
          </w:p>
        </w:tc>
      </w:tr>
      <w:tr w:rsidR="0083741F" w:rsidRPr="0083741F" w14:paraId="4BCE94CC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ABADC2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35B641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DC017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DF2273" w14:textId="77777777" w:rsidR="0083741F" w:rsidRPr="0083741F" w:rsidRDefault="0083741F" w:rsidP="0083741F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26.17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39656D" w14:textId="77777777" w:rsidR="0083741F" w:rsidRPr="0083741F" w:rsidRDefault="0083741F" w:rsidP="0083741F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F4E3A9" w14:textId="77777777" w:rsidR="0083741F" w:rsidRPr="0083741F" w:rsidRDefault="0083741F" w:rsidP="0083741F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color w:val="000000"/>
                <w:sz w:val="22"/>
                <w:szCs w:val="22"/>
                <w:lang w:eastAsia="en-GB"/>
              </w:rPr>
              <w:t>4.89</w:t>
            </w:r>
          </w:p>
        </w:tc>
      </w:tr>
      <w:tr w:rsidR="0083741F" w:rsidRPr="0083741F" w14:paraId="10EB324A" w14:textId="77777777" w:rsidTr="0083741F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F3E1C" w14:textId="77777777" w:rsidR="0083741F" w:rsidRPr="0083741F" w:rsidRDefault="0083741F" w:rsidP="0083741F">
            <w:pPr>
              <w:spacing w:line="240" w:lineRule="auto"/>
              <w:jc w:val="left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i/>
                <w:iCs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E9681" w14:textId="77777777" w:rsidR="0083741F" w:rsidRPr="0083741F" w:rsidRDefault="0083741F" w:rsidP="0083741F">
            <w:pPr>
              <w:spacing w:line="240" w:lineRule="auto"/>
              <w:jc w:val="right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i/>
                <w:iCs/>
                <w:color w:val="000000"/>
                <w:sz w:val="22"/>
                <w:szCs w:val="22"/>
                <w:lang w:eastAsia="en-GB"/>
              </w:rPr>
              <w:t>Weighted average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0C701" w14:textId="77777777" w:rsidR="0083741F" w:rsidRPr="0083741F" w:rsidRDefault="0083741F" w:rsidP="0083741F">
            <w:pPr>
              <w:spacing w:line="240" w:lineRule="auto"/>
              <w:jc w:val="right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i/>
                <w:iCs/>
                <w:color w:val="000000"/>
                <w:sz w:val="22"/>
                <w:szCs w:val="22"/>
                <w:lang w:eastAsia="en-GB"/>
              </w:rPr>
              <w:t>26.69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F39AC" w14:textId="77777777" w:rsidR="0083741F" w:rsidRPr="0083741F" w:rsidRDefault="0083741F" w:rsidP="0083741F">
            <w:pPr>
              <w:spacing w:line="240" w:lineRule="auto"/>
              <w:jc w:val="center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i/>
                <w:iCs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439D3" w14:textId="77777777" w:rsidR="0083741F" w:rsidRPr="0083741F" w:rsidRDefault="0083741F" w:rsidP="0083741F">
            <w:pPr>
              <w:spacing w:line="240" w:lineRule="auto"/>
              <w:jc w:val="left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3741F">
              <w:rPr>
                <w:i/>
                <w:iCs/>
                <w:color w:val="000000"/>
                <w:sz w:val="22"/>
                <w:szCs w:val="22"/>
                <w:lang w:eastAsia="en-GB"/>
              </w:rPr>
              <w:t>0.97</w:t>
            </w:r>
          </w:p>
        </w:tc>
      </w:tr>
    </w:tbl>
    <w:p w14:paraId="424C850B" w14:textId="77777777" w:rsidR="004C5838" w:rsidRPr="004C5838" w:rsidRDefault="004C5838" w:rsidP="004C5838">
      <w:pPr>
        <w:rPr>
          <w:szCs w:val="20"/>
        </w:rPr>
      </w:pPr>
    </w:p>
    <w:p w14:paraId="5CC73C77" w14:textId="45EAB91C" w:rsidR="004C5838" w:rsidRPr="004C5838" w:rsidRDefault="004C5838" w:rsidP="002B1D07">
      <w:pPr>
        <w:rPr>
          <w:b/>
          <w:bCs/>
          <w:sz w:val="18"/>
          <w:szCs w:val="18"/>
        </w:rPr>
      </w:pPr>
      <w:r w:rsidRPr="004C5838">
        <w:rPr>
          <w:b/>
          <w:bCs/>
          <w:sz w:val="18"/>
          <w:szCs w:val="18"/>
        </w:rPr>
        <w:t xml:space="preserve">Sample abbreviations include the </w:t>
      </w:r>
      <w:r w:rsidR="00D56C3D">
        <w:rPr>
          <w:b/>
          <w:bCs/>
          <w:sz w:val="18"/>
          <w:szCs w:val="18"/>
        </w:rPr>
        <w:t>agroecosystem</w:t>
      </w:r>
      <w:r w:rsidRPr="004C5838">
        <w:rPr>
          <w:b/>
          <w:bCs/>
          <w:sz w:val="18"/>
          <w:szCs w:val="18"/>
        </w:rPr>
        <w:t xml:space="preserve"> (HS- Harrismith, KR – Kroonstad, TW – </w:t>
      </w:r>
      <w:proofErr w:type="spellStart"/>
      <w:r w:rsidRPr="004C5838">
        <w:rPr>
          <w:b/>
          <w:bCs/>
          <w:sz w:val="18"/>
          <w:szCs w:val="18"/>
        </w:rPr>
        <w:t>Tweespruit</w:t>
      </w:r>
      <w:proofErr w:type="spellEnd"/>
      <w:r w:rsidRPr="004C5838">
        <w:rPr>
          <w:b/>
          <w:bCs/>
          <w:sz w:val="18"/>
          <w:szCs w:val="18"/>
        </w:rPr>
        <w:t xml:space="preserve">), years of cultivation, and sampling depth. </w:t>
      </w:r>
      <w:r w:rsidR="002B1D07">
        <w:rPr>
          <w:b/>
          <w:bCs/>
          <w:sz w:val="18"/>
          <w:szCs w:val="18"/>
        </w:rPr>
        <w:t>Sample HS0/0-20 was not included into the calculation of the weighted mean (see main text for discussion).</w:t>
      </w:r>
    </w:p>
    <w:p w14:paraId="3AE79A0D" w14:textId="0E7076F1" w:rsidR="00445842" w:rsidRDefault="00445842" w:rsidP="003D5288"/>
    <w:p w14:paraId="0B8FBE51" w14:textId="17328611" w:rsidR="0027673B" w:rsidRDefault="0027673B" w:rsidP="003D5288"/>
    <w:p w14:paraId="084E081B" w14:textId="05297367" w:rsidR="0027673B" w:rsidRDefault="0027673B" w:rsidP="003D5288"/>
    <w:p w14:paraId="223CEF71" w14:textId="0B8BDE96" w:rsidR="0027673B" w:rsidRDefault="0027673B" w:rsidP="003D5288"/>
    <w:p w14:paraId="0FE6E415" w14:textId="57BA0116" w:rsidR="0027673B" w:rsidRDefault="0027673B" w:rsidP="003D5288"/>
    <w:p w14:paraId="15C87B0B" w14:textId="722A827B" w:rsidR="0027673B" w:rsidRDefault="0027673B" w:rsidP="003D5288"/>
    <w:p w14:paraId="63DC9CAC" w14:textId="604C51ED" w:rsidR="0027673B" w:rsidRDefault="0027673B" w:rsidP="003D5288"/>
    <w:p w14:paraId="6AEFCEFB" w14:textId="30D86969" w:rsidR="0027673B" w:rsidRDefault="0027673B" w:rsidP="003D5288"/>
    <w:p w14:paraId="79509D3C" w14:textId="1B153238" w:rsidR="0027673B" w:rsidRDefault="0027673B" w:rsidP="003D5288"/>
    <w:p w14:paraId="173441E6" w14:textId="4668AEA6" w:rsidR="0027673B" w:rsidRDefault="0027673B" w:rsidP="003D5288"/>
    <w:p w14:paraId="3900E4E8" w14:textId="10355F54" w:rsidR="0027673B" w:rsidRDefault="0027673B" w:rsidP="003D5288"/>
    <w:p w14:paraId="6A96D5FB" w14:textId="7416A92E" w:rsidR="0027673B" w:rsidRDefault="0027673B" w:rsidP="003D5288"/>
    <w:p w14:paraId="246544E5" w14:textId="0C15A0EE" w:rsidR="0027673B" w:rsidRDefault="0027673B" w:rsidP="003D5288"/>
    <w:p w14:paraId="34CB7F96" w14:textId="25B1B7E8" w:rsidR="0027673B" w:rsidRDefault="0027673B" w:rsidP="003D5288"/>
    <w:p w14:paraId="2DE915D3" w14:textId="5E6BF606" w:rsidR="0027673B" w:rsidRDefault="0027673B" w:rsidP="003D5288"/>
    <w:p w14:paraId="6ECA2848" w14:textId="4AF18A05" w:rsidR="0027673B" w:rsidRDefault="0027673B" w:rsidP="003D5288"/>
    <w:p w14:paraId="2F48B344" w14:textId="77777777" w:rsidR="0027673B" w:rsidRDefault="0027673B" w:rsidP="003D5288"/>
    <w:p w14:paraId="4D268325" w14:textId="0A85373E" w:rsidR="004C5838" w:rsidRDefault="004C5838" w:rsidP="004C5838">
      <w:pPr>
        <w:pStyle w:val="Caption"/>
      </w:pPr>
      <w:r>
        <w:lastRenderedPageBreak/>
        <w:t>Table S</w:t>
      </w:r>
      <w:r w:rsidR="00F555BF">
        <w:t>4</w:t>
      </w:r>
      <w:r>
        <w:rPr>
          <w:noProof/>
        </w:rPr>
        <w:t xml:space="preserve">: </w:t>
      </w:r>
      <w:r w:rsidRPr="004C5838">
        <w:rPr>
          <w:noProof/>
          <w:vertAlign w:val="superscript"/>
        </w:rPr>
        <w:t>239+240</w:t>
      </w:r>
      <w:r>
        <w:rPr>
          <w:noProof/>
        </w:rPr>
        <w:t xml:space="preserve">Pu </w:t>
      </w:r>
      <w:r w:rsidR="0027673B">
        <w:rPr>
          <w:noProof/>
        </w:rPr>
        <w:t>specific activies</w:t>
      </w:r>
      <w:r>
        <w:rPr>
          <w:noProof/>
        </w:rPr>
        <w:t xml:space="preserve"> in topsoil samples and corresponding SOM data as published by </w:t>
      </w:r>
      <w:r>
        <w:rPr>
          <w:noProof/>
        </w:rPr>
        <w:fldChar w:fldCharType="begin"/>
      </w:r>
      <w:r w:rsidR="00FE5C49">
        <w:rPr>
          <w:noProof/>
        </w:rPr>
        <w:instrText xml:space="preserve"> ADDIN EN.CITE &lt;EndNote&gt;&lt;Cite AuthorYear="1"&gt;&lt;Author&gt;Lobe&lt;/Author&gt;&lt;Year&gt;2001&lt;/Year&gt;&lt;RecNum&gt;1343&lt;/RecNum&gt;&lt;DisplayText&gt;Lobe et al. (2001)&lt;/DisplayText&gt;&lt;record&gt;&lt;rec-number&gt;1343&lt;/rec-number&gt;&lt;foreign-keys&gt;&lt;key app="EN" db-id="fddrdf5eteteeoetrwoptzs8te0drtpxp5xf" timestamp="1683544678" guid="3ba0628b-d49e-4a9a-9648-e3220e16ce61"&gt;1343&lt;/key&gt;&lt;/foreign-keys&gt;&lt;ref-type name="Journal Article"&gt;17&lt;/ref-type&gt;&lt;contributors&gt;&lt;authors&gt;&lt;author&gt;Lobe, I.&lt;/author&gt;&lt;author&gt;Amelung, W.&lt;/author&gt;&lt;author&gt;Du Preez, C. C.&lt;/author&gt;&lt;/authors&gt;&lt;/contributors&gt;&lt;titles&gt;&lt;title&gt;Losses of carbon and nitrogen with prolonged arable cropping from sandy soils of the South African Highveld&lt;/title&gt;&lt;secondary-title&gt;European Journal of Soil Science&lt;/secondary-title&gt;&lt;/titles&gt;&lt;periodical&gt;&lt;full-title&gt;European Journal of Soil Science&lt;/full-title&gt;&lt;/periodical&gt;&lt;pages&gt;93-101&lt;/pages&gt;&lt;volume&gt;52&lt;/volume&gt;&lt;number&gt;1&lt;/number&gt;&lt;dates&gt;&lt;year&gt;2001&lt;/year&gt;&lt;/dates&gt;&lt;isbn&gt;1351-0754&lt;/isbn&gt;&lt;urls&gt;&lt;related-urls&gt;&lt;url&gt;https://onlinelibrary.wiley.com/doi/abs/10.1046/j.1365-2389.2001.t01-1-00362.x&lt;/url&gt;&lt;/related-urls&gt;&lt;/urls&gt;&lt;electronic-resource-num&gt;https://doi.org/10.1046/j.1365-2389.2001.t01-1-00362.x&lt;/electronic-resource-num&gt;&lt;/record&gt;&lt;/Cite&gt;&lt;/EndNote&gt;</w:instrText>
      </w:r>
      <w:r>
        <w:rPr>
          <w:noProof/>
        </w:rPr>
        <w:fldChar w:fldCharType="separate"/>
      </w:r>
      <w:r>
        <w:rPr>
          <w:noProof/>
        </w:rPr>
        <w:t>Lobe et al. (2001)</w:t>
      </w:r>
      <w:r>
        <w:rPr>
          <w:noProof/>
        </w:rPr>
        <w:fldChar w:fldCharType="end"/>
      </w:r>
      <w:r>
        <w:rPr>
          <w:noProof/>
        </w:rPr>
        <w:t>.</w:t>
      </w:r>
    </w:p>
    <w:tbl>
      <w:tblPr>
        <w:tblW w:w="6237" w:type="dxa"/>
        <w:jc w:val="center"/>
        <w:tblLook w:val="04A0" w:firstRow="1" w:lastRow="0" w:firstColumn="1" w:lastColumn="0" w:noHBand="0" w:noVBand="1"/>
      </w:tblPr>
      <w:tblGrid>
        <w:gridCol w:w="559"/>
        <w:gridCol w:w="491"/>
        <w:gridCol w:w="935"/>
        <w:gridCol w:w="711"/>
        <w:gridCol w:w="337"/>
        <w:gridCol w:w="654"/>
        <w:gridCol w:w="1275"/>
        <w:gridCol w:w="1275"/>
      </w:tblGrid>
      <w:tr w:rsidR="0027673B" w:rsidRPr="00B07FF9" w14:paraId="490EA41C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769D4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3B1F2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E7925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A26F5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vertAlign w:val="superscript"/>
                <w:lang w:eastAsia="en-GB"/>
              </w:rPr>
              <w:t>239+240</w:t>
            </w:r>
            <w:r w:rsidRPr="00B07FF9">
              <w:rPr>
                <w:color w:val="000000"/>
                <w:sz w:val="22"/>
                <w:szCs w:val="22"/>
                <w:lang w:eastAsia="en-GB"/>
              </w:rPr>
              <w:t>Pu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5466A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Bulk soil C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B404D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Bulk soil N</w:t>
            </w:r>
          </w:p>
        </w:tc>
      </w:tr>
      <w:tr w:rsidR="00B07FF9" w:rsidRPr="00B07FF9" w14:paraId="092F7F31" w14:textId="77777777" w:rsidTr="0027673B">
        <w:trPr>
          <w:trHeight w:val="315"/>
          <w:jc w:val="center"/>
        </w:trPr>
        <w:tc>
          <w:tcPr>
            <w:tcW w:w="1985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BAB3B7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Sample ID</w:t>
            </w:r>
          </w:p>
        </w:tc>
        <w:tc>
          <w:tcPr>
            <w:tcW w:w="1702" w:type="dxa"/>
            <w:gridSpan w:val="3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D62C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(</w:t>
            </w:r>
            <w:proofErr w:type="spellStart"/>
            <w:r w:rsidRPr="00B07FF9">
              <w:rPr>
                <w:color w:val="000000"/>
                <w:sz w:val="22"/>
                <w:szCs w:val="22"/>
                <w:lang w:eastAsia="en-GB"/>
              </w:rPr>
              <w:t>mBq</w:t>
            </w:r>
            <w:proofErr w:type="spellEnd"/>
            <w:r w:rsidRPr="00B07FF9">
              <w:rPr>
                <w:color w:val="000000"/>
                <w:sz w:val="22"/>
                <w:szCs w:val="22"/>
                <w:lang w:eastAsia="en-GB"/>
              </w:rPr>
              <w:t xml:space="preserve"> kg</w:t>
            </w:r>
            <w:r w:rsidRPr="00B07FF9">
              <w:rPr>
                <w:color w:val="000000"/>
                <w:sz w:val="22"/>
                <w:szCs w:val="22"/>
                <w:vertAlign w:val="superscript"/>
                <w:lang w:eastAsia="en-GB"/>
              </w:rPr>
              <w:t>-1</w:t>
            </w:r>
            <w:r w:rsidRPr="00B07FF9">
              <w:rPr>
                <w:color w:val="000000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2F7A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(g kg</w:t>
            </w:r>
            <w:r w:rsidRPr="00B07FF9">
              <w:rPr>
                <w:color w:val="000000"/>
                <w:sz w:val="22"/>
                <w:szCs w:val="22"/>
                <w:vertAlign w:val="superscript"/>
                <w:lang w:eastAsia="en-GB"/>
              </w:rPr>
              <w:t>-1</w:t>
            </w:r>
            <w:r w:rsidRPr="00B07FF9">
              <w:rPr>
                <w:color w:val="000000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B418F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(g kg</w:t>
            </w:r>
            <w:r w:rsidRPr="00B07FF9">
              <w:rPr>
                <w:color w:val="000000"/>
                <w:sz w:val="22"/>
                <w:szCs w:val="22"/>
                <w:vertAlign w:val="superscript"/>
                <w:lang w:eastAsia="en-GB"/>
              </w:rPr>
              <w:t>-1</w:t>
            </w:r>
            <w:r w:rsidRPr="00B07FF9">
              <w:rPr>
                <w:color w:val="000000"/>
                <w:sz w:val="22"/>
                <w:szCs w:val="22"/>
                <w:lang w:eastAsia="en-GB"/>
              </w:rPr>
              <w:t>)</w:t>
            </w:r>
          </w:p>
        </w:tc>
      </w:tr>
      <w:tr w:rsidR="0027673B" w:rsidRPr="00B07FF9" w14:paraId="69A81CCF" w14:textId="77777777" w:rsidTr="0027673B">
        <w:trPr>
          <w:trHeight w:val="315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F247F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80C57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E52EC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0288A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56.73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FF2E7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6474F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A6ECD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20.6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984CA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1.60</w:t>
            </w:r>
          </w:p>
        </w:tc>
      </w:tr>
      <w:tr w:rsidR="0027673B" w:rsidRPr="00B07FF9" w14:paraId="449F7560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632E6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B8B80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3A7B5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5AE7C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51.66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39BD2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D99C9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18D56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11.0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7E37F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1.04</w:t>
            </w:r>
          </w:p>
        </w:tc>
      </w:tr>
      <w:tr w:rsidR="0027673B" w:rsidRPr="00B07FF9" w14:paraId="1B66FA65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6AF7B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6BFB9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60556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761A7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42.98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9F9FF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85334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CA1C5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13.5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6DF07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1.11</w:t>
            </w:r>
          </w:p>
        </w:tc>
      </w:tr>
      <w:tr w:rsidR="0027673B" w:rsidRPr="00B07FF9" w14:paraId="588FA951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0A8EA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D0A00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5788B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E3E77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28.68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F507F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FD5E0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CE5FD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10.6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FFF3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0.94</w:t>
            </w:r>
          </w:p>
        </w:tc>
      </w:tr>
      <w:tr w:rsidR="0027673B" w:rsidRPr="00B07FF9" w14:paraId="6B259A98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F6052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EDFBC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A271B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B21A8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25.95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7049F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91265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0.39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35CD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9.28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EA8FB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0.88</w:t>
            </w:r>
          </w:p>
        </w:tc>
      </w:tr>
      <w:tr w:rsidR="0027673B" w:rsidRPr="00B07FF9" w14:paraId="7B510AC5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8AB43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EEE8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45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07113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ED82C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26.69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7C39D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81747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1.24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1F64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8.62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2DD4F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0.79</w:t>
            </w:r>
          </w:p>
        </w:tc>
      </w:tr>
      <w:tr w:rsidR="0027673B" w:rsidRPr="00B07FF9" w14:paraId="45CE928F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7170F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C7F13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68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3FA02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AED1A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23.90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6D823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E7A73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1.88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C6F69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6.75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ADC9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0.66</w:t>
            </w:r>
          </w:p>
        </w:tc>
      </w:tr>
      <w:tr w:rsidR="0027673B" w:rsidRPr="00B07FF9" w14:paraId="73FB75D9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946DA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HS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FD6F0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90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58271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9E6F1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27.85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D86B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6DCAB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C8E6C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6.33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09A48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0.66</w:t>
            </w:r>
          </w:p>
        </w:tc>
      </w:tr>
      <w:tr w:rsidR="0027673B" w:rsidRPr="00B07FF9" w14:paraId="1CF4FF29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500CB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KR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C2212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3DA77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0DD7A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34.59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D476B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9B341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0.72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EA738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7.97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1EAA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0.85</w:t>
            </w:r>
          </w:p>
        </w:tc>
      </w:tr>
      <w:tr w:rsidR="0027673B" w:rsidRPr="00B07FF9" w14:paraId="10053C7D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D9B96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KR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6C593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66A73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E93A6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34.57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300ED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751B9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0.75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71DF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5.28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48A94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0.61</w:t>
            </w:r>
          </w:p>
        </w:tc>
      </w:tr>
      <w:tr w:rsidR="0027673B" w:rsidRPr="00B07FF9" w14:paraId="76FAE66C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E5077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KR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1C2E4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E809D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8F46E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23.27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6014A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C7237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664E6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3.96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998E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0.49</w:t>
            </w:r>
          </w:p>
        </w:tc>
      </w:tr>
      <w:tr w:rsidR="0027673B" w:rsidRPr="00B07FF9" w14:paraId="333CD1E6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6B2A6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KR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05610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2496E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7BB7A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26.58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03234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2CA88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0.81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0B4D9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2.85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6C2D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0.46</w:t>
            </w:r>
          </w:p>
        </w:tc>
      </w:tr>
      <w:tr w:rsidR="0027673B" w:rsidRPr="00B07FF9" w14:paraId="4C4BF944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D35B4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KR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2095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40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E1FDC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9040E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15.90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D4B5A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0935C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21E3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3.38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D1BB0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0.45</w:t>
            </w:r>
          </w:p>
        </w:tc>
      </w:tr>
      <w:tr w:rsidR="0027673B" w:rsidRPr="00B07FF9" w14:paraId="5A876F6F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686BD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KR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BBCC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57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50584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164C8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22.07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41F9A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D33B6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57BA6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2.92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5616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0.43</w:t>
            </w:r>
          </w:p>
        </w:tc>
      </w:tr>
      <w:tr w:rsidR="0027673B" w:rsidRPr="00B07FF9" w14:paraId="51C8BA74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AD130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KR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7EC70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98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661E7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68CE5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14.49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80CF4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5A55C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0.31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5A784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2.68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85EC7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0.40</w:t>
            </w:r>
          </w:p>
        </w:tc>
      </w:tr>
      <w:tr w:rsidR="0027673B" w:rsidRPr="00B07FF9" w14:paraId="4996B90C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5DCE5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7EE1F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6E632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9B1DB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66.80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8E00C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7FCC2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8747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11.7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9F3B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1.12</w:t>
            </w:r>
          </w:p>
        </w:tc>
      </w:tr>
      <w:tr w:rsidR="0027673B" w:rsidRPr="00B07FF9" w14:paraId="0179B967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5E2D8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C3802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D7FC3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B5047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41.09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3981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FBF6B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1.27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43EA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7.10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D2BE5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0.73</w:t>
            </w:r>
          </w:p>
        </w:tc>
      </w:tr>
      <w:tr w:rsidR="0027673B" w:rsidRPr="00B07FF9" w14:paraId="29AE40AD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A434A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4416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EEC36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87F87" w14:textId="5B6ABFD4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36.</w:t>
            </w:r>
            <w:r w:rsidR="00DD61AA">
              <w:rPr>
                <w:color w:val="000000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12274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38FC2" w14:textId="584E1CB4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</w:t>
            </w:r>
            <w:r w:rsidR="00DD61AA">
              <w:rPr>
                <w:color w:val="000000"/>
                <w:sz w:val="22"/>
                <w:szCs w:val="22"/>
                <w:lang w:eastAsia="en-GB"/>
              </w:rPr>
              <w:t>51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EFA97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6.44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04905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0.67</w:t>
            </w:r>
          </w:p>
        </w:tc>
      </w:tr>
      <w:tr w:rsidR="0027673B" w:rsidRPr="00B07FF9" w14:paraId="51B89257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3EA11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75103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BBAD5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B2F94" w14:textId="31432FD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33.</w:t>
            </w:r>
            <w:r w:rsidR="00DD61AA">
              <w:rPr>
                <w:color w:val="000000"/>
                <w:sz w:val="22"/>
                <w:szCs w:val="22"/>
                <w:lang w:eastAsia="en-GB"/>
              </w:rPr>
              <w:t>47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D356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78FAF" w14:textId="7F533A14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0.8</w:t>
            </w:r>
            <w:r w:rsidR="00DD61AA">
              <w:rPr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FF46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5.83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10139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0.58</w:t>
            </w:r>
          </w:p>
        </w:tc>
      </w:tr>
      <w:tr w:rsidR="0027673B" w:rsidRPr="00B07FF9" w14:paraId="2F608245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2FB02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448A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50398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7A386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34.23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94C8F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ACD9B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0.63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EB457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5.30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918FC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0.61</w:t>
            </w:r>
          </w:p>
        </w:tc>
      </w:tr>
      <w:tr w:rsidR="0027673B" w:rsidRPr="00B07FF9" w14:paraId="5B610A61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25B53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632DA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40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9BBC6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567F5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28.00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1F15B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4F13F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0.45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7D8C7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4.42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40A6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0.52</w:t>
            </w:r>
          </w:p>
        </w:tc>
      </w:tr>
      <w:tr w:rsidR="0027673B" w:rsidRPr="00B07FF9" w14:paraId="47B6F90B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82513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30AB7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EECE3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2BB92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22.46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2BAA9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FD171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0.37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2B30B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5.32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B826A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0.60</w:t>
            </w:r>
          </w:p>
        </w:tc>
      </w:tr>
      <w:tr w:rsidR="0027673B" w:rsidRPr="00B07FF9" w14:paraId="09353740" w14:textId="77777777" w:rsidTr="0027673B">
        <w:trPr>
          <w:trHeight w:val="300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D0159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TW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991D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90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BDAA3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/0-20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F85A5" w14:textId="77777777" w:rsidR="00B07FF9" w:rsidRPr="00B07FF9" w:rsidRDefault="00B07FF9" w:rsidP="00B07FF9">
            <w:pPr>
              <w:spacing w:line="240" w:lineRule="auto"/>
              <w:jc w:val="righ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18.73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6CA08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16C80" w14:textId="77777777" w:rsidR="00B07FF9" w:rsidRPr="00B07FF9" w:rsidRDefault="00B07FF9" w:rsidP="00B07FF9">
            <w:pPr>
              <w:spacing w:line="240" w:lineRule="auto"/>
              <w:jc w:val="left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0.65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C2AF1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4.32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81B1E" w14:textId="77777777" w:rsidR="00B07FF9" w:rsidRPr="00B07FF9" w:rsidRDefault="00B07FF9" w:rsidP="00B07FF9">
            <w:pPr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B07FF9">
              <w:rPr>
                <w:color w:val="000000"/>
                <w:sz w:val="22"/>
                <w:szCs w:val="22"/>
                <w:lang w:eastAsia="en-GB"/>
              </w:rPr>
              <w:t>0.54</w:t>
            </w:r>
          </w:p>
        </w:tc>
      </w:tr>
    </w:tbl>
    <w:p w14:paraId="3E8F8F93" w14:textId="77777777" w:rsidR="004C5838" w:rsidRPr="004C5838" w:rsidRDefault="004C5838" w:rsidP="004C5838">
      <w:pPr>
        <w:rPr>
          <w:szCs w:val="20"/>
        </w:rPr>
      </w:pPr>
    </w:p>
    <w:p w14:paraId="04022CD6" w14:textId="2C0E79DB" w:rsidR="004C5838" w:rsidRDefault="004C5838" w:rsidP="003D5288">
      <w:r w:rsidRPr="004C5838">
        <w:rPr>
          <w:b/>
          <w:bCs/>
          <w:sz w:val="18"/>
          <w:szCs w:val="18"/>
        </w:rPr>
        <w:t xml:space="preserve">Sample abbreviations include the </w:t>
      </w:r>
      <w:r w:rsidR="00D56C3D">
        <w:rPr>
          <w:b/>
          <w:bCs/>
          <w:sz w:val="18"/>
          <w:szCs w:val="18"/>
        </w:rPr>
        <w:t xml:space="preserve">agroecosystem </w:t>
      </w:r>
      <w:r w:rsidRPr="004C5838">
        <w:rPr>
          <w:b/>
          <w:bCs/>
          <w:sz w:val="18"/>
          <w:szCs w:val="18"/>
        </w:rPr>
        <w:t xml:space="preserve">(HS- Harrismith, KR – Kroonstad, TW – </w:t>
      </w:r>
      <w:proofErr w:type="spellStart"/>
      <w:r w:rsidRPr="004C5838">
        <w:rPr>
          <w:b/>
          <w:bCs/>
          <w:sz w:val="18"/>
          <w:szCs w:val="18"/>
        </w:rPr>
        <w:t>Tweespruit</w:t>
      </w:r>
      <w:proofErr w:type="spellEnd"/>
      <w:r w:rsidRPr="004C5838">
        <w:rPr>
          <w:b/>
          <w:bCs/>
          <w:sz w:val="18"/>
          <w:szCs w:val="18"/>
        </w:rPr>
        <w:t xml:space="preserve">), years of cultivation, and sampling depth. </w:t>
      </w:r>
      <w:r w:rsidR="0027673B" w:rsidRPr="0027673B">
        <w:rPr>
          <w:b/>
          <w:bCs/>
          <w:sz w:val="18"/>
          <w:szCs w:val="18"/>
        </w:rPr>
        <w:t>The quoted plutonium concentrations from replicate measurements are weighted means and the uncertainties either dominated by AMS counting statistics (weighted mean error) or external sources of uncertainty (standard error).</w:t>
      </w:r>
    </w:p>
    <w:p w14:paraId="1D49F628" w14:textId="191F25AE" w:rsidR="00734A70" w:rsidRDefault="00734A70" w:rsidP="003D5288"/>
    <w:p w14:paraId="5AF53177" w14:textId="44CAD135" w:rsidR="0027673B" w:rsidRDefault="0027673B" w:rsidP="003D5288"/>
    <w:p w14:paraId="33C8C1C2" w14:textId="2E27FE3A" w:rsidR="0027673B" w:rsidRDefault="0027673B" w:rsidP="003D5288"/>
    <w:p w14:paraId="411CD275" w14:textId="77777777" w:rsidR="0027673B" w:rsidRDefault="0027673B" w:rsidP="003D5288"/>
    <w:p w14:paraId="1280ED67" w14:textId="64405D1E" w:rsidR="00A578BB" w:rsidRDefault="004C5838" w:rsidP="004C5838">
      <w:pPr>
        <w:pStyle w:val="Heading1"/>
      </w:pPr>
      <w:r>
        <w:lastRenderedPageBreak/>
        <w:t>References</w:t>
      </w:r>
    </w:p>
    <w:p w14:paraId="30F558C0" w14:textId="77777777" w:rsidR="00673C93" w:rsidRPr="00DD61AA" w:rsidRDefault="00A578BB" w:rsidP="00673C93">
      <w:pPr>
        <w:pStyle w:val="EndNoteBibliography"/>
        <w:ind w:left="720" w:hanging="720"/>
        <w:rPr>
          <w:lang w:val="en-GB"/>
        </w:rPr>
      </w:pPr>
      <w:r>
        <w:fldChar w:fldCharType="begin"/>
      </w:r>
      <w:r w:rsidRPr="00DB34D1">
        <w:rPr>
          <w:lang w:val="en-GB"/>
        </w:rPr>
        <w:instrText xml:space="preserve"> ADDIN EN.REFLIST </w:instrText>
      </w:r>
      <w:r>
        <w:fldChar w:fldCharType="separate"/>
      </w:r>
      <w:r w:rsidR="00673C93" w:rsidRPr="00DD61AA">
        <w:rPr>
          <w:lang w:val="en-GB"/>
        </w:rPr>
        <w:t>Amelung, W., Lobe, I., and Du Preez, C. C.: Fate of microbial residues in sandy soils of the South African Highveld as influenced by prolonged arable cropping, European Journal of Soil Science, 53, 29-35, 2002.</w:t>
      </w:r>
    </w:p>
    <w:p w14:paraId="223CA260" w14:textId="77777777" w:rsidR="00673C93" w:rsidRPr="00DD61AA" w:rsidRDefault="00673C93" w:rsidP="00673C93">
      <w:pPr>
        <w:pStyle w:val="EndNoteBibliography"/>
        <w:ind w:left="720" w:hanging="720"/>
        <w:rPr>
          <w:lang w:val="en-GB"/>
        </w:rPr>
      </w:pPr>
      <w:r w:rsidRPr="00DD61AA">
        <w:rPr>
          <w:lang w:val="en-GB"/>
        </w:rPr>
        <w:t>Lobe, I., Amelung, W., and Du Preez, C. C.: Losses of carbon and nitrogen with prolonged arable cropping from sandy soils of the South African Highveld, European Journal of Soil Science, 52, 93-101, 2001.</w:t>
      </w:r>
    </w:p>
    <w:p w14:paraId="2E2F22B5" w14:textId="61C6C9E8" w:rsidR="003A4FB4" w:rsidRDefault="00A578BB" w:rsidP="003A4FB4">
      <w:pPr>
        <w:pStyle w:val="Caption"/>
      </w:pPr>
      <w:r>
        <w:fldChar w:fldCharType="end"/>
      </w:r>
    </w:p>
    <w:sectPr w:rsidR="003A4FB4" w:rsidSect="00F512A5">
      <w:footerReference w:type="default" r:id="rId10"/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7F71A" w14:textId="77777777" w:rsidR="00FE5C49" w:rsidRDefault="00FE5C49" w:rsidP="006D0C96">
      <w:pPr>
        <w:spacing w:line="240" w:lineRule="auto"/>
      </w:pPr>
      <w:r>
        <w:separator/>
      </w:r>
    </w:p>
  </w:endnote>
  <w:endnote w:type="continuationSeparator" w:id="0">
    <w:p w14:paraId="1954A009" w14:textId="77777777" w:rsidR="00FE5C49" w:rsidRDefault="00FE5C49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77777777" w:rsidR="00FE5C49" w:rsidRDefault="00FE5C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A5123" w14:textId="77777777" w:rsidR="00FE5C49" w:rsidRDefault="00FE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2D34B" w14:textId="77777777" w:rsidR="00FE5C49" w:rsidRDefault="00FE5C49" w:rsidP="006D0C96">
      <w:pPr>
        <w:spacing w:line="240" w:lineRule="auto"/>
      </w:pPr>
      <w:r>
        <w:separator/>
      </w:r>
    </w:p>
  </w:footnote>
  <w:footnote w:type="continuationSeparator" w:id="0">
    <w:p w14:paraId="3091006F" w14:textId="77777777" w:rsidR="00FE5C49" w:rsidRDefault="00FE5C49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opernicus Publications Copy2&lt;/Style&gt;&lt;LeftDelim&gt;{&lt;/LeftDelim&gt;&lt;RightDelim&gt;}&lt;/RightDelim&gt;&lt;FontName&gt;Times New Roman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ddrdf5eteteeoetrwoptzs8te0drtpxp5xf&quot;&gt;Shared_Literature_Sciebo&lt;record-ids&gt;&lt;item&gt;1343&lt;/item&gt;&lt;item&gt;1344&lt;/item&gt;&lt;/record-ids&gt;&lt;/item&gt;&lt;/Libraries&gt;"/>
  </w:docVars>
  <w:rsids>
    <w:rsidRoot w:val="00564213"/>
    <w:rsid w:val="00041A84"/>
    <w:rsid w:val="0005690A"/>
    <w:rsid w:val="00075F28"/>
    <w:rsid w:val="000A1B66"/>
    <w:rsid w:val="000C3A9F"/>
    <w:rsid w:val="001C062B"/>
    <w:rsid w:val="001C5EB9"/>
    <w:rsid w:val="00203F92"/>
    <w:rsid w:val="002048CB"/>
    <w:rsid w:val="00230F0D"/>
    <w:rsid w:val="0027673B"/>
    <w:rsid w:val="00286F53"/>
    <w:rsid w:val="002B1D07"/>
    <w:rsid w:val="002D7ECA"/>
    <w:rsid w:val="003118C8"/>
    <w:rsid w:val="003867CA"/>
    <w:rsid w:val="003A4FB4"/>
    <w:rsid w:val="003D5288"/>
    <w:rsid w:val="00445842"/>
    <w:rsid w:val="00450DB9"/>
    <w:rsid w:val="00463568"/>
    <w:rsid w:val="00473E41"/>
    <w:rsid w:val="004C5838"/>
    <w:rsid w:val="004D0F1A"/>
    <w:rsid w:val="00542A82"/>
    <w:rsid w:val="0055217B"/>
    <w:rsid w:val="00564213"/>
    <w:rsid w:val="005A4F32"/>
    <w:rsid w:val="005C4D17"/>
    <w:rsid w:val="005E596A"/>
    <w:rsid w:val="006326D7"/>
    <w:rsid w:val="00670F05"/>
    <w:rsid w:val="00673C93"/>
    <w:rsid w:val="006D0C96"/>
    <w:rsid w:val="0070537F"/>
    <w:rsid w:val="00733CBB"/>
    <w:rsid w:val="00734A70"/>
    <w:rsid w:val="00751A44"/>
    <w:rsid w:val="00796A7F"/>
    <w:rsid w:val="0083741F"/>
    <w:rsid w:val="00855006"/>
    <w:rsid w:val="008B719F"/>
    <w:rsid w:val="008E213F"/>
    <w:rsid w:val="008E3110"/>
    <w:rsid w:val="008F7AB9"/>
    <w:rsid w:val="00911808"/>
    <w:rsid w:val="009150E4"/>
    <w:rsid w:val="0091791F"/>
    <w:rsid w:val="00932F15"/>
    <w:rsid w:val="00943440"/>
    <w:rsid w:val="009D38E2"/>
    <w:rsid w:val="009F2C0A"/>
    <w:rsid w:val="00A17EED"/>
    <w:rsid w:val="00A47B6A"/>
    <w:rsid w:val="00A578BB"/>
    <w:rsid w:val="00AE4157"/>
    <w:rsid w:val="00AF5408"/>
    <w:rsid w:val="00B07FF9"/>
    <w:rsid w:val="00B4015F"/>
    <w:rsid w:val="00B5719D"/>
    <w:rsid w:val="00B62878"/>
    <w:rsid w:val="00B75342"/>
    <w:rsid w:val="00B94A58"/>
    <w:rsid w:val="00BD0523"/>
    <w:rsid w:val="00C1589F"/>
    <w:rsid w:val="00C26311"/>
    <w:rsid w:val="00C35812"/>
    <w:rsid w:val="00C82F79"/>
    <w:rsid w:val="00CC51D0"/>
    <w:rsid w:val="00CD59BA"/>
    <w:rsid w:val="00D40CE0"/>
    <w:rsid w:val="00D56C3D"/>
    <w:rsid w:val="00DB34D1"/>
    <w:rsid w:val="00DB4E53"/>
    <w:rsid w:val="00DC2DE3"/>
    <w:rsid w:val="00DD61AA"/>
    <w:rsid w:val="00E00253"/>
    <w:rsid w:val="00E00339"/>
    <w:rsid w:val="00E12AF0"/>
    <w:rsid w:val="00E142A8"/>
    <w:rsid w:val="00E861A5"/>
    <w:rsid w:val="00ED6B96"/>
    <w:rsid w:val="00EE58C0"/>
    <w:rsid w:val="00F0465C"/>
    <w:rsid w:val="00F35903"/>
    <w:rsid w:val="00F512A5"/>
    <w:rsid w:val="00F5258E"/>
    <w:rsid w:val="00F555BF"/>
    <w:rsid w:val="00F56644"/>
    <w:rsid w:val="00F64C9C"/>
    <w:rsid w:val="00FE5C49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paragraph" w:styleId="CommentText">
    <w:name w:val="annotation text"/>
    <w:basedOn w:val="Normal"/>
    <w:link w:val="CommentTextChar"/>
    <w:semiHidden/>
    <w:unhideWhenUsed/>
    <w:rsid w:val="00A578BB"/>
    <w:pPr>
      <w:spacing w:line="240" w:lineRule="auto"/>
      <w:jc w:val="left"/>
    </w:pPr>
    <w:rPr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A578BB"/>
    <w:rPr>
      <w:rFonts w:ascii="Times New Roman" w:eastAsia="Times New Roman" w:hAnsi="Times New Roman"/>
      <w:lang w:val="en-US" w:eastAsia="en-US"/>
    </w:rPr>
  </w:style>
  <w:style w:type="paragraph" w:customStyle="1" w:styleId="Teaser">
    <w:name w:val="Teaser"/>
    <w:basedOn w:val="Normal"/>
    <w:rsid w:val="00A578BB"/>
    <w:pPr>
      <w:spacing w:before="120" w:line="240" w:lineRule="auto"/>
      <w:jc w:val="left"/>
    </w:pPr>
    <w:rPr>
      <w:sz w:val="24"/>
      <w:lang w:val="en-US" w:eastAsia="en-US"/>
    </w:rPr>
  </w:style>
  <w:style w:type="character" w:styleId="CommentReference">
    <w:name w:val="annotation reference"/>
    <w:unhideWhenUsed/>
    <w:rsid w:val="00A578BB"/>
    <w:rPr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A578BB"/>
    <w:pPr>
      <w:jc w:val="center"/>
    </w:pPr>
    <w:rPr>
      <w:noProof/>
      <w:sz w:val="18"/>
      <w:lang w:val="de-DE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578BB"/>
    <w:rPr>
      <w:rFonts w:ascii="Times New Roman" w:eastAsia="Times New Roman" w:hAnsi="Times New Roman"/>
      <w:noProof/>
      <w:sz w:val="18"/>
      <w:szCs w:val="24"/>
      <w:lang w:val="de-DE" w:eastAsia="de-DE"/>
    </w:rPr>
  </w:style>
  <w:style w:type="paragraph" w:customStyle="1" w:styleId="EndNoteBibliography">
    <w:name w:val="EndNote Bibliography"/>
    <w:basedOn w:val="Normal"/>
    <w:link w:val="EndNoteBibliographyChar"/>
    <w:rsid w:val="00A578BB"/>
    <w:pPr>
      <w:spacing w:line="240" w:lineRule="auto"/>
    </w:pPr>
    <w:rPr>
      <w:noProof/>
      <w:sz w:val="18"/>
      <w:lang w:val="de-DE"/>
    </w:rPr>
  </w:style>
  <w:style w:type="character" w:customStyle="1" w:styleId="EndNoteBibliographyChar">
    <w:name w:val="EndNote Bibliography Char"/>
    <w:basedOn w:val="DefaultParagraphFont"/>
    <w:link w:val="EndNoteBibliography"/>
    <w:rsid w:val="00A578BB"/>
    <w:rPr>
      <w:rFonts w:ascii="Times New Roman" w:eastAsia="Times New Roman" w:hAnsi="Times New Roman"/>
      <w:noProof/>
      <w:sz w:val="18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673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2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20CD2-7CF1-48B0-8BC5-8FE3D2A6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6</Pages>
  <Words>1583</Words>
  <Characters>8090</Characters>
  <Application>Microsoft Office Word</Application>
  <DocSecurity>0</DocSecurity>
  <Lines>735</Lines>
  <Paragraphs>690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Joel Mohren</cp:lastModifiedBy>
  <cp:revision>2</cp:revision>
  <cp:lastPrinted>2016-02-01T07:21:00Z</cp:lastPrinted>
  <dcterms:created xsi:type="dcterms:W3CDTF">2024-05-02T16:16:00Z</dcterms:created>
  <dcterms:modified xsi:type="dcterms:W3CDTF">2024-05-02T16:16:00Z</dcterms:modified>
</cp:coreProperties>
</file>