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B131" w14:textId="3A49A58F" w:rsidR="00AF17FA" w:rsidRPr="00476DEE" w:rsidRDefault="002F500A" w:rsidP="00FF2147">
      <w:pPr>
        <w:spacing w:line="480" w:lineRule="auto"/>
        <w:jc w:val="both"/>
        <w:rPr>
          <w:b/>
          <w:bCs/>
          <w:sz w:val="28"/>
          <w:szCs w:val="28"/>
          <w:lang w:val="en-US"/>
        </w:rPr>
      </w:pPr>
      <w:r w:rsidRPr="00476DEE">
        <w:rPr>
          <w:b/>
          <w:bCs/>
          <w:sz w:val="28"/>
          <w:szCs w:val="28"/>
          <w:lang w:val="en-US"/>
        </w:rPr>
        <w:t>S</w:t>
      </w:r>
      <w:r w:rsidR="00FF2147" w:rsidRPr="00476DEE">
        <w:rPr>
          <w:b/>
          <w:bCs/>
          <w:sz w:val="28"/>
          <w:szCs w:val="28"/>
          <w:lang w:val="en-US"/>
        </w:rPr>
        <w:t xml:space="preserve">upplementary </w:t>
      </w:r>
      <w:r w:rsidR="001F767F" w:rsidRPr="00476DEE">
        <w:rPr>
          <w:b/>
          <w:bCs/>
          <w:sz w:val="28"/>
          <w:szCs w:val="28"/>
          <w:lang w:val="en-US"/>
        </w:rPr>
        <w:t>Information</w:t>
      </w:r>
      <w:r w:rsidR="00FF2147" w:rsidRPr="00476DEE">
        <w:rPr>
          <w:b/>
          <w:bCs/>
          <w:sz w:val="28"/>
          <w:szCs w:val="28"/>
          <w:lang w:val="en-US"/>
        </w:rPr>
        <w:t xml:space="preserve"> to: </w:t>
      </w:r>
    </w:p>
    <w:p w14:paraId="0DF30A12" w14:textId="4DCB9F7F" w:rsidR="00FF2147" w:rsidRPr="00476DEE" w:rsidRDefault="00FF2147" w:rsidP="00FF2147">
      <w:pPr>
        <w:spacing w:line="480" w:lineRule="auto"/>
        <w:jc w:val="both"/>
        <w:rPr>
          <w:b/>
          <w:bCs/>
          <w:sz w:val="34"/>
          <w:szCs w:val="34"/>
        </w:rPr>
      </w:pPr>
      <w:r w:rsidRPr="00476DEE">
        <w:rPr>
          <w:b/>
          <w:bCs/>
          <w:sz w:val="34"/>
          <w:szCs w:val="34"/>
        </w:rPr>
        <w:t>Middle Eocene Climatic Optimum (MECO) and its imprint in the continental Escanilla Formation, Spain</w:t>
      </w:r>
    </w:p>
    <w:p w14:paraId="3FD61FEB" w14:textId="77777777" w:rsidR="00FF2147" w:rsidRPr="004B479F" w:rsidRDefault="00FF2147" w:rsidP="00FF2147">
      <w:pPr>
        <w:spacing w:line="480" w:lineRule="auto"/>
        <w:jc w:val="both"/>
        <w:rPr>
          <w:vertAlign w:val="superscript"/>
        </w:rPr>
      </w:pPr>
      <w:r w:rsidRPr="004B479F">
        <w:t>Nikhil Sharma</w:t>
      </w:r>
      <w:r w:rsidRPr="004B479F">
        <w:rPr>
          <w:vertAlign w:val="superscript"/>
        </w:rPr>
        <w:t>1</w:t>
      </w:r>
      <w:r w:rsidRPr="004B479F">
        <w:t>, Jorge E. Spangenberg</w:t>
      </w:r>
      <w:r w:rsidRPr="004B479F">
        <w:rPr>
          <w:vertAlign w:val="superscript"/>
        </w:rPr>
        <w:t>2</w:t>
      </w:r>
      <w:r w:rsidRPr="004B479F">
        <w:t>, Thierry Adatte</w:t>
      </w:r>
      <w:r w:rsidRPr="004B479F">
        <w:rPr>
          <w:vertAlign w:val="superscript"/>
        </w:rPr>
        <w:t>3</w:t>
      </w:r>
      <w:r w:rsidRPr="004B479F">
        <w:t>, Torsten Vennemann</w:t>
      </w:r>
      <w:r w:rsidRPr="004B479F">
        <w:rPr>
          <w:vertAlign w:val="superscript"/>
        </w:rPr>
        <w:t>2</w:t>
      </w:r>
      <w:r w:rsidRPr="004B479F">
        <w:t>, Laszlo Kocsis</w:t>
      </w:r>
      <w:r w:rsidRPr="004B479F">
        <w:rPr>
          <w:vertAlign w:val="superscript"/>
        </w:rPr>
        <w:t>2</w:t>
      </w:r>
      <w:r w:rsidRPr="004B479F">
        <w:t xml:space="preserve">, </w:t>
      </w:r>
      <w:r w:rsidRPr="004B479F">
        <w:rPr>
          <w:rFonts w:eastAsia="Helvetica"/>
          <w:color w:val="000000" w:themeColor="text1"/>
        </w:rPr>
        <w:t>Jean Vérité</w:t>
      </w:r>
      <w:r w:rsidRPr="004B479F">
        <w:rPr>
          <w:rFonts w:eastAsia="Helvetica"/>
          <w:color w:val="000000" w:themeColor="text1"/>
          <w:vertAlign w:val="superscript"/>
        </w:rPr>
        <w:t>4</w:t>
      </w:r>
      <w:r w:rsidRPr="004B479F">
        <w:rPr>
          <w:rFonts w:eastAsia="Helvetica"/>
          <w:color w:val="000000" w:themeColor="text1"/>
        </w:rPr>
        <w:t>, Luis Valero</w:t>
      </w:r>
      <w:r w:rsidRPr="004B479F">
        <w:rPr>
          <w:rFonts w:eastAsia="Helvetica"/>
          <w:color w:val="000000" w:themeColor="text1"/>
          <w:vertAlign w:val="superscript"/>
        </w:rPr>
        <w:t>1,5</w:t>
      </w:r>
      <w:r w:rsidRPr="004B479F">
        <w:rPr>
          <w:rFonts w:eastAsia="Helvetica"/>
          <w:color w:val="000000" w:themeColor="text1"/>
        </w:rPr>
        <w:t>,</w:t>
      </w:r>
      <w:r w:rsidRPr="004B479F">
        <w:t xml:space="preserve"> </w:t>
      </w:r>
      <w:r w:rsidRPr="004B479F">
        <w:rPr>
          <w:rFonts w:eastAsia="Helvetica"/>
          <w:color w:val="000000" w:themeColor="text1"/>
        </w:rPr>
        <w:t>Sébastien</w:t>
      </w:r>
      <w:r w:rsidRPr="004B479F">
        <w:t xml:space="preserve"> Castelltort</w:t>
      </w:r>
      <w:r w:rsidRPr="004B479F">
        <w:rPr>
          <w:vertAlign w:val="superscript"/>
        </w:rPr>
        <w:t>1</w:t>
      </w:r>
    </w:p>
    <w:p w14:paraId="7185BF22" w14:textId="77777777" w:rsidR="00FF2147" w:rsidRPr="00476DEE" w:rsidRDefault="00FF2147" w:rsidP="00FF2147">
      <w:pPr>
        <w:spacing w:line="480" w:lineRule="auto"/>
        <w:jc w:val="both"/>
        <w:rPr>
          <w:rFonts w:eastAsia="Helvetica"/>
          <w:color w:val="000000" w:themeColor="text1"/>
          <w:sz w:val="20"/>
          <w:szCs w:val="20"/>
        </w:rPr>
      </w:pPr>
      <w:r w:rsidRPr="00476DEE">
        <w:rPr>
          <w:rFonts w:eastAsia="Helvetica"/>
          <w:color w:val="000000" w:themeColor="text1"/>
          <w:sz w:val="20"/>
          <w:szCs w:val="20"/>
          <w:vertAlign w:val="superscript"/>
        </w:rPr>
        <w:t>1</w:t>
      </w:r>
      <w:r w:rsidRPr="00476DEE">
        <w:rPr>
          <w:rFonts w:eastAsia="Helvetica"/>
          <w:color w:val="000000" w:themeColor="text1"/>
          <w:sz w:val="20"/>
          <w:szCs w:val="20"/>
        </w:rPr>
        <w:t xml:space="preserve">Department of Earth Sciences, University of Geneva, Rue des </w:t>
      </w:r>
      <w:proofErr w:type="spellStart"/>
      <w:r w:rsidRPr="00476DEE">
        <w:rPr>
          <w:rFonts w:eastAsia="Helvetica"/>
          <w:color w:val="000000" w:themeColor="text1"/>
          <w:sz w:val="20"/>
          <w:szCs w:val="20"/>
        </w:rPr>
        <w:t>Maraichers</w:t>
      </w:r>
      <w:proofErr w:type="spellEnd"/>
      <w:r w:rsidRPr="00476DEE">
        <w:rPr>
          <w:rFonts w:eastAsia="Helvetica"/>
          <w:color w:val="000000" w:themeColor="text1"/>
          <w:sz w:val="20"/>
          <w:szCs w:val="20"/>
        </w:rPr>
        <w:t xml:space="preserve"> 13, 1205 Geneva, Switzerland</w:t>
      </w:r>
    </w:p>
    <w:p w14:paraId="3302745D" w14:textId="77777777" w:rsidR="00FF2147" w:rsidRPr="00476DEE" w:rsidRDefault="00FF2147" w:rsidP="00FF2147">
      <w:pPr>
        <w:spacing w:line="480" w:lineRule="auto"/>
        <w:jc w:val="both"/>
        <w:rPr>
          <w:rFonts w:eastAsia="Helvetica"/>
          <w:color w:val="000000" w:themeColor="text1"/>
          <w:sz w:val="20"/>
          <w:szCs w:val="20"/>
        </w:rPr>
      </w:pPr>
      <w:r w:rsidRPr="00476DEE">
        <w:rPr>
          <w:rFonts w:eastAsia="Helvetica"/>
          <w:color w:val="000000" w:themeColor="text1"/>
          <w:sz w:val="20"/>
          <w:szCs w:val="20"/>
          <w:vertAlign w:val="superscript"/>
        </w:rPr>
        <w:t>2</w:t>
      </w:r>
      <w:r w:rsidRPr="00476DEE">
        <w:rPr>
          <w:rFonts w:eastAsia="Helvetica"/>
          <w:color w:val="000000" w:themeColor="text1"/>
          <w:sz w:val="20"/>
          <w:szCs w:val="20"/>
        </w:rPr>
        <w:t xml:space="preserve">Institute of Earth Surface Dynamics (IDYST), University of Lausanne, </w:t>
      </w:r>
      <w:proofErr w:type="spellStart"/>
      <w:r w:rsidRPr="00476DEE">
        <w:rPr>
          <w:rFonts w:eastAsia="Helvetica"/>
          <w:color w:val="000000" w:themeColor="text1"/>
          <w:sz w:val="20"/>
          <w:szCs w:val="20"/>
        </w:rPr>
        <w:t>Géopolis</w:t>
      </w:r>
      <w:proofErr w:type="spellEnd"/>
      <w:r w:rsidRPr="00476DEE">
        <w:rPr>
          <w:rFonts w:eastAsia="Helvetica"/>
          <w:color w:val="000000" w:themeColor="text1"/>
          <w:sz w:val="20"/>
          <w:szCs w:val="20"/>
        </w:rPr>
        <w:t>, 1015 Lausanne, Switzerland</w:t>
      </w:r>
    </w:p>
    <w:p w14:paraId="0036D4C1" w14:textId="77777777" w:rsidR="00FF2147" w:rsidRPr="00476DEE" w:rsidRDefault="00FF2147" w:rsidP="00FF2147">
      <w:pPr>
        <w:spacing w:line="480" w:lineRule="auto"/>
        <w:jc w:val="both"/>
        <w:rPr>
          <w:rFonts w:eastAsia="Helvetica"/>
          <w:color w:val="000000" w:themeColor="text1"/>
          <w:sz w:val="20"/>
          <w:szCs w:val="20"/>
          <w:lang w:val="fr-FR"/>
        </w:rPr>
      </w:pPr>
      <w:r w:rsidRPr="00476DEE">
        <w:rPr>
          <w:rFonts w:eastAsia="Helvetica"/>
          <w:color w:val="000000" w:themeColor="text1"/>
          <w:sz w:val="20"/>
          <w:szCs w:val="20"/>
          <w:vertAlign w:val="superscript"/>
          <w:lang w:val="fr-FR"/>
        </w:rPr>
        <w:t>3</w:t>
      </w:r>
      <w:r w:rsidRPr="00476DEE">
        <w:rPr>
          <w:rFonts w:eastAsia="Helvetica"/>
          <w:color w:val="000000" w:themeColor="text1"/>
          <w:sz w:val="20"/>
          <w:szCs w:val="20"/>
          <w:lang w:val="fr-FR"/>
        </w:rPr>
        <w:t>LPG – Le Mans, UFR Sciences et Techniques, Université du Maine, 72089 Le Mans cedex 9, France</w:t>
      </w:r>
    </w:p>
    <w:p w14:paraId="528C8FBB" w14:textId="77777777" w:rsidR="00FF2147" w:rsidRPr="00476DEE" w:rsidRDefault="00FF2147" w:rsidP="00FF2147">
      <w:pPr>
        <w:spacing w:line="480" w:lineRule="auto"/>
        <w:jc w:val="both"/>
        <w:rPr>
          <w:rFonts w:eastAsia="Helvetica"/>
          <w:color w:val="000000" w:themeColor="text1"/>
          <w:sz w:val="20"/>
          <w:szCs w:val="20"/>
        </w:rPr>
      </w:pPr>
      <w:r w:rsidRPr="00476DEE">
        <w:rPr>
          <w:rFonts w:eastAsia="Helvetica"/>
          <w:color w:val="000000" w:themeColor="text1"/>
          <w:sz w:val="20"/>
          <w:szCs w:val="20"/>
          <w:vertAlign w:val="superscript"/>
        </w:rPr>
        <w:t>4</w:t>
      </w:r>
      <w:r w:rsidRPr="00476DEE">
        <w:rPr>
          <w:rFonts w:eastAsia="Helvetica"/>
          <w:color w:val="000000" w:themeColor="text1"/>
          <w:sz w:val="20"/>
          <w:szCs w:val="20"/>
        </w:rPr>
        <w:t xml:space="preserve">Institute of Earth Sciences (ISTE), University of Lausanne, </w:t>
      </w:r>
      <w:proofErr w:type="spellStart"/>
      <w:r w:rsidRPr="00476DEE">
        <w:rPr>
          <w:rFonts w:eastAsia="Helvetica"/>
          <w:color w:val="000000" w:themeColor="text1"/>
          <w:sz w:val="20"/>
          <w:szCs w:val="20"/>
        </w:rPr>
        <w:t>Géopolis</w:t>
      </w:r>
      <w:proofErr w:type="spellEnd"/>
      <w:r w:rsidRPr="00476DEE">
        <w:rPr>
          <w:rFonts w:eastAsia="Helvetica"/>
          <w:color w:val="000000" w:themeColor="text1"/>
          <w:sz w:val="20"/>
          <w:szCs w:val="20"/>
        </w:rPr>
        <w:t>, 1015 Lausanne, Switzerland</w:t>
      </w:r>
    </w:p>
    <w:p w14:paraId="7572EBCC" w14:textId="77777777" w:rsidR="00FF2147" w:rsidRPr="00476DEE" w:rsidRDefault="00FF2147" w:rsidP="00FF2147">
      <w:pPr>
        <w:spacing w:line="480" w:lineRule="auto"/>
        <w:jc w:val="both"/>
        <w:rPr>
          <w:rFonts w:eastAsia="Helvetica"/>
          <w:color w:val="000000" w:themeColor="text1"/>
          <w:sz w:val="20"/>
          <w:szCs w:val="20"/>
        </w:rPr>
      </w:pPr>
      <w:r w:rsidRPr="00476DEE">
        <w:rPr>
          <w:rFonts w:eastAsia="Helvetica"/>
          <w:color w:val="000000" w:themeColor="text1"/>
          <w:sz w:val="20"/>
          <w:szCs w:val="20"/>
          <w:vertAlign w:val="superscript"/>
        </w:rPr>
        <w:t>5</w:t>
      </w:r>
      <w:r w:rsidRPr="00476DEE">
        <w:rPr>
          <w:rFonts w:eastAsia="Helvetica"/>
          <w:color w:val="000000" w:themeColor="text1"/>
          <w:sz w:val="20"/>
          <w:szCs w:val="20"/>
        </w:rPr>
        <w:t xml:space="preserve">Departament de </w:t>
      </w:r>
      <w:proofErr w:type="spellStart"/>
      <w:r w:rsidRPr="00476DEE">
        <w:rPr>
          <w:rFonts w:eastAsia="Helvetica"/>
          <w:color w:val="000000" w:themeColor="text1"/>
          <w:sz w:val="20"/>
          <w:szCs w:val="20"/>
        </w:rPr>
        <w:t>Dinàmica</w:t>
      </w:r>
      <w:proofErr w:type="spellEnd"/>
      <w:r w:rsidRPr="00476DEE">
        <w:rPr>
          <w:rFonts w:eastAsia="Helvetica"/>
          <w:color w:val="000000" w:themeColor="text1"/>
          <w:sz w:val="20"/>
          <w:szCs w:val="20"/>
        </w:rPr>
        <w:t xml:space="preserve"> de la Terra </w:t>
      </w:r>
      <w:proofErr w:type="spellStart"/>
      <w:r w:rsidRPr="00476DEE">
        <w:rPr>
          <w:rFonts w:eastAsia="Helvetica"/>
          <w:color w:val="000000" w:themeColor="text1"/>
          <w:sz w:val="20"/>
          <w:szCs w:val="20"/>
        </w:rPr>
        <w:t>i</w:t>
      </w:r>
      <w:proofErr w:type="spellEnd"/>
      <w:r w:rsidRPr="00476DEE">
        <w:rPr>
          <w:rFonts w:eastAsia="Helvetica"/>
          <w:color w:val="000000" w:themeColor="text1"/>
          <w:sz w:val="20"/>
          <w:szCs w:val="20"/>
        </w:rPr>
        <w:t xml:space="preserve"> </w:t>
      </w:r>
      <w:proofErr w:type="spellStart"/>
      <w:r w:rsidRPr="00476DEE">
        <w:rPr>
          <w:rFonts w:eastAsia="Helvetica"/>
          <w:color w:val="000000" w:themeColor="text1"/>
          <w:sz w:val="20"/>
          <w:szCs w:val="20"/>
        </w:rPr>
        <w:t>l’Oceà</w:t>
      </w:r>
      <w:proofErr w:type="spellEnd"/>
      <w:r w:rsidRPr="00476DEE">
        <w:rPr>
          <w:rFonts w:eastAsia="Helvetica"/>
          <w:color w:val="000000" w:themeColor="text1"/>
          <w:sz w:val="20"/>
          <w:szCs w:val="20"/>
        </w:rPr>
        <w:t xml:space="preserve">, </w:t>
      </w:r>
      <w:proofErr w:type="spellStart"/>
      <w:r w:rsidRPr="00476DEE">
        <w:rPr>
          <w:rFonts w:eastAsia="Helvetica"/>
          <w:color w:val="000000" w:themeColor="text1"/>
          <w:sz w:val="20"/>
          <w:szCs w:val="20"/>
        </w:rPr>
        <w:t>Facultat</w:t>
      </w:r>
      <w:proofErr w:type="spellEnd"/>
      <w:r w:rsidRPr="00476DEE">
        <w:rPr>
          <w:rFonts w:eastAsia="Helvetica"/>
          <w:color w:val="000000" w:themeColor="text1"/>
          <w:sz w:val="20"/>
          <w:szCs w:val="20"/>
        </w:rPr>
        <w:t xml:space="preserve"> de </w:t>
      </w:r>
      <w:proofErr w:type="spellStart"/>
      <w:r w:rsidRPr="00476DEE">
        <w:rPr>
          <w:rFonts w:eastAsia="Helvetica"/>
          <w:color w:val="000000" w:themeColor="text1"/>
          <w:sz w:val="20"/>
          <w:szCs w:val="20"/>
        </w:rPr>
        <w:t>Ciències</w:t>
      </w:r>
      <w:proofErr w:type="spellEnd"/>
      <w:r w:rsidRPr="00476DEE">
        <w:rPr>
          <w:rFonts w:eastAsia="Helvetica"/>
          <w:color w:val="000000" w:themeColor="text1"/>
          <w:sz w:val="20"/>
          <w:szCs w:val="20"/>
        </w:rPr>
        <w:t xml:space="preserve"> de la Terra, Barcelona, 08028, Spain</w:t>
      </w:r>
    </w:p>
    <w:p w14:paraId="54CCEACB" w14:textId="77777777" w:rsidR="00FF2147" w:rsidRPr="004B479F" w:rsidRDefault="00FF2147" w:rsidP="00FF2147">
      <w:pPr>
        <w:spacing w:line="480" w:lineRule="auto"/>
        <w:rPr>
          <w:rFonts w:eastAsia="Helvetica"/>
          <w:color w:val="000000" w:themeColor="text1"/>
        </w:rPr>
      </w:pPr>
    </w:p>
    <w:p w14:paraId="545846FC" w14:textId="000FAE86" w:rsidR="00FF2147" w:rsidRPr="00476DEE" w:rsidRDefault="00FF2147" w:rsidP="00FF2147">
      <w:pPr>
        <w:spacing w:line="480" w:lineRule="auto"/>
        <w:rPr>
          <w:sz w:val="20"/>
          <w:szCs w:val="20"/>
        </w:rPr>
      </w:pPr>
      <w:r w:rsidRPr="00476DEE">
        <w:rPr>
          <w:sz w:val="20"/>
          <w:szCs w:val="20"/>
        </w:rPr>
        <w:t>Correspond</w:t>
      </w:r>
      <w:r w:rsidR="00476DEE" w:rsidRPr="00476DEE">
        <w:rPr>
          <w:sz w:val="20"/>
          <w:szCs w:val="20"/>
        </w:rPr>
        <w:t>ence to</w:t>
      </w:r>
      <w:r w:rsidRPr="00476DEE">
        <w:rPr>
          <w:sz w:val="20"/>
          <w:szCs w:val="20"/>
        </w:rPr>
        <w:t>: Nikhil Sharma (</w:t>
      </w:r>
      <w:hyperlink r:id="rId8" w:history="1">
        <w:r w:rsidRPr="00476DEE">
          <w:rPr>
            <w:rStyle w:val="Hyperlink"/>
            <w:sz w:val="20"/>
            <w:szCs w:val="20"/>
          </w:rPr>
          <w:t>nikhil.sharma@unige.ch</w:t>
        </w:r>
      </w:hyperlink>
      <w:r w:rsidRPr="00476DEE">
        <w:rPr>
          <w:sz w:val="20"/>
          <w:szCs w:val="20"/>
        </w:rPr>
        <w:t>)</w:t>
      </w:r>
    </w:p>
    <w:p w14:paraId="218A84DE" w14:textId="59A81833" w:rsidR="00C843CD" w:rsidRPr="00FF2147" w:rsidRDefault="00C843CD" w:rsidP="00FE3659">
      <w:pPr>
        <w:spacing w:line="480" w:lineRule="auto"/>
        <w:jc w:val="center"/>
        <w:rPr>
          <w:b/>
          <w:bCs/>
          <w:sz w:val="28"/>
          <w:szCs w:val="28"/>
        </w:rPr>
      </w:pPr>
    </w:p>
    <w:p w14:paraId="6FE6A438" w14:textId="52CB2C11" w:rsidR="00215613" w:rsidRPr="00476DEE" w:rsidRDefault="001A6781" w:rsidP="00215613">
      <w:pPr>
        <w:spacing w:line="480" w:lineRule="auto"/>
        <w:rPr>
          <w:b/>
          <w:bCs/>
          <w:sz w:val="20"/>
          <w:szCs w:val="20"/>
        </w:rPr>
      </w:pPr>
      <w:r w:rsidRPr="00476DEE">
        <w:rPr>
          <w:rFonts w:eastAsiaTheme="minorHAnsi"/>
          <w:b/>
          <w:bCs/>
          <w:color w:val="000000" w:themeColor="text1"/>
          <w:sz w:val="20"/>
          <w:szCs w:val="20"/>
          <w:lang w:val="en-US" w:eastAsia="en-US"/>
        </w:rPr>
        <w:t xml:space="preserve">1 </w:t>
      </w:r>
      <w:r w:rsidR="000F7087">
        <w:rPr>
          <w:rFonts w:eastAsiaTheme="minorHAnsi"/>
          <w:b/>
          <w:bCs/>
          <w:color w:val="000000" w:themeColor="text1"/>
          <w:sz w:val="20"/>
          <w:szCs w:val="20"/>
          <w:lang w:val="en-US" w:eastAsia="en-US"/>
        </w:rPr>
        <w:t>Material and methods</w:t>
      </w:r>
    </w:p>
    <w:p w14:paraId="336E7D56" w14:textId="23A9AFBD" w:rsidR="007321BE" w:rsidRDefault="00476DEE" w:rsidP="007321BE">
      <w:pPr>
        <w:spacing w:line="480" w:lineRule="auto"/>
        <w:rPr>
          <w:b/>
          <w:bCs/>
        </w:rPr>
      </w:pPr>
      <w:r w:rsidRPr="00234612">
        <w:rPr>
          <w:rFonts w:eastAsiaTheme="minorEastAsia"/>
          <w:sz w:val="20"/>
          <w:szCs w:val="20"/>
        </w:rPr>
        <w:t xml:space="preserve">Analyses were carried out on a suite of sampled paleosols (N = 45), </w:t>
      </w:r>
      <w:r w:rsidRPr="00234612">
        <w:rPr>
          <w:sz w:val="20"/>
          <w:szCs w:val="20"/>
        </w:rPr>
        <w:t>stromatolites (n = 9), and pedogenic nodules (n = 9)</w:t>
      </w:r>
      <w:r w:rsidRPr="00234612">
        <w:rPr>
          <w:rFonts w:eastAsiaTheme="minorEastAsia"/>
          <w:sz w:val="20"/>
          <w:szCs w:val="20"/>
        </w:rPr>
        <w:t xml:space="preserve">. Powders of bulk paleosol samples were prepared and </w:t>
      </w:r>
      <w:proofErr w:type="spellStart"/>
      <w:r w:rsidRPr="00234612">
        <w:rPr>
          <w:rFonts w:eastAsiaTheme="minorEastAsia"/>
          <w:sz w:val="20"/>
          <w:szCs w:val="20"/>
        </w:rPr>
        <w:t>analyzed</w:t>
      </w:r>
      <w:proofErr w:type="spellEnd"/>
      <w:r w:rsidRPr="00234612">
        <w:rPr>
          <w:rFonts w:eastAsiaTheme="minorEastAsia"/>
          <w:sz w:val="20"/>
          <w:szCs w:val="20"/>
        </w:rPr>
        <w:t xml:space="preserve"> for a suite of geochemical indicators, including total organic carbon (TOC) </w:t>
      </w:r>
      <w:r w:rsidRPr="00234612">
        <w:rPr>
          <w:rFonts w:eastAsiaTheme="minorEastAsia"/>
          <w:color w:val="000000" w:themeColor="text1"/>
          <w:sz w:val="20"/>
          <w:szCs w:val="20"/>
        </w:rPr>
        <w:t xml:space="preserve">content, Rock-Eval parameters, organic carbon isotope compositions </w:t>
      </w:r>
      <w:r w:rsidRPr="00234612">
        <w:rPr>
          <w:color w:val="000000" w:themeColor="text1"/>
          <w:sz w:val="20"/>
          <w:szCs w:val="20"/>
        </w:rPr>
        <w:t>(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δ</m:t>
        </m:r>
      </m:oMath>
      <w:r w:rsidRPr="00234612">
        <w:rPr>
          <w:color w:val="000000" w:themeColor="text1"/>
          <w:sz w:val="20"/>
          <w:szCs w:val="20"/>
          <w:vertAlign w:val="superscript"/>
        </w:rPr>
        <w:t>13</w:t>
      </w:r>
      <w:r w:rsidRPr="00234612">
        <w:rPr>
          <w:color w:val="000000" w:themeColor="text1"/>
          <w:sz w:val="20"/>
          <w:szCs w:val="20"/>
        </w:rPr>
        <w:t>C</w:t>
      </w:r>
      <w:r w:rsidRPr="00234612">
        <w:rPr>
          <w:color w:val="000000" w:themeColor="text1"/>
          <w:sz w:val="20"/>
          <w:szCs w:val="20"/>
          <w:vertAlign w:val="subscript"/>
        </w:rPr>
        <w:t>org</w:t>
      </w:r>
      <w:r w:rsidRPr="00234612">
        <w:rPr>
          <w:color w:val="000000" w:themeColor="text1"/>
          <w:sz w:val="20"/>
          <w:szCs w:val="20"/>
        </w:rPr>
        <w:t>)</w:t>
      </w:r>
      <w:r w:rsidRPr="00234612">
        <w:rPr>
          <w:rFonts w:eastAsiaTheme="minorEastAsia"/>
          <w:color w:val="000000" w:themeColor="text1"/>
          <w:sz w:val="20"/>
          <w:szCs w:val="20"/>
        </w:rPr>
        <w:t xml:space="preserve">, carbonate carbon and oxygen </w:t>
      </w:r>
      <w:r w:rsidRPr="00234612">
        <w:rPr>
          <w:rFonts w:eastAsiaTheme="minorEastAsia"/>
          <w:sz w:val="20"/>
          <w:szCs w:val="20"/>
        </w:rPr>
        <w:t>isotopes (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234612">
        <w:rPr>
          <w:sz w:val="20"/>
          <w:szCs w:val="20"/>
          <w:vertAlign w:val="superscript"/>
        </w:rPr>
        <w:t>13</w:t>
      </w:r>
      <w:r w:rsidRPr="00234612">
        <w:rPr>
          <w:sz w:val="20"/>
          <w:szCs w:val="20"/>
        </w:rPr>
        <w:t>C</w:t>
      </w:r>
      <w:r w:rsidRPr="00234612">
        <w:rPr>
          <w:sz w:val="20"/>
          <w:szCs w:val="20"/>
          <w:vertAlign w:val="subscript"/>
        </w:rPr>
        <w:t xml:space="preserve">carb </w:t>
      </w:r>
      <w:r w:rsidRPr="00234612">
        <w:rPr>
          <w:sz w:val="20"/>
          <w:szCs w:val="20"/>
        </w:rPr>
        <w:t xml:space="preserve">and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234612">
        <w:rPr>
          <w:sz w:val="20"/>
          <w:szCs w:val="20"/>
          <w:vertAlign w:val="superscript"/>
        </w:rPr>
        <w:t>18</w:t>
      </w:r>
      <w:r w:rsidRPr="00234612">
        <w:rPr>
          <w:sz w:val="20"/>
          <w:szCs w:val="20"/>
        </w:rPr>
        <w:t>O</w:t>
      </w:r>
      <w:r w:rsidRPr="00234612">
        <w:rPr>
          <w:sz w:val="20"/>
          <w:szCs w:val="20"/>
          <w:vertAlign w:val="subscript"/>
        </w:rPr>
        <w:t>carb</w:t>
      </w:r>
      <w:r w:rsidRPr="00234612">
        <w:rPr>
          <w:rFonts w:eastAsiaTheme="minorEastAsia"/>
          <w:sz w:val="20"/>
          <w:szCs w:val="20"/>
        </w:rPr>
        <w:t xml:space="preserve">), major elements, and clay mineral assemblages. Stromatolite and pedogenic nodule powders were </w:t>
      </w:r>
      <w:proofErr w:type="spellStart"/>
      <w:r w:rsidRPr="00234612">
        <w:rPr>
          <w:rFonts w:eastAsiaTheme="minorEastAsia"/>
          <w:sz w:val="20"/>
          <w:szCs w:val="20"/>
        </w:rPr>
        <w:t>analyzed</w:t>
      </w:r>
      <w:proofErr w:type="spellEnd"/>
      <w:r w:rsidRPr="00234612">
        <w:rPr>
          <w:rFonts w:eastAsiaTheme="minorEastAsia"/>
          <w:sz w:val="20"/>
          <w:szCs w:val="20"/>
        </w:rPr>
        <w:t xml:space="preserve"> for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234612">
        <w:rPr>
          <w:sz w:val="20"/>
          <w:szCs w:val="20"/>
          <w:vertAlign w:val="superscript"/>
        </w:rPr>
        <w:t>13</w:t>
      </w:r>
      <w:r w:rsidRPr="00234612">
        <w:rPr>
          <w:sz w:val="20"/>
          <w:szCs w:val="20"/>
        </w:rPr>
        <w:t>C</w:t>
      </w:r>
      <w:r w:rsidRPr="00234612">
        <w:rPr>
          <w:sz w:val="20"/>
          <w:szCs w:val="20"/>
          <w:vertAlign w:val="subscript"/>
        </w:rPr>
        <w:t xml:space="preserve">carb </w:t>
      </w:r>
      <w:r w:rsidRPr="00234612">
        <w:rPr>
          <w:sz w:val="20"/>
          <w:szCs w:val="20"/>
        </w:rPr>
        <w:t>and</w:t>
      </w:r>
      <w:r w:rsidRPr="00234612">
        <w:rPr>
          <w:sz w:val="20"/>
          <w:szCs w:val="20"/>
          <w:vertAlign w:val="subscript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234612">
        <w:rPr>
          <w:sz w:val="20"/>
          <w:szCs w:val="20"/>
          <w:vertAlign w:val="superscript"/>
        </w:rPr>
        <w:t>18</w:t>
      </w:r>
      <w:r w:rsidRPr="00234612">
        <w:rPr>
          <w:sz w:val="20"/>
          <w:szCs w:val="20"/>
        </w:rPr>
        <w:t>O</w:t>
      </w:r>
      <w:r w:rsidRPr="00234612">
        <w:rPr>
          <w:sz w:val="20"/>
          <w:szCs w:val="20"/>
          <w:vertAlign w:val="subscript"/>
        </w:rPr>
        <w:t xml:space="preserve">carb </w:t>
      </w:r>
      <w:r w:rsidRPr="00234612">
        <w:rPr>
          <w:sz w:val="20"/>
          <w:szCs w:val="20"/>
        </w:rPr>
        <w:t>and clumped isotope compositions (</w:t>
      </w:r>
      <w:r w:rsidRPr="00234612">
        <w:rPr>
          <w:rFonts w:ascii="Symbol" w:hAnsi="Symbol"/>
          <w:sz w:val="20"/>
          <w:szCs w:val="20"/>
        </w:rPr>
        <w:t>d</w:t>
      </w:r>
      <w:r w:rsidRPr="00234612">
        <w:rPr>
          <w:sz w:val="20"/>
          <w:szCs w:val="20"/>
          <w:vertAlign w:val="superscript"/>
        </w:rPr>
        <w:t>47</w:t>
      </w:r>
      <w:r w:rsidRPr="00234612">
        <w:rPr>
          <w:sz w:val="20"/>
          <w:szCs w:val="20"/>
        </w:rPr>
        <w:t xml:space="preserve"> and </w:t>
      </w:r>
      <w:r w:rsidRPr="00234612">
        <w:rPr>
          <w:rFonts w:ascii="Symbol" w:hAnsi="Symbol"/>
          <w:sz w:val="20"/>
          <w:szCs w:val="20"/>
        </w:rPr>
        <w:t>D</w:t>
      </w:r>
      <w:r w:rsidRPr="00234612">
        <w:rPr>
          <w:sz w:val="20"/>
          <w:szCs w:val="20"/>
          <w:vertAlign w:val="subscript"/>
        </w:rPr>
        <w:t>47</w:t>
      </w:r>
      <w:r w:rsidRPr="00234612">
        <w:rPr>
          <w:sz w:val="20"/>
          <w:szCs w:val="20"/>
        </w:rPr>
        <w:t>).</w:t>
      </w:r>
    </w:p>
    <w:p w14:paraId="1B91D838" w14:textId="77777777" w:rsidR="00476DEE" w:rsidRDefault="00476DEE" w:rsidP="007321BE">
      <w:pPr>
        <w:spacing w:line="480" w:lineRule="auto"/>
        <w:rPr>
          <w:b/>
          <w:bCs/>
        </w:rPr>
      </w:pPr>
    </w:p>
    <w:p w14:paraId="14FBA30A" w14:textId="5F39E67E" w:rsidR="007321BE" w:rsidRPr="000F7087" w:rsidRDefault="00C54BE1" w:rsidP="007321BE">
      <w:pPr>
        <w:spacing w:line="48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1.1 </w:t>
      </w:r>
      <w:r w:rsidR="007321BE" w:rsidRPr="000F7087">
        <w:rPr>
          <w:b/>
          <w:bCs/>
          <w:sz w:val="20"/>
          <w:szCs w:val="20"/>
        </w:rPr>
        <w:t>Sample preparation</w:t>
      </w:r>
    </w:p>
    <w:p w14:paraId="14AA7640" w14:textId="31D974D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</w:rPr>
        <w:t>Sampled paleosols (</w:t>
      </w:r>
      <w:r w:rsidR="00C54BE1">
        <w:rPr>
          <w:sz w:val="20"/>
          <w:szCs w:val="20"/>
        </w:rPr>
        <w:t>N</w:t>
      </w:r>
      <w:r w:rsidRPr="000F7087">
        <w:rPr>
          <w:sz w:val="20"/>
          <w:szCs w:val="20"/>
        </w:rPr>
        <w:t xml:space="preserve"> = 45), stromatolites (n = 9), and pedogenic nodules (n = 9) were prepared for analysis at the University of Lausanne, Switzerland. Paleosols were dried at 45°C for 2–3 days, and then crushed and powdered using an agate mill. Stromatolite samples were </w:t>
      </w:r>
      <w:r w:rsidRPr="000F7087">
        <w:rPr>
          <w:sz w:val="20"/>
          <w:szCs w:val="20"/>
          <w:lang w:val="en-US"/>
        </w:rPr>
        <w:t>cut and micro-</w:t>
      </w:r>
      <w:r w:rsidRPr="000F7087">
        <w:rPr>
          <w:sz w:val="20"/>
          <w:szCs w:val="20"/>
        </w:rPr>
        <w:t xml:space="preserve">drilled to obtain sample powder on which the different analyses were performed. </w:t>
      </w:r>
    </w:p>
    <w:p w14:paraId="66302453" w14:textId="77777777" w:rsidR="00E40EA2" w:rsidRDefault="00E40EA2" w:rsidP="007321BE">
      <w:pPr>
        <w:spacing w:line="480" w:lineRule="auto"/>
        <w:rPr>
          <w:b/>
          <w:bCs/>
          <w:sz w:val="20"/>
          <w:szCs w:val="20"/>
        </w:rPr>
      </w:pPr>
    </w:p>
    <w:p w14:paraId="35A11334" w14:textId="0C183510" w:rsidR="007321BE" w:rsidRPr="000F7087" w:rsidRDefault="00C54BE1" w:rsidP="007321BE">
      <w:pPr>
        <w:spacing w:line="48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1.2 </w:t>
      </w:r>
      <w:r w:rsidR="007321BE" w:rsidRPr="000F7087">
        <w:rPr>
          <w:b/>
          <w:bCs/>
          <w:sz w:val="20"/>
          <w:szCs w:val="20"/>
        </w:rPr>
        <w:t>Rock eval analysis</w:t>
      </w:r>
    </w:p>
    <w:p w14:paraId="7F6A728D" w14:textId="77777777" w:rsidR="007321BE" w:rsidRPr="000F7087" w:rsidRDefault="007321BE" w:rsidP="007321BE">
      <w:pPr>
        <w:spacing w:line="480" w:lineRule="auto"/>
        <w:jc w:val="both"/>
        <w:rPr>
          <w:rFonts w:eastAsiaTheme="minorEastAsia"/>
          <w:sz w:val="20"/>
          <w:szCs w:val="20"/>
        </w:rPr>
      </w:pPr>
      <w:r w:rsidRPr="000F7087">
        <w:rPr>
          <w:rFonts w:eastAsiaTheme="minorEastAsia"/>
          <w:sz w:val="20"/>
          <w:szCs w:val="20"/>
        </w:rPr>
        <w:t>Rock eval pyrolysis was performed at the University of Lausanne to assess the total organic carbon (TOC) content</w:t>
      </w:r>
      <w:r w:rsidRPr="000F7087">
        <w:rPr>
          <w:rFonts w:eastAsiaTheme="minorEastAsia"/>
          <w:color w:val="FF0000"/>
          <w:sz w:val="20"/>
          <w:szCs w:val="20"/>
        </w:rPr>
        <w:t xml:space="preserve"> </w:t>
      </w:r>
      <w:r w:rsidRPr="000F7087">
        <w:rPr>
          <w:rFonts w:eastAsiaTheme="minorEastAsia"/>
          <w:sz w:val="20"/>
          <w:szCs w:val="20"/>
        </w:rPr>
        <w:t xml:space="preserve">in the paleosols. The analyses were performed using a Rock-Eval 6 instrument, following the procedure described by </w:t>
      </w:r>
      <w:r w:rsidRPr="000F7087">
        <w:rPr>
          <w:rFonts w:eastAsiaTheme="minorEastAsia"/>
          <w:color w:val="4472C4" w:themeColor="accent1"/>
          <w:sz w:val="20"/>
          <w:szCs w:val="20"/>
        </w:rPr>
        <w:t>Behar et al. (2001)</w:t>
      </w:r>
      <w:r w:rsidRPr="000F7087">
        <w:rPr>
          <w:rFonts w:eastAsiaTheme="minorEastAsia"/>
          <w:color w:val="000000" w:themeColor="text1"/>
          <w:sz w:val="20"/>
          <w:szCs w:val="20"/>
        </w:rPr>
        <w:t>.</w:t>
      </w:r>
      <w:r w:rsidRPr="000F7087">
        <w:rPr>
          <w:rFonts w:eastAsiaTheme="minorEastAsia"/>
          <w:sz w:val="20"/>
          <w:szCs w:val="20"/>
        </w:rPr>
        <w:t xml:space="preserve"> </w:t>
      </w:r>
    </w:p>
    <w:p w14:paraId="48EC8B19" w14:textId="77777777" w:rsidR="007321BE" w:rsidRPr="000F7087" w:rsidRDefault="007321BE" w:rsidP="00215613">
      <w:pPr>
        <w:spacing w:line="480" w:lineRule="auto"/>
        <w:jc w:val="both"/>
        <w:rPr>
          <w:rFonts w:eastAsiaTheme="minorEastAsia"/>
          <w:b/>
          <w:bCs/>
          <w:sz w:val="20"/>
          <w:szCs w:val="20"/>
        </w:rPr>
      </w:pPr>
    </w:p>
    <w:p w14:paraId="1D432C1C" w14:textId="104780D2" w:rsidR="00215613" w:rsidRPr="000F7087" w:rsidRDefault="00C54BE1" w:rsidP="00215613">
      <w:pPr>
        <w:spacing w:line="480" w:lineRule="auto"/>
        <w:jc w:val="both"/>
        <w:rPr>
          <w:rFonts w:eastAsiaTheme="minorEastAsia"/>
          <w:b/>
          <w:bCs/>
          <w:sz w:val="20"/>
          <w:szCs w:val="20"/>
        </w:rPr>
      </w:pPr>
      <w:r>
        <w:rPr>
          <w:rFonts w:eastAsiaTheme="minorEastAsia"/>
          <w:b/>
          <w:bCs/>
          <w:sz w:val="20"/>
          <w:szCs w:val="20"/>
        </w:rPr>
        <w:t xml:space="preserve">1.3 </w:t>
      </w:r>
      <w:r w:rsidR="00215613" w:rsidRPr="000F7087">
        <w:rPr>
          <w:rFonts w:eastAsiaTheme="minorEastAsia"/>
          <w:b/>
          <w:bCs/>
          <w:sz w:val="20"/>
          <w:szCs w:val="20"/>
        </w:rPr>
        <w:t xml:space="preserve">Organic carbon isotopes </w:t>
      </w:r>
    </w:p>
    <w:p w14:paraId="34FFF115" w14:textId="77777777" w:rsidR="00215613" w:rsidRPr="000F7087" w:rsidRDefault="00215613" w:rsidP="00215613">
      <w:pPr>
        <w:spacing w:line="480" w:lineRule="auto"/>
        <w:jc w:val="both"/>
        <w:rPr>
          <w:rFonts w:eastAsiaTheme="minorEastAsia"/>
          <w:sz w:val="20"/>
          <w:szCs w:val="20"/>
        </w:rPr>
      </w:pPr>
      <w:r w:rsidRPr="000F7087">
        <w:rPr>
          <w:rFonts w:eastAsiaTheme="minorEastAsia"/>
          <w:sz w:val="20"/>
          <w:szCs w:val="20"/>
        </w:rPr>
        <w:t xml:space="preserve">The carbon isotope compositions of organic matter in paleosol samples were analysed in the stable isotope laboratories of the Institute of Earth Surface Dynamics, University of Lausanne (IDYST-UNIL). Samples first underwent de-carbonatation with 10 % v/v HCl, then thoroughly washed with deionized water and dried at 40 °C for 48 h. The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0F7087">
        <w:rPr>
          <w:rFonts w:eastAsiaTheme="minorEastAsia"/>
          <w:sz w:val="20"/>
          <w:szCs w:val="20"/>
          <w:vertAlign w:val="superscript"/>
        </w:rPr>
        <w:t>13</w:t>
      </w:r>
      <w:r w:rsidRPr="000F7087">
        <w:rPr>
          <w:rFonts w:eastAsiaTheme="minorEastAsia"/>
          <w:sz w:val="20"/>
          <w:szCs w:val="20"/>
        </w:rPr>
        <w:t>C</w:t>
      </w:r>
      <w:r w:rsidRPr="000F7087">
        <w:rPr>
          <w:rFonts w:eastAsiaTheme="minorEastAsia"/>
          <w:sz w:val="20"/>
          <w:szCs w:val="20"/>
          <w:vertAlign w:val="subscript"/>
        </w:rPr>
        <w:t>org</w:t>
      </w:r>
      <w:r w:rsidRPr="000F7087">
        <w:rPr>
          <w:rFonts w:eastAsiaTheme="minorEastAsia"/>
          <w:sz w:val="20"/>
          <w:szCs w:val="20"/>
        </w:rPr>
        <w:t xml:space="preserve"> measurements were made using a Carlo </w:t>
      </w:r>
      <w:proofErr w:type="spellStart"/>
      <w:r w:rsidRPr="000F7087">
        <w:rPr>
          <w:rFonts w:eastAsiaTheme="minorEastAsia"/>
          <w:sz w:val="20"/>
          <w:szCs w:val="20"/>
        </w:rPr>
        <w:t>Erba</w:t>
      </w:r>
      <w:proofErr w:type="spellEnd"/>
      <w:r w:rsidRPr="000F7087">
        <w:rPr>
          <w:rFonts w:eastAsiaTheme="minorEastAsia"/>
          <w:sz w:val="20"/>
          <w:szCs w:val="20"/>
        </w:rPr>
        <w:t xml:space="preserve"> 1100 (</w:t>
      </w:r>
      <w:proofErr w:type="spellStart"/>
      <w:r w:rsidRPr="000F7087">
        <w:rPr>
          <w:rFonts w:eastAsiaTheme="minorEastAsia"/>
          <w:sz w:val="20"/>
          <w:szCs w:val="20"/>
        </w:rPr>
        <w:t>Fisons</w:t>
      </w:r>
      <w:proofErr w:type="spellEnd"/>
      <w:r w:rsidRPr="000F7087">
        <w:rPr>
          <w:rFonts w:eastAsiaTheme="minorEastAsia"/>
          <w:sz w:val="20"/>
          <w:szCs w:val="20"/>
        </w:rPr>
        <w:t xml:space="preserve"> Instruments, Milan, Italy) elemental analyser connected to a </w:t>
      </w:r>
      <w:proofErr w:type="spellStart"/>
      <w:r w:rsidRPr="000F7087">
        <w:rPr>
          <w:rFonts w:eastAsiaTheme="minorEastAsia"/>
          <w:sz w:val="20"/>
          <w:szCs w:val="20"/>
        </w:rPr>
        <w:t>Thermo</w:t>
      </w:r>
      <w:proofErr w:type="spellEnd"/>
      <w:r w:rsidRPr="000F7087">
        <w:rPr>
          <w:rFonts w:eastAsiaTheme="minorEastAsia"/>
          <w:sz w:val="20"/>
          <w:szCs w:val="20"/>
        </w:rPr>
        <w:t xml:space="preserve"> Fisher Scientific Delta V Plus isotope ratio mass spectrometer, both operated under continuous helium flow. Measured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0F7087">
        <w:rPr>
          <w:rFonts w:eastAsiaTheme="minorEastAsia"/>
          <w:sz w:val="20"/>
          <w:szCs w:val="20"/>
          <w:vertAlign w:val="superscript"/>
        </w:rPr>
        <w:t>13</w:t>
      </w:r>
      <w:r w:rsidRPr="000F7087">
        <w:rPr>
          <w:rFonts w:eastAsiaTheme="minorEastAsia"/>
          <w:sz w:val="20"/>
          <w:szCs w:val="20"/>
        </w:rPr>
        <w:t>C values were calibrated and normalized using international reference materials and in-house standards [</w:t>
      </w:r>
      <w:r w:rsidRPr="000F7087">
        <w:rPr>
          <w:color w:val="4472C4" w:themeColor="accent1"/>
          <w:sz w:val="20"/>
          <w:szCs w:val="20"/>
        </w:rPr>
        <w:t>Spangenberg 2006, 2016</w:t>
      </w:r>
      <w:r w:rsidRPr="000F7087">
        <w:rPr>
          <w:rFonts w:eastAsiaTheme="minorEastAsia"/>
          <w:sz w:val="20"/>
          <w:szCs w:val="20"/>
        </w:rPr>
        <w:t xml:space="preserve">] and reported </w:t>
      </w:r>
      <w:r w:rsidRPr="000F7087">
        <w:rPr>
          <w:sz w:val="20"/>
          <w:szCs w:val="20"/>
        </w:rPr>
        <w:t>in</w:t>
      </w:r>
      <w:r w:rsidRPr="000F7087">
        <w:rPr>
          <w:rFonts w:eastAsiaTheme="minorEastAsia"/>
          <w:sz w:val="20"/>
          <w:szCs w:val="20"/>
        </w:rPr>
        <w:t xml:space="preserve"> per mil (‰)</w:t>
      </w:r>
      <w:r w:rsidRPr="000F7087">
        <w:rPr>
          <w:sz w:val="20"/>
          <w:szCs w:val="20"/>
        </w:rPr>
        <w:t xml:space="preserve"> vs. Vienna Pee Dee Belemnite limestone standard (VPDB).</w:t>
      </w:r>
      <w:r w:rsidRPr="000F7087">
        <w:rPr>
          <w:rFonts w:eastAsiaTheme="minorEastAsia"/>
          <w:sz w:val="20"/>
          <w:szCs w:val="20"/>
        </w:rPr>
        <w:t xml:space="preserve"> The precision of the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0F7087">
        <w:rPr>
          <w:rFonts w:eastAsiaTheme="minorEastAsia"/>
          <w:sz w:val="20"/>
          <w:szCs w:val="20"/>
          <w:vertAlign w:val="superscript"/>
        </w:rPr>
        <w:t>13</w:t>
      </w:r>
      <w:r w:rsidRPr="000F7087">
        <w:rPr>
          <w:rFonts w:eastAsiaTheme="minorEastAsia"/>
          <w:sz w:val="20"/>
          <w:szCs w:val="20"/>
        </w:rPr>
        <w:t>C</w:t>
      </w:r>
      <w:r w:rsidRPr="000F7087">
        <w:rPr>
          <w:rFonts w:eastAsiaTheme="minorEastAsia"/>
          <w:sz w:val="20"/>
          <w:szCs w:val="20"/>
          <w:vertAlign w:val="subscript"/>
        </w:rPr>
        <w:t xml:space="preserve">org </w:t>
      </w:r>
      <w:r w:rsidRPr="000F7087">
        <w:rPr>
          <w:rFonts w:eastAsiaTheme="minorEastAsia"/>
          <w:sz w:val="20"/>
          <w:szCs w:val="20"/>
        </w:rPr>
        <w:t>values were better than 0.1 ‰.</w:t>
      </w:r>
    </w:p>
    <w:p w14:paraId="59D09456" w14:textId="77777777" w:rsidR="00215613" w:rsidRPr="000F7087" w:rsidRDefault="00215613" w:rsidP="00215613">
      <w:pPr>
        <w:spacing w:line="480" w:lineRule="auto"/>
        <w:jc w:val="both"/>
        <w:rPr>
          <w:rFonts w:eastAsiaTheme="minorEastAsia"/>
          <w:sz w:val="20"/>
          <w:szCs w:val="20"/>
        </w:rPr>
      </w:pPr>
    </w:p>
    <w:p w14:paraId="31D77BB0" w14:textId="66B738F1" w:rsidR="00215613" w:rsidRPr="000F7087" w:rsidRDefault="00C54BE1" w:rsidP="00215613">
      <w:pPr>
        <w:spacing w:line="48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1.4 </w:t>
      </w:r>
      <w:r w:rsidR="00215613" w:rsidRPr="000F7087">
        <w:rPr>
          <w:b/>
          <w:bCs/>
          <w:sz w:val="20"/>
          <w:szCs w:val="20"/>
        </w:rPr>
        <w:t xml:space="preserve">Carbonate isotopes </w:t>
      </w:r>
    </w:p>
    <w:p w14:paraId="32B0DD9D" w14:textId="77777777" w:rsidR="00215613" w:rsidRPr="000F7087" w:rsidRDefault="00215613" w:rsidP="00215613">
      <w:pPr>
        <w:spacing w:line="480" w:lineRule="auto"/>
        <w:jc w:val="both"/>
        <w:rPr>
          <w:rFonts w:eastAsiaTheme="minorEastAsia"/>
          <w:sz w:val="20"/>
          <w:szCs w:val="20"/>
        </w:rPr>
      </w:pPr>
      <w:r w:rsidRPr="000F7087">
        <w:rPr>
          <w:rFonts w:eastAsiaTheme="minorEastAsia"/>
          <w:sz w:val="20"/>
          <w:szCs w:val="20"/>
        </w:rPr>
        <w:t>Carbon and oxygen isotope compositions (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0F7087">
        <w:rPr>
          <w:rFonts w:eastAsiaTheme="minorEastAsia"/>
          <w:sz w:val="20"/>
          <w:szCs w:val="20"/>
          <w:vertAlign w:val="superscript"/>
        </w:rPr>
        <w:t>13</w:t>
      </w:r>
      <w:r w:rsidRPr="000F7087">
        <w:rPr>
          <w:rFonts w:eastAsiaTheme="minorEastAsia"/>
          <w:sz w:val="20"/>
          <w:szCs w:val="20"/>
        </w:rPr>
        <w:t>C</w:t>
      </w:r>
      <w:r w:rsidRPr="000F7087">
        <w:rPr>
          <w:rFonts w:eastAsiaTheme="minorEastAsia"/>
          <w:sz w:val="20"/>
          <w:szCs w:val="20"/>
          <w:vertAlign w:val="subscript"/>
        </w:rPr>
        <w:t>carb</w:t>
      </w:r>
      <w:r w:rsidRPr="000F7087">
        <w:rPr>
          <w:rFonts w:eastAsiaTheme="minorEastAsia"/>
          <w:sz w:val="20"/>
          <w:szCs w:val="20"/>
        </w:rPr>
        <w:t xml:space="preserve">,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0F7087">
        <w:rPr>
          <w:rFonts w:eastAsiaTheme="minorEastAsia"/>
          <w:sz w:val="20"/>
          <w:szCs w:val="20"/>
          <w:vertAlign w:val="superscript"/>
        </w:rPr>
        <w:t>18</w:t>
      </w:r>
      <w:r w:rsidRPr="000F7087">
        <w:rPr>
          <w:rFonts w:eastAsiaTheme="minorEastAsia"/>
          <w:sz w:val="20"/>
          <w:szCs w:val="20"/>
        </w:rPr>
        <w:t>O</w:t>
      </w:r>
      <w:r w:rsidRPr="000F7087">
        <w:rPr>
          <w:rFonts w:eastAsiaTheme="minorEastAsia"/>
          <w:sz w:val="20"/>
          <w:szCs w:val="20"/>
          <w:vertAlign w:val="subscript"/>
        </w:rPr>
        <w:t>carb</w:t>
      </w:r>
      <w:r w:rsidRPr="000F7087">
        <w:rPr>
          <w:rFonts w:eastAsiaTheme="minorEastAsia"/>
          <w:sz w:val="20"/>
          <w:szCs w:val="20"/>
        </w:rPr>
        <w:t>) were determined at the IDYST-UNIL laboratories. Bulk paleosol samples containing &gt;10 wt.% CaCO</w:t>
      </w:r>
      <w:r w:rsidRPr="000F7087">
        <w:rPr>
          <w:rFonts w:eastAsiaTheme="minorEastAsia"/>
          <w:sz w:val="20"/>
          <w:szCs w:val="20"/>
          <w:vertAlign w:val="subscript"/>
        </w:rPr>
        <w:t>3</w:t>
      </w:r>
      <w:r w:rsidRPr="000F7087">
        <w:rPr>
          <w:rFonts w:eastAsiaTheme="minorEastAsia"/>
          <w:sz w:val="20"/>
          <w:szCs w:val="20"/>
        </w:rPr>
        <w:t xml:space="preserve">, including carbonate samples, were analysed using a </w:t>
      </w:r>
      <w:proofErr w:type="spellStart"/>
      <w:r w:rsidRPr="000F7087">
        <w:rPr>
          <w:rFonts w:eastAsiaTheme="minorEastAsia"/>
          <w:sz w:val="20"/>
          <w:szCs w:val="20"/>
        </w:rPr>
        <w:t>Thermo</w:t>
      </w:r>
      <w:proofErr w:type="spellEnd"/>
      <w:r w:rsidRPr="000F7087">
        <w:rPr>
          <w:rFonts w:eastAsiaTheme="minorEastAsia"/>
          <w:sz w:val="20"/>
          <w:szCs w:val="20"/>
        </w:rPr>
        <w:t xml:space="preserve"> Fisher Scientific Gas Bench II carbonate preparation device connected to a Delta V Plus isotope ratio mass spectrometer according to a method adapted after </w:t>
      </w:r>
      <w:proofErr w:type="spellStart"/>
      <w:r w:rsidRPr="000F7087">
        <w:rPr>
          <w:rFonts w:eastAsiaTheme="minorEastAsia"/>
          <w:color w:val="4472C4" w:themeColor="accent1"/>
          <w:sz w:val="20"/>
          <w:szCs w:val="20"/>
        </w:rPr>
        <w:t>Spötl</w:t>
      </w:r>
      <w:proofErr w:type="spellEnd"/>
      <w:r w:rsidRPr="000F7087">
        <w:rPr>
          <w:rFonts w:eastAsiaTheme="minorEastAsia"/>
          <w:color w:val="4472C4" w:themeColor="accent1"/>
          <w:sz w:val="20"/>
          <w:szCs w:val="20"/>
        </w:rPr>
        <w:t xml:space="preserve"> and Vennemann (2003)</w:t>
      </w:r>
      <w:r w:rsidRPr="000F7087">
        <w:rPr>
          <w:rFonts w:eastAsiaTheme="minorEastAsia"/>
          <w:sz w:val="20"/>
          <w:szCs w:val="20"/>
        </w:rPr>
        <w:t>. CO</w:t>
      </w:r>
      <w:r w:rsidRPr="000F7087">
        <w:rPr>
          <w:rFonts w:eastAsiaTheme="minorEastAsia"/>
          <w:sz w:val="20"/>
          <w:szCs w:val="20"/>
          <w:vertAlign w:val="subscript"/>
        </w:rPr>
        <w:t>2</w:t>
      </w:r>
      <w:r w:rsidRPr="000F7087">
        <w:rPr>
          <w:rFonts w:eastAsiaTheme="minorEastAsia"/>
          <w:sz w:val="20"/>
          <w:szCs w:val="20"/>
        </w:rPr>
        <w:t xml:space="preserve"> gas was produced by reaction with 99 % orthophosphoric acid at 70 °C. </w:t>
      </w:r>
      <w:r w:rsidRPr="000F7087">
        <w:rPr>
          <w:sz w:val="20"/>
          <w:szCs w:val="20"/>
        </w:rPr>
        <w:t xml:space="preserve">The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0F7087">
        <w:rPr>
          <w:rFonts w:eastAsiaTheme="minorEastAsia"/>
          <w:sz w:val="20"/>
          <w:szCs w:val="20"/>
          <w:vertAlign w:val="superscript"/>
        </w:rPr>
        <w:t>13</w:t>
      </w:r>
      <w:r w:rsidRPr="000F7087">
        <w:rPr>
          <w:rFonts w:eastAsiaTheme="minorEastAsia"/>
          <w:sz w:val="20"/>
          <w:szCs w:val="20"/>
        </w:rPr>
        <w:t>C</w:t>
      </w:r>
      <w:r w:rsidRPr="000F7087">
        <w:rPr>
          <w:rFonts w:eastAsiaTheme="minorEastAsia"/>
          <w:sz w:val="20"/>
          <w:szCs w:val="20"/>
          <w:vertAlign w:val="subscript"/>
        </w:rPr>
        <w:t>carb</w:t>
      </w:r>
      <w:r w:rsidRPr="000F7087">
        <w:rPr>
          <w:rFonts w:eastAsiaTheme="minorEastAsia"/>
          <w:sz w:val="20"/>
          <w:szCs w:val="20"/>
        </w:rPr>
        <w:t xml:space="preserve"> and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0F7087">
        <w:rPr>
          <w:rFonts w:eastAsiaTheme="minorEastAsia"/>
          <w:sz w:val="20"/>
          <w:szCs w:val="20"/>
          <w:vertAlign w:val="superscript"/>
        </w:rPr>
        <w:t>18</w:t>
      </w:r>
      <w:r w:rsidRPr="000F7087">
        <w:rPr>
          <w:rFonts w:eastAsiaTheme="minorEastAsia"/>
          <w:sz w:val="20"/>
          <w:szCs w:val="20"/>
        </w:rPr>
        <w:t>O</w:t>
      </w:r>
      <w:r w:rsidRPr="000F7087">
        <w:rPr>
          <w:rFonts w:eastAsiaTheme="minorEastAsia"/>
          <w:sz w:val="20"/>
          <w:szCs w:val="20"/>
          <w:vertAlign w:val="subscript"/>
        </w:rPr>
        <w:t>carb</w:t>
      </w:r>
      <w:r w:rsidRPr="000F7087">
        <w:rPr>
          <w:sz w:val="20"/>
          <w:szCs w:val="20"/>
        </w:rPr>
        <w:t xml:space="preserve"> values are reported in</w:t>
      </w:r>
      <w:r w:rsidRPr="000F7087">
        <w:rPr>
          <w:rFonts w:eastAsiaTheme="minorEastAsia"/>
          <w:sz w:val="20"/>
          <w:szCs w:val="20"/>
        </w:rPr>
        <w:t xml:space="preserve"> ‰</w:t>
      </w:r>
      <w:r w:rsidRPr="000F7087">
        <w:rPr>
          <w:sz w:val="20"/>
          <w:szCs w:val="20"/>
        </w:rPr>
        <w:t xml:space="preserve"> vs. VPDB. Replicate measurements of the international calcite standard NBS 19 </w:t>
      </w:r>
      <w:r w:rsidRPr="000F7087">
        <w:rPr>
          <w:noProof/>
          <w:sz w:val="20"/>
          <w:szCs w:val="20"/>
        </w:rPr>
        <w:t xml:space="preserve">(limestone, </w:t>
      </w:r>
      <w:r w:rsidRPr="000F7087">
        <w:rPr>
          <w:rFonts w:eastAsia="Cambria"/>
          <w:i/>
          <w:iCs/>
          <w:color w:val="131413"/>
          <w:sz w:val="20"/>
          <w:szCs w:val="20"/>
        </w:rPr>
        <w:t>δ</w:t>
      </w:r>
      <w:r w:rsidRPr="000F7087">
        <w:rPr>
          <w:noProof/>
          <w:sz w:val="20"/>
          <w:szCs w:val="20"/>
          <w:vertAlign w:val="superscript"/>
        </w:rPr>
        <w:t>13</w:t>
      </w:r>
      <w:r w:rsidRPr="000F7087">
        <w:rPr>
          <w:noProof/>
          <w:sz w:val="20"/>
          <w:szCs w:val="20"/>
        </w:rPr>
        <w:t xml:space="preserve">C = +1.95 </w:t>
      </w:r>
      <w:r w:rsidRPr="000F7087">
        <w:rPr>
          <w:sz w:val="20"/>
          <w:szCs w:val="20"/>
        </w:rPr>
        <w:t xml:space="preserve">‰, </w:t>
      </w:r>
      <w:r w:rsidRPr="000F7087">
        <w:rPr>
          <w:rFonts w:eastAsia="Cambria"/>
          <w:i/>
          <w:iCs/>
          <w:color w:val="131413"/>
          <w:sz w:val="20"/>
          <w:szCs w:val="20"/>
        </w:rPr>
        <w:t>δ</w:t>
      </w:r>
      <w:r w:rsidRPr="000F7087">
        <w:rPr>
          <w:noProof/>
          <w:sz w:val="20"/>
          <w:szCs w:val="20"/>
          <w:vertAlign w:val="superscript"/>
        </w:rPr>
        <w:t>18</w:t>
      </w:r>
      <w:r w:rsidRPr="000F7087">
        <w:rPr>
          <w:noProof/>
          <w:sz w:val="20"/>
          <w:szCs w:val="20"/>
        </w:rPr>
        <w:t xml:space="preserve">O = –2.19 </w:t>
      </w:r>
      <w:r w:rsidRPr="000F7087">
        <w:rPr>
          <w:sz w:val="20"/>
          <w:szCs w:val="20"/>
        </w:rPr>
        <w:t>‰</w:t>
      </w:r>
      <w:r w:rsidRPr="000F7087">
        <w:rPr>
          <w:noProof/>
          <w:sz w:val="20"/>
          <w:szCs w:val="20"/>
        </w:rPr>
        <w:t xml:space="preserve">) </w:t>
      </w:r>
      <w:r w:rsidRPr="000F7087">
        <w:rPr>
          <w:sz w:val="20"/>
          <w:szCs w:val="20"/>
        </w:rPr>
        <w:t xml:space="preserve">and an in-house standard (Carrara marble, </w:t>
      </w:r>
      <w:r w:rsidRPr="000F7087">
        <w:rPr>
          <w:rFonts w:eastAsia="Cambria"/>
          <w:i/>
          <w:iCs/>
          <w:color w:val="131413"/>
          <w:sz w:val="20"/>
          <w:szCs w:val="20"/>
        </w:rPr>
        <w:t>δ</w:t>
      </w:r>
      <w:r w:rsidRPr="000F7087">
        <w:rPr>
          <w:noProof/>
          <w:sz w:val="20"/>
          <w:szCs w:val="20"/>
          <w:vertAlign w:val="superscript"/>
        </w:rPr>
        <w:t>13</w:t>
      </w:r>
      <w:r w:rsidRPr="000F7087">
        <w:rPr>
          <w:noProof/>
          <w:sz w:val="20"/>
          <w:szCs w:val="20"/>
        </w:rPr>
        <w:t xml:space="preserve">C = +2.05 </w:t>
      </w:r>
      <w:r w:rsidRPr="000F7087">
        <w:rPr>
          <w:sz w:val="20"/>
          <w:szCs w:val="20"/>
        </w:rPr>
        <w:t xml:space="preserve">‰, </w:t>
      </w:r>
      <w:r w:rsidRPr="000F7087">
        <w:rPr>
          <w:rFonts w:eastAsia="Cambria"/>
          <w:i/>
          <w:iCs/>
          <w:color w:val="131413"/>
          <w:sz w:val="20"/>
          <w:szCs w:val="20"/>
        </w:rPr>
        <w:t>δ</w:t>
      </w:r>
      <w:r w:rsidRPr="000F7087">
        <w:rPr>
          <w:noProof/>
          <w:sz w:val="20"/>
          <w:szCs w:val="20"/>
          <w:vertAlign w:val="superscript"/>
        </w:rPr>
        <w:t>18</w:t>
      </w:r>
      <w:r w:rsidRPr="000F7087">
        <w:rPr>
          <w:noProof/>
          <w:sz w:val="20"/>
          <w:szCs w:val="20"/>
        </w:rPr>
        <w:t xml:space="preserve">O = –1.7 </w:t>
      </w:r>
      <w:r w:rsidRPr="000F7087">
        <w:rPr>
          <w:sz w:val="20"/>
          <w:szCs w:val="20"/>
        </w:rPr>
        <w:t xml:space="preserve">‰) yielded an analytical precision of ± 0.05 ‰ for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0F7087">
        <w:rPr>
          <w:rFonts w:eastAsiaTheme="minorEastAsia"/>
          <w:sz w:val="20"/>
          <w:szCs w:val="20"/>
          <w:vertAlign w:val="superscript"/>
        </w:rPr>
        <w:t>13</w:t>
      </w:r>
      <w:r w:rsidRPr="000F7087">
        <w:rPr>
          <w:rFonts w:eastAsiaTheme="minorEastAsia"/>
          <w:sz w:val="20"/>
          <w:szCs w:val="20"/>
        </w:rPr>
        <w:t>C</w:t>
      </w:r>
      <w:r w:rsidRPr="000F7087">
        <w:rPr>
          <w:rFonts w:eastAsiaTheme="minorEastAsia"/>
          <w:sz w:val="20"/>
          <w:szCs w:val="20"/>
          <w:vertAlign w:val="subscript"/>
        </w:rPr>
        <w:t>carb</w:t>
      </w:r>
      <w:r w:rsidRPr="000F7087">
        <w:rPr>
          <w:rFonts w:eastAsiaTheme="minorEastAsia"/>
          <w:sz w:val="20"/>
          <w:szCs w:val="20"/>
        </w:rPr>
        <w:t xml:space="preserve"> and </w:t>
      </w:r>
      <w:r w:rsidRPr="000F7087">
        <w:rPr>
          <w:sz w:val="20"/>
          <w:szCs w:val="20"/>
        </w:rPr>
        <w:t xml:space="preserve">± 0.1 ‰ for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0F7087">
        <w:rPr>
          <w:rFonts w:eastAsiaTheme="minorEastAsia"/>
          <w:sz w:val="20"/>
          <w:szCs w:val="20"/>
          <w:vertAlign w:val="superscript"/>
        </w:rPr>
        <w:t>18</w:t>
      </w:r>
      <w:r w:rsidRPr="000F7087">
        <w:rPr>
          <w:rFonts w:eastAsiaTheme="minorEastAsia"/>
          <w:sz w:val="20"/>
          <w:szCs w:val="20"/>
        </w:rPr>
        <w:t>O</w:t>
      </w:r>
      <w:r w:rsidRPr="000F7087">
        <w:rPr>
          <w:rFonts w:eastAsiaTheme="minorEastAsia"/>
          <w:sz w:val="20"/>
          <w:szCs w:val="20"/>
          <w:vertAlign w:val="subscript"/>
        </w:rPr>
        <w:t>carb</w:t>
      </w:r>
      <w:r w:rsidRPr="000F7087">
        <w:rPr>
          <w:rFonts w:eastAsiaTheme="minorEastAsia"/>
          <w:sz w:val="20"/>
          <w:szCs w:val="20"/>
        </w:rPr>
        <w:t>.</w:t>
      </w:r>
    </w:p>
    <w:p w14:paraId="59A2D0ED" w14:textId="77777777" w:rsidR="007321BE" w:rsidRPr="000F7087" w:rsidRDefault="007321BE" w:rsidP="00215613">
      <w:pPr>
        <w:spacing w:line="480" w:lineRule="auto"/>
        <w:rPr>
          <w:b/>
          <w:bCs/>
          <w:sz w:val="20"/>
          <w:szCs w:val="20"/>
        </w:rPr>
      </w:pPr>
    </w:p>
    <w:p w14:paraId="46329F3C" w14:textId="11AA3946" w:rsidR="00215613" w:rsidRPr="000F7087" w:rsidRDefault="00C54BE1" w:rsidP="00215613">
      <w:pPr>
        <w:spacing w:line="48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1.5 </w:t>
      </w:r>
      <w:r w:rsidR="00215613" w:rsidRPr="000F7087">
        <w:rPr>
          <w:b/>
          <w:bCs/>
          <w:sz w:val="20"/>
          <w:szCs w:val="20"/>
        </w:rPr>
        <w:t xml:space="preserve">Major elements </w:t>
      </w:r>
    </w:p>
    <w:p w14:paraId="1F139A6A" w14:textId="77777777" w:rsidR="00215613" w:rsidRPr="000F7087" w:rsidRDefault="00215613" w:rsidP="00215613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</w:rPr>
        <w:t>SiO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, Al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</w:t>
      </w:r>
      <w:r w:rsidRPr="000F7087">
        <w:rPr>
          <w:sz w:val="20"/>
          <w:szCs w:val="20"/>
          <w:vertAlign w:val="subscript"/>
        </w:rPr>
        <w:t>3</w:t>
      </w:r>
      <w:r w:rsidRPr="000F7087">
        <w:rPr>
          <w:sz w:val="20"/>
          <w:szCs w:val="20"/>
        </w:rPr>
        <w:t>, Fe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</w:t>
      </w:r>
      <w:r w:rsidRPr="000F7087">
        <w:rPr>
          <w:sz w:val="20"/>
          <w:szCs w:val="20"/>
          <w:vertAlign w:val="subscript"/>
        </w:rPr>
        <w:t>3</w:t>
      </w:r>
      <w:r w:rsidRPr="000F7087">
        <w:rPr>
          <w:sz w:val="20"/>
          <w:szCs w:val="20"/>
        </w:rPr>
        <w:t xml:space="preserve">, </w:t>
      </w:r>
      <w:proofErr w:type="spellStart"/>
      <w:r w:rsidRPr="000F7087">
        <w:rPr>
          <w:sz w:val="20"/>
          <w:szCs w:val="20"/>
        </w:rPr>
        <w:t>MnO</w:t>
      </w:r>
      <w:proofErr w:type="spellEnd"/>
      <w:r w:rsidRPr="000F7087">
        <w:rPr>
          <w:sz w:val="20"/>
          <w:szCs w:val="20"/>
        </w:rPr>
        <w:t>, MgO, CaO, Na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O, K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O, P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</w:t>
      </w:r>
      <w:r w:rsidRPr="000F7087">
        <w:rPr>
          <w:sz w:val="20"/>
          <w:szCs w:val="20"/>
          <w:vertAlign w:val="subscript"/>
        </w:rPr>
        <w:t>5</w:t>
      </w:r>
      <w:r w:rsidRPr="000F7087">
        <w:rPr>
          <w:sz w:val="20"/>
          <w:szCs w:val="20"/>
        </w:rPr>
        <w:t>, Cr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</w:t>
      </w:r>
      <w:r w:rsidRPr="000F7087">
        <w:rPr>
          <w:sz w:val="20"/>
          <w:szCs w:val="20"/>
          <w:vertAlign w:val="subscript"/>
        </w:rPr>
        <w:t>3</w:t>
      </w:r>
      <w:r w:rsidRPr="000F7087">
        <w:rPr>
          <w:sz w:val="20"/>
          <w:szCs w:val="20"/>
        </w:rPr>
        <w:t xml:space="preserve">, </w:t>
      </w:r>
      <w:proofErr w:type="spellStart"/>
      <w:r w:rsidRPr="000F7087">
        <w:rPr>
          <w:sz w:val="20"/>
          <w:szCs w:val="20"/>
        </w:rPr>
        <w:t>NiO</w:t>
      </w:r>
      <w:proofErr w:type="spellEnd"/>
      <w:r w:rsidRPr="000F7087">
        <w:rPr>
          <w:sz w:val="20"/>
          <w:szCs w:val="20"/>
        </w:rPr>
        <w:t xml:space="preserve">, and loss on ignition (LOI), were measured in the powdered bulk paleosol samples by X-ray fluorescence (XRF; Phillips PANalytical PW2400 spectrometer) at the Institute of Earth Sciences of the University of Lausanne (ISTE-UNIL).  The analyses were performed on fused glass discs prepared with 1.2000 ± 0.0005 g ignited sample powder and 6.0000 ± 0.0005 g of lithium </w:t>
      </w:r>
      <w:r w:rsidRPr="000F7087">
        <w:rPr>
          <w:sz w:val="20"/>
          <w:szCs w:val="20"/>
        </w:rPr>
        <w:lastRenderedPageBreak/>
        <w:t>tetraborate (Li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B</w:t>
      </w:r>
      <w:r w:rsidRPr="000F7087">
        <w:rPr>
          <w:sz w:val="20"/>
          <w:szCs w:val="20"/>
          <w:vertAlign w:val="subscript"/>
        </w:rPr>
        <w:t>4</w:t>
      </w:r>
      <w:r w:rsidRPr="000F7087">
        <w:rPr>
          <w:sz w:val="20"/>
          <w:szCs w:val="20"/>
        </w:rPr>
        <w:t>O</w:t>
      </w:r>
      <w:r w:rsidRPr="000F7087">
        <w:rPr>
          <w:sz w:val="20"/>
          <w:szCs w:val="20"/>
          <w:vertAlign w:val="subscript"/>
        </w:rPr>
        <w:t>7</w:t>
      </w:r>
      <w:r w:rsidRPr="000F7087">
        <w:rPr>
          <w:sz w:val="20"/>
          <w:szCs w:val="20"/>
        </w:rPr>
        <w:t xml:space="preserve">). The concentrations of the major elements were expressed as wt.% oxides. The analytical precision (1 </w:t>
      </w:r>
      <w:r w:rsidRPr="000F7087">
        <w:rPr>
          <w:i/>
          <w:iCs/>
          <w:sz w:val="20"/>
          <w:szCs w:val="20"/>
        </w:rPr>
        <w:t>σ</w:t>
      </w:r>
      <w:r w:rsidRPr="000F7087">
        <w:rPr>
          <w:sz w:val="20"/>
          <w:szCs w:val="20"/>
        </w:rPr>
        <w:t xml:space="preserve">) assessed by replicate </w:t>
      </w:r>
      <w:proofErr w:type="spellStart"/>
      <w:r w:rsidRPr="000F7087">
        <w:rPr>
          <w:sz w:val="20"/>
          <w:szCs w:val="20"/>
        </w:rPr>
        <w:t>analyzed</w:t>
      </w:r>
      <w:proofErr w:type="spellEnd"/>
      <w:r w:rsidRPr="000F7087">
        <w:rPr>
          <w:sz w:val="20"/>
          <w:szCs w:val="20"/>
        </w:rPr>
        <w:t xml:space="preserve"> of international reference materials is 0.4 %.</w:t>
      </w:r>
    </w:p>
    <w:p w14:paraId="2A27E6C2" w14:textId="77777777" w:rsidR="007321BE" w:rsidRPr="000F7087" w:rsidRDefault="007321BE" w:rsidP="007321BE">
      <w:pPr>
        <w:spacing w:line="480" w:lineRule="auto"/>
        <w:rPr>
          <w:b/>
          <w:bCs/>
          <w:sz w:val="20"/>
          <w:szCs w:val="20"/>
        </w:rPr>
      </w:pPr>
    </w:p>
    <w:p w14:paraId="38A4B502" w14:textId="739D8C5B" w:rsidR="007321BE" w:rsidRPr="000F7087" w:rsidRDefault="00C54BE1" w:rsidP="007321BE">
      <w:pPr>
        <w:spacing w:line="48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1.6 </w:t>
      </w:r>
      <w:r w:rsidR="007321BE" w:rsidRPr="000F7087">
        <w:rPr>
          <w:b/>
          <w:bCs/>
          <w:sz w:val="20"/>
          <w:szCs w:val="20"/>
        </w:rPr>
        <w:t>Weathering indices</w:t>
      </w:r>
    </w:p>
    <w:p w14:paraId="21C0D3C9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</w:rPr>
        <w:t xml:space="preserve">The chemical index of alteration (CIA in %; Eq. 1), proposed by </w:t>
      </w:r>
      <w:r w:rsidRPr="000F7087">
        <w:rPr>
          <w:color w:val="4472C4" w:themeColor="accent1"/>
          <w:sz w:val="20"/>
          <w:szCs w:val="20"/>
        </w:rPr>
        <w:t>Nesbitt and Young (1982)</w:t>
      </w:r>
      <w:r w:rsidRPr="000F7087">
        <w:rPr>
          <w:color w:val="000000" w:themeColor="text1"/>
          <w:sz w:val="20"/>
          <w:szCs w:val="20"/>
        </w:rPr>
        <w:t xml:space="preserve">, </w:t>
      </w:r>
      <w:r w:rsidRPr="000F7087">
        <w:rPr>
          <w:sz w:val="20"/>
          <w:szCs w:val="20"/>
        </w:rPr>
        <w:t>was used to quantify the degree of weathering by using the molar ratio of immobile Al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</w:t>
      </w:r>
      <w:r w:rsidRPr="000F7087">
        <w:rPr>
          <w:sz w:val="20"/>
          <w:szCs w:val="20"/>
          <w:vertAlign w:val="subscript"/>
        </w:rPr>
        <w:t>3</w:t>
      </w:r>
      <w:r w:rsidRPr="000F7087">
        <w:rPr>
          <w:sz w:val="20"/>
          <w:szCs w:val="20"/>
        </w:rPr>
        <w:t xml:space="preserve"> and the mobile oxides CaO, Na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O, and K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 in the silicate fraction [</w:t>
      </w:r>
      <w:r w:rsidRPr="000F7087">
        <w:rPr>
          <w:sz w:val="20"/>
          <w:szCs w:val="20"/>
          <w:lang w:val="en-US"/>
        </w:rPr>
        <w:t xml:space="preserve">e.g., </w:t>
      </w:r>
      <w:r w:rsidRPr="000F7087">
        <w:rPr>
          <w:color w:val="4472C4" w:themeColor="accent1"/>
          <w:sz w:val="20"/>
          <w:szCs w:val="20"/>
        </w:rPr>
        <w:t>Deng et al., 2022</w:t>
      </w:r>
      <w:r w:rsidRPr="000F7087">
        <w:rPr>
          <w:sz w:val="20"/>
          <w:szCs w:val="20"/>
        </w:rPr>
        <w:t>]. The CIA is</w:t>
      </w:r>
      <w:r w:rsidRPr="000F7087">
        <w:rPr>
          <w:sz w:val="20"/>
          <w:szCs w:val="20"/>
          <w:lang w:val="en-US"/>
        </w:rPr>
        <w:t xml:space="preserve"> </w:t>
      </w:r>
      <w:r w:rsidRPr="000F7087">
        <w:rPr>
          <w:sz w:val="20"/>
          <w:szCs w:val="20"/>
        </w:rPr>
        <w:t xml:space="preserve">commonly used to </w:t>
      </w:r>
      <w:r w:rsidRPr="000F7087">
        <w:rPr>
          <w:sz w:val="20"/>
          <w:szCs w:val="20"/>
          <w:lang w:val="en-US"/>
        </w:rPr>
        <w:t xml:space="preserve">estimate the intensity of alteration and </w:t>
      </w:r>
      <w:r w:rsidRPr="000F7087">
        <w:rPr>
          <w:sz w:val="20"/>
          <w:szCs w:val="20"/>
        </w:rPr>
        <w:t xml:space="preserve">test for environmental factors (e.g., temperature, precipitation, elevation, slope) affecting silicate weathering. </w:t>
      </w:r>
    </w:p>
    <w:p w14:paraId="7D89997C" w14:textId="77777777" w:rsidR="007321BE" w:rsidRPr="000F7087" w:rsidRDefault="00000000" w:rsidP="007321BE">
      <w:pPr>
        <w:spacing w:line="480" w:lineRule="auto"/>
        <w:jc w:val="both"/>
        <w:rPr>
          <w:sz w:val="20"/>
          <w:szCs w:val="20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eqArrPr>
            <m:e>
              <m:r>
                <w:rPr>
                  <w:rFonts w:ascii="Cambria Math" w:hAnsi="Cambria Math"/>
                  <w:sz w:val="20"/>
                  <w:szCs w:val="20"/>
                </w:rPr>
                <m:t>CIA=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+N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O+Ca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O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×</m:t>
              </m:r>
              <m:r>
                <w:rPr>
                  <w:rFonts w:ascii="Cambria Math" w:hAnsi="Cambria Math"/>
                  <w:sz w:val="20"/>
                  <w:szCs w:val="20"/>
                </w:rPr>
                <m:t>100#(1)</m:t>
              </m:r>
            </m:e>
          </m:eqArr>
        </m:oMath>
      </m:oMathPara>
    </w:p>
    <w:p w14:paraId="22D23797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</w:rPr>
        <w:t>,</w:t>
      </w:r>
      <w:r w:rsidRPr="000F7087">
        <w:rPr>
          <w:sz w:val="20"/>
          <w:szCs w:val="20"/>
          <w:lang w:val="en-US"/>
        </w:rPr>
        <w:t xml:space="preserve"> </w:t>
      </w:r>
      <w:r w:rsidRPr="000F7087">
        <w:rPr>
          <w:sz w:val="20"/>
          <w:szCs w:val="20"/>
        </w:rPr>
        <w:t>where CaO* is the CaO incorporated in the silicate fraction and is calculated as:</w:t>
      </w:r>
    </w:p>
    <w:p w14:paraId="75AB53F9" w14:textId="77777777" w:rsidR="007321BE" w:rsidRPr="000F7087" w:rsidRDefault="00000000" w:rsidP="007321BE">
      <w:pPr>
        <w:spacing w:line="480" w:lineRule="auto"/>
        <w:jc w:val="both"/>
        <w:rPr>
          <w:sz w:val="20"/>
          <w:szCs w:val="20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eqArrPr>
            <m:e>
              <m:r>
                <w:rPr>
                  <w:rFonts w:ascii="Cambria Math" w:hAnsi="Cambria Math"/>
                  <w:sz w:val="20"/>
                  <w:szCs w:val="20"/>
                </w:rPr>
                <m:t>Ca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O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*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=CaO-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10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/</m:t>
                      </m:r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P</m:t>
                      </m: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5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#(2)</m:t>
              </m:r>
            </m:e>
          </m:eqArr>
        </m:oMath>
      </m:oMathPara>
    </w:p>
    <w:p w14:paraId="48C17988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  <w:lang w:val="en-US"/>
        </w:rPr>
      </w:pPr>
      <w:r w:rsidRPr="000F7087">
        <w:rPr>
          <w:sz w:val="20"/>
          <w:szCs w:val="20"/>
          <w:lang w:val="en-US"/>
        </w:rPr>
        <w:t xml:space="preserve">Intense weathering removes mobile oxides, concentrating </w:t>
      </w:r>
      <w:r w:rsidRPr="000F7087">
        <w:rPr>
          <w:sz w:val="20"/>
          <w:szCs w:val="20"/>
        </w:rPr>
        <w:t>Al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>O</w:t>
      </w:r>
      <w:r w:rsidRPr="000F7087">
        <w:rPr>
          <w:sz w:val="20"/>
          <w:szCs w:val="20"/>
          <w:vertAlign w:val="subscript"/>
        </w:rPr>
        <w:t>3</w:t>
      </w:r>
      <w:r w:rsidRPr="000F7087">
        <w:rPr>
          <w:sz w:val="20"/>
          <w:szCs w:val="20"/>
          <w:vertAlign w:val="subscript"/>
          <w:lang w:val="en-US"/>
        </w:rPr>
        <w:t xml:space="preserve"> </w:t>
      </w:r>
      <w:r w:rsidRPr="000F7087">
        <w:rPr>
          <w:sz w:val="20"/>
          <w:szCs w:val="20"/>
          <w:lang w:val="en-US"/>
        </w:rPr>
        <w:t>to a maximum value of almost 100 wt.%; whereas weak weathering would give lower CIA values (&lt;50%) because of dominance of mobile oxides.</w:t>
      </w:r>
    </w:p>
    <w:p w14:paraId="41603CD5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  <w:lang w:val="en-US"/>
        </w:rPr>
        <w:t>For comparison, we used the</w:t>
      </w:r>
      <w:r w:rsidRPr="000F7087">
        <w:rPr>
          <w:sz w:val="20"/>
          <w:szCs w:val="20"/>
        </w:rPr>
        <w:t xml:space="preserve"> chemical index of weathering (CIW</w:t>
      </w:r>
      <w:r w:rsidRPr="000F7087">
        <w:rPr>
          <w:sz w:val="20"/>
          <w:szCs w:val="20"/>
          <w:lang w:val="en-US"/>
        </w:rPr>
        <w:t xml:space="preserve"> in %</w:t>
      </w:r>
      <w:r w:rsidRPr="000F7087">
        <w:rPr>
          <w:sz w:val="20"/>
          <w:szCs w:val="20"/>
        </w:rPr>
        <w:t xml:space="preserve">; Eq. 3) proposed by </w:t>
      </w:r>
      <w:r w:rsidRPr="000F7087">
        <w:rPr>
          <w:color w:val="4472C4" w:themeColor="accent1"/>
          <w:sz w:val="20"/>
          <w:szCs w:val="20"/>
        </w:rPr>
        <w:t>Harnois, (1988)</w:t>
      </w:r>
      <w:r w:rsidRPr="000F7087">
        <w:rPr>
          <w:color w:val="000000" w:themeColor="text1"/>
          <w:sz w:val="20"/>
          <w:szCs w:val="20"/>
        </w:rPr>
        <w:t>,</w:t>
      </w:r>
      <w:r w:rsidRPr="000F7087">
        <w:rPr>
          <w:sz w:val="20"/>
          <w:szCs w:val="20"/>
        </w:rPr>
        <w:t xml:space="preserve"> </w:t>
      </w:r>
      <w:r w:rsidRPr="000F7087">
        <w:rPr>
          <w:sz w:val="20"/>
          <w:szCs w:val="20"/>
          <w:lang w:val="en-US"/>
        </w:rPr>
        <w:t>which</w:t>
      </w:r>
      <w:r w:rsidRPr="000F7087">
        <w:rPr>
          <w:sz w:val="20"/>
          <w:szCs w:val="20"/>
        </w:rPr>
        <w:t xml:space="preserve"> is a modified version of the CIA to </w:t>
      </w:r>
      <w:r w:rsidRPr="000F7087">
        <w:rPr>
          <w:sz w:val="20"/>
          <w:szCs w:val="20"/>
          <w:lang w:val="en-US"/>
        </w:rPr>
        <w:t>account for</w:t>
      </w:r>
      <w:r w:rsidRPr="000F7087">
        <w:rPr>
          <w:sz w:val="20"/>
          <w:szCs w:val="20"/>
        </w:rPr>
        <w:t xml:space="preserve"> potassium metasomatism in paleosols during weathering [</w:t>
      </w:r>
      <w:r w:rsidRPr="000F7087">
        <w:rPr>
          <w:color w:val="4472C4" w:themeColor="accent1"/>
          <w:sz w:val="20"/>
          <w:szCs w:val="20"/>
        </w:rPr>
        <w:t>Stein et al., 2021</w:t>
      </w:r>
      <w:r w:rsidRPr="000F7087">
        <w:rPr>
          <w:sz w:val="20"/>
          <w:szCs w:val="20"/>
        </w:rPr>
        <w:t>].</w:t>
      </w:r>
    </w:p>
    <w:p w14:paraId="240A9CD5" w14:textId="77777777" w:rsidR="007321BE" w:rsidRPr="000F7087" w:rsidRDefault="00000000" w:rsidP="007321BE">
      <w:pPr>
        <w:spacing w:line="480" w:lineRule="auto"/>
        <w:jc w:val="both"/>
        <w:rPr>
          <w:sz w:val="20"/>
          <w:szCs w:val="20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eqArrPr>
            <m:e>
              <m:r>
                <w:rPr>
                  <w:rFonts w:ascii="Cambria Math" w:hAnsi="Cambria Math"/>
                  <w:sz w:val="20"/>
                  <w:szCs w:val="20"/>
                </w:rPr>
                <m:t>CIW=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+N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O+Ca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*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×</m:t>
              </m:r>
              <m:r>
                <w:rPr>
                  <w:rFonts w:ascii="Cambria Math" w:hAnsi="Cambria Math"/>
                  <w:sz w:val="20"/>
                  <w:szCs w:val="20"/>
                </w:rPr>
                <m:t>100#(3)</m:t>
              </m:r>
            </m:e>
          </m:eqArr>
        </m:oMath>
      </m:oMathPara>
    </w:p>
    <w:p w14:paraId="462F6EF8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</w:rPr>
        <w:t>,</w:t>
      </w:r>
      <w:r w:rsidRPr="000F7087">
        <w:rPr>
          <w:sz w:val="20"/>
          <w:szCs w:val="20"/>
          <w:lang w:val="en-US"/>
        </w:rPr>
        <w:t xml:space="preserve"> </w:t>
      </w:r>
      <w:r w:rsidRPr="000F7087">
        <w:rPr>
          <w:sz w:val="20"/>
          <w:szCs w:val="20"/>
        </w:rPr>
        <w:t xml:space="preserve">where CaO* is the CaO incorporated in the silicate fraction (Eq. 2). </w:t>
      </w:r>
    </w:p>
    <w:p w14:paraId="07EE7B4F" w14:textId="77777777" w:rsidR="007321BE" w:rsidRPr="000F7087" w:rsidRDefault="007321BE" w:rsidP="007321BE">
      <w:pPr>
        <w:spacing w:line="480" w:lineRule="auto"/>
        <w:jc w:val="both"/>
        <w:rPr>
          <w:b/>
          <w:bCs/>
          <w:sz w:val="20"/>
          <w:szCs w:val="20"/>
        </w:rPr>
      </w:pPr>
    </w:p>
    <w:p w14:paraId="24C106E6" w14:textId="305AFE70" w:rsidR="007321BE" w:rsidRPr="000F7087" w:rsidRDefault="00C54BE1" w:rsidP="007321BE">
      <w:pPr>
        <w:spacing w:line="48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1.7 </w:t>
      </w:r>
      <w:r w:rsidR="007321BE" w:rsidRPr="000F7087">
        <w:rPr>
          <w:b/>
          <w:bCs/>
          <w:sz w:val="20"/>
          <w:szCs w:val="20"/>
        </w:rPr>
        <w:t>Mean annual precipitation</w:t>
      </w:r>
    </w:p>
    <w:p w14:paraId="1C326120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</w:rPr>
        <w:t>Mean annual precipitation (MAP) was estimated from the CIW (Eq. 4; standard error = ± 182 mm yr</w:t>
      </w:r>
      <w:r w:rsidRPr="000F7087">
        <w:rPr>
          <w:sz w:val="20"/>
          <w:szCs w:val="20"/>
          <w:vertAlign w:val="superscript"/>
        </w:rPr>
        <w:t>-1</w:t>
      </w:r>
      <w:r w:rsidRPr="000F7087">
        <w:rPr>
          <w:sz w:val="20"/>
          <w:szCs w:val="20"/>
        </w:rPr>
        <w:t xml:space="preserve">) using the equation proposed by </w:t>
      </w:r>
      <w:r w:rsidRPr="000F7087">
        <w:rPr>
          <w:color w:val="4472C4" w:themeColor="accent1"/>
          <w:sz w:val="20"/>
          <w:szCs w:val="20"/>
        </w:rPr>
        <w:t>Sheldon et al. (2002</w:t>
      </w:r>
      <w:r w:rsidRPr="000F7087">
        <w:rPr>
          <w:color w:val="4472C4" w:themeColor="accent1"/>
          <w:sz w:val="20"/>
          <w:szCs w:val="20"/>
          <w:lang w:val="en-US"/>
        </w:rPr>
        <w:t xml:space="preserve">) </w:t>
      </w:r>
      <w:r w:rsidRPr="000F7087">
        <w:rPr>
          <w:sz w:val="20"/>
          <w:szCs w:val="20"/>
          <w:lang w:val="en-US"/>
        </w:rPr>
        <w:t>as:</w:t>
      </w:r>
      <w:r w:rsidRPr="000F7087">
        <w:rPr>
          <w:sz w:val="20"/>
          <w:szCs w:val="20"/>
        </w:rPr>
        <w:t xml:space="preserve"> </w:t>
      </w:r>
    </w:p>
    <w:p w14:paraId="53C4CB9C" w14:textId="77777777" w:rsidR="007321BE" w:rsidRPr="000F7087" w:rsidRDefault="00000000" w:rsidP="007321BE">
      <w:pPr>
        <w:spacing w:line="480" w:lineRule="auto"/>
        <w:rPr>
          <w:rFonts w:eastAsiaTheme="minorHAnsi"/>
          <w:b/>
          <w:bCs/>
          <w:color w:val="000000" w:themeColor="text1"/>
          <w:sz w:val="20"/>
          <w:szCs w:val="20"/>
          <w:lang w:eastAsia="en-US"/>
        </w:rPr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eqArrPr>
            <m:e>
              <m:r>
                <w:rPr>
                  <w:rFonts w:ascii="Cambria Math" w:hAnsi="Cambria Math"/>
                  <w:sz w:val="20"/>
                  <w:szCs w:val="20"/>
                </w:rPr>
                <m:t>MAP=221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0.0197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CIW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#(4)</m:t>
              </m:r>
            </m:e>
          </m:eqArr>
        </m:oMath>
      </m:oMathPara>
    </w:p>
    <w:p w14:paraId="5E810EA7" w14:textId="77777777" w:rsidR="007321BE" w:rsidRPr="000F7087" w:rsidRDefault="007321BE" w:rsidP="00215613">
      <w:pPr>
        <w:spacing w:line="480" w:lineRule="auto"/>
        <w:jc w:val="both"/>
        <w:rPr>
          <w:b/>
          <w:bCs/>
          <w:sz w:val="20"/>
          <w:szCs w:val="20"/>
        </w:rPr>
      </w:pPr>
    </w:p>
    <w:p w14:paraId="2CABE90F" w14:textId="56799AEF" w:rsidR="00215613" w:rsidRPr="000F7087" w:rsidRDefault="00C54BE1" w:rsidP="00215613">
      <w:pPr>
        <w:spacing w:line="48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1.8 </w:t>
      </w:r>
      <w:r w:rsidR="00215613" w:rsidRPr="000F7087">
        <w:rPr>
          <w:b/>
          <w:bCs/>
          <w:sz w:val="20"/>
          <w:szCs w:val="20"/>
        </w:rPr>
        <w:t>Clumped (Δ</w:t>
      </w:r>
      <w:r w:rsidR="00215613" w:rsidRPr="000F7087">
        <w:rPr>
          <w:b/>
          <w:bCs/>
          <w:sz w:val="20"/>
          <w:szCs w:val="20"/>
          <w:vertAlign w:val="subscript"/>
        </w:rPr>
        <w:t>47</w:t>
      </w:r>
      <w:r w:rsidR="00215613" w:rsidRPr="000F7087">
        <w:rPr>
          <w:b/>
          <w:bCs/>
          <w:sz w:val="20"/>
          <w:szCs w:val="20"/>
        </w:rPr>
        <w:t xml:space="preserve">) isotopes </w:t>
      </w:r>
    </w:p>
    <w:p w14:paraId="5A18BB97" w14:textId="77777777" w:rsidR="00215613" w:rsidRPr="000F7087" w:rsidRDefault="00215613" w:rsidP="00215613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</w:rPr>
        <w:t xml:space="preserve">Clumped isotope compositions were measured </w:t>
      </w:r>
      <w:r w:rsidRPr="000F7087">
        <w:rPr>
          <w:rFonts w:eastAsiaTheme="minorEastAsia"/>
          <w:sz w:val="20"/>
          <w:szCs w:val="20"/>
        </w:rPr>
        <w:t>at the IDYST-UNIL laboratories</w:t>
      </w:r>
      <w:r w:rsidRPr="000F7087">
        <w:rPr>
          <w:sz w:val="20"/>
          <w:szCs w:val="20"/>
        </w:rPr>
        <w:t xml:space="preserve">, using a Nu Perspective dual-inlet mass spectrometer with an automated </w:t>
      </w:r>
      <w:proofErr w:type="spellStart"/>
      <w:r w:rsidRPr="000F7087">
        <w:rPr>
          <w:sz w:val="20"/>
          <w:szCs w:val="20"/>
        </w:rPr>
        <w:t>NuCarb</w:t>
      </w:r>
      <w:proofErr w:type="spellEnd"/>
      <w:r w:rsidRPr="000F7087">
        <w:rPr>
          <w:sz w:val="20"/>
          <w:szCs w:val="20"/>
        </w:rPr>
        <w:t xml:space="preserve"> sample preparation device. Carbonate digestion, CO</w:t>
      </w:r>
      <w:r w:rsidRPr="000F7087">
        <w:rPr>
          <w:sz w:val="20"/>
          <w:szCs w:val="20"/>
          <w:vertAlign w:val="subscript"/>
        </w:rPr>
        <w:t xml:space="preserve">2 </w:t>
      </w:r>
      <w:r w:rsidRPr="000F7087">
        <w:rPr>
          <w:sz w:val="20"/>
          <w:szCs w:val="20"/>
        </w:rPr>
        <w:t xml:space="preserve">purification procedure and measurements followed </w:t>
      </w:r>
      <w:r w:rsidRPr="000F7087">
        <w:rPr>
          <w:color w:val="4472C4" w:themeColor="accent1"/>
          <w:sz w:val="20"/>
          <w:szCs w:val="20"/>
        </w:rPr>
        <w:t>Anderson et al. (2021)</w:t>
      </w:r>
      <w:r w:rsidRPr="000F7087">
        <w:rPr>
          <w:color w:val="000000" w:themeColor="text1"/>
          <w:sz w:val="20"/>
          <w:szCs w:val="20"/>
        </w:rPr>
        <w:t xml:space="preserve">. For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0"/>
            <w:szCs w:val="20"/>
          </w:rPr>
          <m:t>Δ</m:t>
        </m:r>
      </m:oMath>
      <w:r w:rsidRPr="000F7087">
        <w:rPr>
          <w:color w:val="000000" w:themeColor="text1"/>
          <w:sz w:val="20"/>
          <w:szCs w:val="20"/>
          <w:vertAlign w:val="subscript"/>
        </w:rPr>
        <w:t>47</w:t>
      </w:r>
      <w:r w:rsidRPr="000F7087">
        <w:rPr>
          <w:color w:val="000000" w:themeColor="text1"/>
          <w:sz w:val="20"/>
          <w:szCs w:val="20"/>
        </w:rPr>
        <w:t xml:space="preserve"> analyses, 3.8 to 4.2 mg of carbonate were reacted at 70 </w:t>
      </w:r>
      <w:r w:rsidRPr="000F7087">
        <w:rPr>
          <w:sz w:val="20"/>
          <w:szCs w:val="20"/>
        </w:rPr>
        <w:t>°C with 110 µl 105 wt.% phosphoric acid (H</w:t>
      </w:r>
      <w:r w:rsidRPr="000F7087">
        <w:rPr>
          <w:sz w:val="20"/>
          <w:szCs w:val="20"/>
          <w:vertAlign w:val="subscript"/>
        </w:rPr>
        <w:t>3</w:t>
      </w:r>
      <w:r w:rsidRPr="000F7087">
        <w:rPr>
          <w:sz w:val="20"/>
          <w:szCs w:val="20"/>
        </w:rPr>
        <w:t>PO</w:t>
      </w:r>
      <w:r w:rsidRPr="000F7087">
        <w:rPr>
          <w:sz w:val="20"/>
          <w:szCs w:val="20"/>
          <w:vertAlign w:val="subscript"/>
        </w:rPr>
        <w:t>4</w:t>
      </w:r>
      <w:r w:rsidRPr="000F7087">
        <w:rPr>
          <w:sz w:val="20"/>
          <w:szCs w:val="20"/>
        </w:rPr>
        <w:t>), and the liberated CO</w:t>
      </w:r>
      <w:r w:rsidRPr="000F7087">
        <w:rPr>
          <w:sz w:val="20"/>
          <w:szCs w:val="20"/>
          <w:vertAlign w:val="subscript"/>
        </w:rPr>
        <w:t>2</w:t>
      </w:r>
      <w:r w:rsidRPr="000F7087">
        <w:rPr>
          <w:sz w:val="20"/>
          <w:szCs w:val="20"/>
        </w:rPr>
        <w:t xml:space="preserve"> was purified </w:t>
      </w:r>
      <w:r w:rsidRPr="000F7087">
        <w:rPr>
          <w:sz w:val="20"/>
          <w:szCs w:val="20"/>
        </w:rPr>
        <w:lastRenderedPageBreak/>
        <w:t xml:space="preserve">after digestion in a series of temperature-controlled, liquid-nitrogen-cooled cold fingers, including an adsorption trap (packed with </w:t>
      </w:r>
      <w:proofErr w:type="spellStart"/>
      <w:r w:rsidRPr="000F7087">
        <w:rPr>
          <w:sz w:val="20"/>
          <w:szCs w:val="20"/>
        </w:rPr>
        <w:t>Porapak</w:t>
      </w:r>
      <w:proofErr w:type="spellEnd"/>
      <w:r w:rsidRPr="000F7087">
        <w:rPr>
          <w:sz w:val="20"/>
          <w:szCs w:val="20"/>
        </w:rPr>
        <w:t xml:space="preserve"> Q 50/80 mesh) held at -30 °C. We applied the acid fractionation factor of +0.088 ‰ (</w:t>
      </w:r>
      <w:r w:rsidRPr="000F7087">
        <w:rPr>
          <w:color w:val="4472C4" w:themeColor="accent1"/>
          <w:sz w:val="20"/>
          <w:szCs w:val="20"/>
        </w:rPr>
        <w:t>Anderson et al. 2021</w:t>
      </w:r>
      <w:r w:rsidRPr="000F7087">
        <w:rPr>
          <w:sz w:val="20"/>
          <w:szCs w:val="20"/>
        </w:rPr>
        <w:t>) to the data in order to compare with the ETH-standards reacted at 90 °C (</w:t>
      </w:r>
      <w:proofErr w:type="spellStart"/>
      <w:r w:rsidRPr="000F7087">
        <w:rPr>
          <w:color w:val="4472C4" w:themeColor="accent1"/>
          <w:sz w:val="20"/>
          <w:szCs w:val="20"/>
        </w:rPr>
        <w:t>Bernasconi</w:t>
      </w:r>
      <w:proofErr w:type="spellEnd"/>
      <w:r w:rsidRPr="000F7087">
        <w:rPr>
          <w:color w:val="4472C4" w:themeColor="accent1"/>
          <w:sz w:val="20"/>
          <w:szCs w:val="20"/>
        </w:rPr>
        <w:t xml:space="preserve"> et al., 2021</w:t>
      </w:r>
      <w:r w:rsidRPr="000F7087">
        <w:rPr>
          <w:sz w:val="20"/>
          <w:szCs w:val="20"/>
        </w:rPr>
        <w:t xml:space="preserve">). </w:t>
      </w:r>
    </w:p>
    <w:p w14:paraId="01E17337" w14:textId="77777777" w:rsidR="00215613" w:rsidRPr="000F7087" w:rsidRDefault="00215613" w:rsidP="00215613">
      <w:pPr>
        <w:spacing w:line="480" w:lineRule="auto"/>
        <w:jc w:val="both"/>
        <w:rPr>
          <w:sz w:val="20"/>
          <w:szCs w:val="20"/>
        </w:rPr>
      </w:pPr>
      <w:r w:rsidRPr="000F7087">
        <w:rPr>
          <w:color w:val="000000" w:themeColor="text1"/>
          <w:sz w:val="20"/>
          <w:szCs w:val="20"/>
        </w:rPr>
        <w:t xml:space="preserve">Three standards (ETH-1, ETH-2, ETH-3) have been used to calculate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0"/>
            <w:szCs w:val="20"/>
          </w:rPr>
          <m:t>Δ</m:t>
        </m:r>
      </m:oMath>
      <w:r w:rsidRPr="000F7087">
        <w:rPr>
          <w:color w:val="000000" w:themeColor="text1"/>
          <w:sz w:val="20"/>
          <w:szCs w:val="20"/>
          <w:vertAlign w:val="subscript"/>
        </w:rPr>
        <w:t xml:space="preserve">47 </w:t>
      </w:r>
      <w:r w:rsidRPr="000F7087">
        <w:rPr>
          <w:color w:val="000000" w:themeColor="text1"/>
          <w:sz w:val="20"/>
          <w:szCs w:val="20"/>
        </w:rPr>
        <w:t>values of u</w:t>
      </w:r>
      <w:r w:rsidRPr="000F7087">
        <w:rPr>
          <w:sz w:val="20"/>
          <w:szCs w:val="20"/>
        </w:rPr>
        <w:t xml:space="preserve">nknown samples using linear regression with the respective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0"/>
            <w:szCs w:val="20"/>
          </w:rPr>
          <m:t>Δ</m:t>
        </m:r>
      </m:oMath>
      <w:r w:rsidRPr="000F7087">
        <w:rPr>
          <w:color w:val="000000" w:themeColor="text1"/>
          <w:sz w:val="20"/>
          <w:szCs w:val="20"/>
          <w:vertAlign w:val="subscript"/>
        </w:rPr>
        <w:t>47</w:t>
      </w:r>
      <w:r w:rsidRPr="000F7087">
        <w:rPr>
          <w:color w:val="000000" w:themeColor="text1"/>
          <w:sz w:val="20"/>
          <w:szCs w:val="20"/>
        </w:rPr>
        <w:t xml:space="preserve"> values of 0.205, 0.209, and 0.613 (</w:t>
      </w:r>
      <w:proofErr w:type="spellStart"/>
      <w:r w:rsidRPr="000F7087">
        <w:rPr>
          <w:color w:val="4472C4" w:themeColor="accent1"/>
          <w:sz w:val="20"/>
          <w:szCs w:val="20"/>
        </w:rPr>
        <w:t>Bernasconi</w:t>
      </w:r>
      <w:proofErr w:type="spellEnd"/>
      <w:r w:rsidRPr="000F7087">
        <w:rPr>
          <w:color w:val="4472C4" w:themeColor="accent1"/>
          <w:sz w:val="20"/>
          <w:szCs w:val="20"/>
        </w:rPr>
        <w:t xml:space="preserve"> et al., 2021</w:t>
      </w:r>
      <w:r w:rsidRPr="000F7087">
        <w:rPr>
          <w:color w:val="000000" w:themeColor="text1"/>
          <w:sz w:val="20"/>
          <w:szCs w:val="20"/>
        </w:rPr>
        <w:t xml:space="preserve">). </w:t>
      </w:r>
      <w:r w:rsidRPr="000F7087">
        <w:rPr>
          <w:sz w:val="20"/>
          <w:szCs w:val="20"/>
        </w:rPr>
        <w:t xml:space="preserve">Temperatures are calculated using the calibration of </w:t>
      </w:r>
      <w:r w:rsidRPr="000F7087">
        <w:rPr>
          <w:color w:val="4472C4" w:themeColor="accent1"/>
          <w:sz w:val="20"/>
          <w:szCs w:val="20"/>
        </w:rPr>
        <w:t>Anderson et al. (2021)</w:t>
      </w:r>
      <w:r w:rsidRPr="000F7087">
        <w:rPr>
          <w:color w:val="000000" w:themeColor="text1"/>
          <w:sz w:val="20"/>
          <w:szCs w:val="20"/>
        </w:rPr>
        <w:t>,</w:t>
      </w:r>
      <w:r w:rsidRPr="000F7087">
        <w:rPr>
          <w:color w:val="4472C4" w:themeColor="accent1"/>
          <w:sz w:val="20"/>
          <w:szCs w:val="20"/>
        </w:rPr>
        <w:t xml:space="preserve"> </w:t>
      </w:r>
      <w:r w:rsidRPr="000F7087">
        <w:rPr>
          <w:color w:val="000000" w:themeColor="text1"/>
          <w:sz w:val="20"/>
          <w:szCs w:val="20"/>
        </w:rPr>
        <w:t>where</w:t>
      </w:r>
      <w:r w:rsidRPr="000F7087">
        <w:rPr>
          <w:color w:val="4472C4" w:themeColor="accent1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0"/>
            <w:szCs w:val="20"/>
          </w:rPr>
          <m:t>Δ</m:t>
        </m:r>
      </m:oMath>
      <w:r w:rsidRPr="000F7087">
        <w:rPr>
          <w:color w:val="000000" w:themeColor="text1"/>
          <w:sz w:val="20"/>
          <w:szCs w:val="20"/>
          <w:vertAlign w:val="subscript"/>
        </w:rPr>
        <w:t xml:space="preserve">47 </w:t>
      </w:r>
      <w:r w:rsidRPr="000F7087">
        <w:rPr>
          <w:color w:val="000000" w:themeColor="text1"/>
          <w:sz w:val="20"/>
          <w:szCs w:val="20"/>
        </w:rPr>
        <w:t>is</w:t>
      </w:r>
      <w:r w:rsidRPr="000F7087">
        <w:rPr>
          <w:color w:val="000000" w:themeColor="text1"/>
          <w:sz w:val="20"/>
          <w:szCs w:val="20"/>
          <w:vertAlign w:val="subscript"/>
        </w:rPr>
        <w:t xml:space="preserve"> </w:t>
      </w:r>
      <w:r w:rsidRPr="000F7087">
        <w:rPr>
          <w:color w:val="000000" w:themeColor="text1"/>
          <w:sz w:val="20"/>
          <w:szCs w:val="20"/>
        </w:rPr>
        <w:t xml:space="preserve">in </w:t>
      </w:r>
      <w:r w:rsidRPr="000F7087">
        <w:rPr>
          <w:sz w:val="20"/>
          <w:szCs w:val="20"/>
        </w:rPr>
        <w:t>‰ and T in °C, as</w:t>
      </w:r>
      <w:r w:rsidRPr="000F7087">
        <w:rPr>
          <w:color w:val="000000" w:themeColor="text1"/>
          <w:sz w:val="20"/>
          <w:szCs w:val="20"/>
        </w:rPr>
        <w:t>:</w:t>
      </w:r>
      <w:r w:rsidRPr="000F7087">
        <w:rPr>
          <w:color w:val="4472C4" w:themeColor="accent1"/>
          <w:sz w:val="20"/>
          <w:szCs w:val="20"/>
        </w:rPr>
        <w:t xml:space="preserve"> </w:t>
      </w:r>
    </w:p>
    <w:p w14:paraId="410DB2E9" w14:textId="77777777" w:rsidR="00215613" w:rsidRPr="000F7087" w:rsidRDefault="00000000" w:rsidP="00215613">
      <w:pPr>
        <w:spacing w:line="480" w:lineRule="auto"/>
        <w:jc w:val="both"/>
        <w:rPr>
          <w:sz w:val="20"/>
          <w:szCs w:val="20"/>
        </w:rPr>
      </w:pPr>
      <m:oMathPara>
        <m:oMathParaPr>
          <m:jc m:val="center"/>
        </m:oMathParaPr>
        <m:oMath>
          <m:eqArr>
            <m:eqArrPr>
              <m:maxDist m:val="1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Δ</m:t>
                  </m: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47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=(0.0391 ± 0.0004)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6</m:t>
                      </m:r>
                    </m:sup>
                  </m:sSup>
                  <m:r>
                    <m:rPr>
                      <m:lit/>
                    </m:rPr>
                    <w:rPr>
                      <w:rFonts w:ascii="Cambria Math" w:hAnsi="Cambria Math"/>
                      <w:sz w:val="20"/>
                      <w:szCs w:val="20"/>
                    </w:rPr>
                    <m:t>/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+(0.154 ± 0.004) #</m:t>
              </m:r>
            </m:e>
          </m:eqArr>
        </m:oMath>
      </m:oMathPara>
    </w:p>
    <w:p w14:paraId="65605D66" w14:textId="77777777" w:rsidR="000F7087" w:rsidRPr="000F7087" w:rsidRDefault="000F7087" w:rsidP="00215613">
      <w:pPr>
        <w:spacing w:line="480" w:lineRule="auto"/>
        <w:rPr>
          <w:b/>
          <w:bCs/>
          <w:sz w:val="20"/>
          <w:szCs w:val="20"/>
        </w:rPr>
      </w:pPr>
    </w:p>
    <w:p w14:paraId="45957BC0" w14:textId="47CD2970" w:rsidR="00215613" w:rsidRPr="000F7087" w:rsidRDefault="00C54BE1" w:rsidP="00215613">
      <w:pPr>
        <w:spacing w:line="48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1.9 </w:t>
      </w:r>
      <w:r w:rsidR="00215613" w:rsidRPr="000F7087">
        <w:rPr>
          <w:b/>
          <w:bCs/>
          <w:sz w:val="20"/>
          <w:szCs w:val="20"/>
        </w:rPr>
        <w:t>Clay mineralogy</w:t>
      </w:r>
    </w:p>
    <w:p w14:paraId="12B93CD6" w14:textId="77777777" w:rsidR="00215613" w:rsidRPr="000F7087" w:rsidRDefault="00215613" w:rsidP="00215613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</w:rPr>
        <w:t xml:space="preserve">Clay mineralogical assemblages in paleosol samples were determined by X-ray diffractometry (XRD) at the ISTE-UNIL laboratories. Samples were prepared following the procedure described in </w:t>
      </w:r>
      <w:r w:rsidRPr="000F7087">
        <w:rPr>
          <w:color w:val="4472C4" w:themeColor="accent1"/>
          <w:sz w:val="20"/>
          <w:szCs w:val="20"/>
        </w:rPr>
        <w:t>Adatte et al. (1996)</w:t>
      </w:r>
      <w:r w:rsidRPr="000F7087">
        <w:rPr>
          <w:color w:val="000000" w:themeColor="text1"/>
          <w:sz w:val="20"/>
          <w:szCs w:val="20"/>
        </w:rPr>
        <w:t>.</w:t>
      </w:r>
      <w:r w:rsidRPr="000F7087">
        <w:rPr>
          <w:sz w:val="20"/>
          <w:szCs w:val="20"/>
        </w:rPr>
        <w:t xml:space="preserve"> Analyses were made using a </w:t>
      </w:r>
      <w:proofErr w:type="spellStart"/>
      <w:r w:rsidRPr="000F7087">
        <w:rPr>
          <w:sz w:val="20"/>
          <w:szCs w:val="20"/>
        </w:rPr>
        <w:t>Thermo</w:t>
      </w:r>
      <w:proofErr w:type="spellEnd"/>
      <w:r w:rsidRPr="000F7087">
        <w:rPr>
          <w:sz w:val="20"/>
          <w:szCs w:val="20"/>
        </w:rPr>
        <w:t xml:space="preserve"> Fisher Scientific ARL X-TRA diffractometer and the intensities of the XRD peaks characteristic for each mineral, were used to estimate the relative percentage of clay minerals in the &lt; 2 µm and 2–16 µm size fractions. </w:t>
      </w:r>
    </w:p>
    <w:p w14:paraId="6ED617C5" w14:textId="77777777" w:rsidR="007321BE" w:rsidRDefault="007321BE" w:rsidP="00FD036A">
      <w:pPr>
        <w:spacing w:line="480" w:lineRule="auto"/>
        <w:rPr>
          <w:b/>
          <w:bCs/>
        </w:rPr>
      </w:pPr>
    </w:p>
    <w:p w14:paraId="7CA4D3D1" w14:textId="5CF6EB09" w:rsidR="00FD036A" w:rsidRPr="00C54BE1" w:rsidRDefault="00215613" w:rsidP="00FD036A">
      <w:pPr>
        <w:spacing w:line="480" w:lineRule="auto"/>
        <w:rPr>
          <w:b/>
          <w:bCs/>
          <w:sz w:val="20"/>
          <w:szCs w:val="20"/>
        </w:rPr>
      </w:pPr>
      <w:r w:rsidRPr="00C54BE1">
        <w:rPr>
          <w:b/>
          <w:bCs/>
          <w:sz w:val="20"/>
          <w:szCs w:val="20"/>
        </w:rPr>
        <w:t xml:space="preserve">2 </w:t>
      </w:r>
      <w:r w:rsidR="00FD036A" w:rsidRPr="00C54BE1">
        <w:rPr>
          <w:b/>
          <w:bCs/>
          <w:sz w:val="20"/>
          <w:szCs w:val="20"/>
        </w:rPr>
        <w:t>R</w:t>
      </w:r>
      <w:r w:rsidR="000F7087" w:rsidRPr="00C54BE1">
        <w:rPr>
          <w:b/>
          <w:bCs/>
          <w:sz w:val="20"/>
          <w:szCs w:val="20"/>
        </w:rPr>
        <w:t>esults and discussion</w:t>
      </w:r>
    </w:p>
    <w:p w14:paraId="5A5F02DE" w14:textId="38A7BFF9" w:rsidR="00FD036A" w:rsidRPr="00C54BE1" w:rsidRDefault="000F7087" w:rsidP="00FD036A">
      <w:pPr>
        <w:spacing w:line="480" w:lineRule="auto"/>
        <w:rPr>
          <w:b/>
          <w:bCs/>
          <w:sz w:val="20"/>
          <w:szCs w:val="20"/>
        </w:rPr>
      </w:pPr>
      <w:r w:rsidRPr="00C54BE1">
        <w:rPr>
          <w:b/>
          <w:bCs/>
          <w:sz w:val="20"/>
          <w:szCs w:val="20"/>
        </w:rPr>
        <w:t xml:space="preserve">2.1 </w:t>
      </w:r>
      <w:r w:rsidR="00E37B27" w:rsidRPr="00C54BE1">
        <w:rPr>
          <w:b/>
          <w:bCs/>
          <w:sz w:val="20"/>
          <w:szCs w:val="20"/>
        </w:rPr>
        <w:t>TOC data</w:t>
      </w:r>
    </w:p>
    <w:p w14:paraId="09FDE7ED" w14:textId="77777777" w:rsidR="00FD036A" w:rsidRPr="00C54BE1" w:rsidRDefault="00FD036A" w:rsidP="00FD036A">
      <w:pPr>
        <w:spacing w:line="480" w:lineRule="auto"/>
        <w:jc w:val="both"/>
        <w:rPr>
          <w:sz w:val="20"/>
          <w:szCs w:val="20"/>
          <w:lang w:val="en-US"/>
        </w:rPr>
      </w:pPr>
      <w:r w:rsidRPr="00C54BE1">
        <w:rPr>
          <w:sz w:val="20"/>
          <w:szCs w:val="20"/>
          <w:lang w:val="en-US"/>
        </w:rPr>
        <w:t>Total organic carbon (TOC) content in paleosol samples range from 0.1%–0.57% with an average value of 0.07% (Fig. 3A). Low amount of TOC in Escanilla paleosols could be the result of low vegetation due to the presence of an arid climate [</w:t>
      </w:r>
      <w:r w:rsidRPr="00C54BE1">
        <w:rPr>
          <w:color w:val="4472C4" w:themeColor="accent1"/>
          <w:sz w:val="20"/>
          <w:szCs w:val="20"/>
          <w:lang w:val="en-US"/>
        </w:rPr>
        <w:t>Tyson, 1995</w:t>
      </w:r>
      <w:r w:rsidRPr="00C54BE1">
        <w:rPr>
          <w:sz w:val="20"/>
          <w:szCs w:val="20"/>
          <w:lang w:val="en-US"/>
        </w:rPr>
        <w:t>].</w:t>
      </w:r>
    </w:p>
    <w:p w14:paraId="4F92C161" w14:textId="53EA79F6" w:rsidR="00FD036A" w:rsidRDefault="00FD036A" w:rsidP="005E0248">
      <w:pPr>
        <w:spacing w:line="480" w:lineRule="auto"/>
        <w:rPr>
          <w:b/>
          <w:bCs/>
          <w:sz w:val="28"/>
          <w:szCs w:val="28"/>
          <w:lang w:val="en-US"/>
        </w:rPr>
      </w:pPr>
    </w:p>
    <w:p w14:paraId="1365CC3A" w14:textId="07BFEC17" w:rsidR="00FD036A" w:rsidRPr="001A6781" w:rsidRDefault="00FD036A" w:rsidP="00FD036A">
      <w:pPr>
        <w:spacing w:line="480" w:lineRule="auto"/>
        <w:rPr>
          <w:b/>
          <w:bCs/>
          <w:sz w:val="28"/>
          <w:szCs w:val="28"/>
          <w:lang w:val="en-US"/>
        </w:rPr>
      </w:pPr>
      <w:r w:rsidRPr="001A6781">
        <w:rPr>
          <w:b/>
          <w:bCs/>
          <w:sz w:val="28"/>
          <w:szCs w:val="28"/>
          <w:lang w:val="en-US"/>
        </w:rPr>
        <w:t>Supplementary figures</w:t>
      </w:r>
    </w:p>
    <w:p w14:paraId="2FC73A54" w14:textId="77777777" w:rsidR="005E0248" w:rsidRPr="004B479F" w:rsidRDefault="005E0248" w:rsidP="005E0248">
      <w:pPr>
        <w:keepNext/>
        <w:spacing w:line="480" w:lineRule="auto"/>
      </w:pPr>
      <w:r w:rsidRPr="004B479F">
        <w:rPr>
          <w:noProof/>
          <w:lang w:val="en-US"/>
        </w:rPr>
        <w:lastRenderedPageBreak/>
        <w:drawing>
          <wp:inline distT="0" distB="0" distL="0" distR="0" wp14:anchorId="148804AA" wp14:editId="412798EB">
            <wp:extent cx="5722620" cy="3274060"/>
            <wp:effectExtent l="0" t="0" r="0" b="2540"/>
            <wp:docPr id="13" name="Picture 13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Diagram, engineering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327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5631D" w14:textId="65DE5AD7" w:rsidR="005E0248" w:rsidRPr="000F7087" w:rsidRDefault="005E0248" w:rsidP="005E0248">
      <w:pPr>
        <w:spacing w:line="480" w:lineRule="auto"/>
        <w:jc w:val="both"/>
        <w:rPr>
          <w:color w:val="000000" w:themeColor="text1"/>
          <w:sz w:val="18"/>
          <w:szCs w:val="18"/>
          <w:lang w:val="en-US"/>
        </w:rPr>
      </w:pPr>
      <w:r w:rsidRPr="000F7087">
        <w:rPr>
          <w:b/>
          <w:bCs/>
          <w:color w:val="000000" w:themeColor="text1"/>
          <w:sz w:val="18"/>
          <w:szCs w:val="18"/>
          <w:lang w:val="en-US"/>
        </w:rPr>
        <w:t>Fig</w:t>
      </w:r>
      <w:r w:rsidR="000F7087">
        <w:rPr>
          <w:b/>
          <w:bCs/>
          <w:color w:val="000000" w:themeColor="text1"/>
          <w:sz w:val="18"/>
          <w:szCs w:val="18"/>
          <w:lang w:val="en-US"/>
        </w:rPr>
        <w:t>ure</w:t>
      </w:r>
      <w:r w:rsidRPr="000F7087">
        <w:rPr>
          <w:b/>
          <w:bCs/>
          <w:color w:val="000000" w:themeColor="text1"/>
          <w:sz w:val="18"/>
          <w:szCs w:val="18"/>
          <w:lang w:val="en-US"/>
        </w:rPr>
        <w:t xml:space="preserve"> S1. </w:t>
      </w:r>
      <w:r w:rsidRPr="000F7087">
        <w:rPr>
          <w:color w:val="000000" w:themeColor="text1"/>
          <w:sz w:val="18"/>
          <w:szCs w:val="18"/>
          <w:lang w:val="en-US"/>
        </w:rPr>
        <w:t xml:space="preserve">Identified clay mineral assemblages (smectite, palygorskite, illite, chlorite, smectite/palygorskite ratio), presented with a 7-point moving average (black line) across the studied Escanilla Formation at Olson. These minerals constitute up to 98% of the total clay mineralogy of the sampled paleosols and indicate an arid (semi-arid) climate with seasonal rainfall and weak chemical weathering conditions </w:t>
      </w:r>
    </w:p>
    <w:p w14:paraId="2F1B907D" w14:textId="77777777" w:rsidR="005E0248" w:rsidRPr="005E0248" w:rsidRDefault="005E0248" w:rsidP="005E0248">
      <w:pPr>
        <w:keepNext/>
        <w:spacing w:line="480" w:lineRule="auto"/>
        <w:rPr>
          <w:lang w:val="en-US"/>
        </w:rPr>
      </w:pPr>
    </w:p>
    <w:p w14:paraId="7C9D2B50" w14:textId="77777777" w:rsidR="00F03A40" w:rsidRDefault="00F03A40" w:rsidP="00FE3659">
      <w:pPr>
        <w:spacing w:line="480" w:lineRule="auto"/>
        <w:rPr>
          <w:b/>
          <w:bCs/>
          <w:lang w:val="en-US"/>
        </w:rPr>
      </w:pPr>
    </w:p>
    <w:p w14:paraId="043066F2" w14:textId="6D3DF2EC" w:rsidR="00FE3659" w:rsidRPr="000F7087" w:rsidRDefault="00FE3659" w:rsidP="00FE3659">
      <w:pPr>
        <w:spacing w:line="480" w:lineRule="auto"/>
        <w:rPr>
          <w:b/>
          <w:bCs/>
          <w:sz w:val="20"/>
          <w:szCs w:val="20"/>
          <w:lang w:val="en-US"/>
        </w:rPr>
      </w:pPr>
      <w:r w:rsidRPr="000F7087">
        <w:rPr>
          <w:b/>
          <w:bCs/>
          <w:sz w:val="20"/>
          <w:szCs w:val="20"/>
          <w:lang w:val="en-US"/>
        </w:rPr>
        <w:t xml:space="preserve">REFERENCES </w:t>
      </w:r>
    </w:p>
    <w:p w14:paraId="0946A221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sz w:val="20"/>
          <w:szCs w:val="20"/>
        </w:rPr>
        <w:t xml:space="preserve">Adatte, T., </w:t>
      </w:r>
      <w:proofErr w:type="spellStart"/>
      <w:r w:rsidRPr="000F7087">
        <w:rPr>
          <w:sz w:val="20"/>
          <w:szCs w:val="20"/>
        </w:rPr>
        <w:t>Stinnesbeck</w:t>
      </w:r>
      <w:proofErr w:type="spellEnd"/>
      <w:r w:rsidRPr="000F7087">
        <w:rPr>
          <w:sz w:val="20"/>
          <w:szCs w:val="20"/>
        </w:rPr>
        <w:t xml:space="preserve">, W., and Keller, G., 1996. Lithostratigraphic and mineralogic correlations of near K/T boundary clastic sediments in </w:t>
      </w:r>
      <w:proofErr w:type="spellStart"/>
      <w:r w:rsidRPr="000F7087">
        <w:rPr>
          <w:sz w:val="20"/>
          <w:szCs w:val="20"/>
        </w:rPr>
        <w:t>northeastern</w:t>
      </w:r>
      <w:proofErr w:type="spellEnd"/>
      <w:r w:rsidRPr="000F7087">
        <w:rPr>
          <w:sz w:val="20"/>
          <w:szCs w:val="20"/>
        </w:rPr>
        <w:t xml:space="preserve"> Mexico: implications for origin and nature of deposition. Spec. Pap. Geol. Soc. Am., 307:211–226.</w:t>
      </w:r>
    </w:p>
    <w:p w14:paraId="75C67040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color w:val="212529"/>
          <w:sz w:val="20"/>
          <w:szCs w:val="20"/>
          <w:shd w:val="clear" w:color="auto" w:fill="FFFFFF"/>
        </w:rPr>
        <w:t xml:space="preserve">Anderson, N.T., Kelson, J.R.,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Kele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S.,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Daëron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M.,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Bonifacie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M.,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Horita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J., Mackey, T.J., John, C.M., Kluge, T.,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Petschnig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P.,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Jost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A.B., Huntington, K.W.,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Bernasconi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S.M., Bergmann, K.D., 2021. A Unified clumped isotope thermometer calibration (0.5–1,100°C) using carbonate-based standardization.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Geophys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 Res Lett 48. https://doi.org/10.1029/2020gl092069</w:t>
      </w:r>
    </w:p>
    <w:p w14:paraId="58CD4427" w14:textId="77777777" w:rsidR="007321BE" w:rsidRPr="000F7087" w:rsidRDefault="007321BE" w:rsidP="007321BE">
      <w:pPr>
        <w:spacing w:line="480" w:lineRule="auto"/>
        <w:jc w:val="both"/>
        <w:rPr>
          <w:rStyle w:val="csl-entry"/>
          <w:sz w:val="20"/>
          <w:szCs w:val="20"/>
        </w:rPr>
      </w:pPr>
      <w:r w:rsidRPr="000F7087">
        <w:rPr>
          <w:rStyle w:val="csl-entry"/>
          <w:sz w:val="20"/>
          <w:szCs w:val="20"/>
        </w:rPr>
        <w:t xml:space="preserve">Behar, F., Beaumont, V., </w:t>
      </w:r>
      <w:proofErr w:type="spellStart"/>
      <w:r w:rsidRPr="000F7087">
        <w:rPr>
          <w:rStyle w:val="csl-entry"/>
          <w:sz w:val="20"/>
          <w:szCs w:val="20"/>
        </w:rPr>
        <w:t>Penteado</w:t>
      </w:r>
      <w:proofErr w:type="spellEnd"/>
      <w:r w:rsidRPr="000F7087">
        <w:rPr>
          <w:rStyle w:val="csl-entry"/>
          <w:sz w:val="20"/>
          <w:szCs w:val="20"/>
        </w:rPr>
        <w:t>, H.L.D.B., 2001. Rock-Eval 6 Technology: Performances and Developments. Oil Gas Sci Technology 56, 111–134. https://doi.org/10.2516/ogst:2001013</w:t>
      </w:r>
    </w:p>
    <w:p w14:paraId="55BC8494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Bernasconi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S.M.,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Daëron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M., Bergmann, K.D.,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Bonifacie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M., Meckler, A.N.,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Affek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H.P., Anderson, N.,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Bajnai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D.,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Barkan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E., Beverly, E.,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Blamart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D.,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Burgener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L.,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Calmels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D.,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Chaduteau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C., Clog, M.,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Davidheiser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-Kroll, B., Davies, A., Dux, F.,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Eiler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J., Elliott, B.,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Fetrow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A.C.,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Fiebig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J., Goldberg, S.,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Hermoso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M., Huntington, </w:t>
      </w:r>
      <w:r w:rsidRPr="000F7087">
        <w:rPr>
          <w:color w:val="212529"/>
          <w:sz w:val="20"/>
          <w:szCs w:val="20"/>
          <w:shd w:val="clear" w:color="auto" w:fill="FFFFFF"/>
        </w:rPr>
        <w:lastRenderedPageBreak/>
        <w:t xml:space="preserve">K.W., Hyland, E., Ingalls, M., Jaggi, M., John, C.M.,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Jost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A.B., Katz, S., Kelson, J., Kluge, T.,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Kocken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I.J., Laskar, A.,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Leutert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T.J., Liang, D., Lucarelli, J., Mackey, T.J.,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Mangenot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X.,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Meinicke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N.,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Modestou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S.E., Müller, I.A., Murray, S., Neary, A., Packard, N.,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Passey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B.H., Pelletier, E., Petersen, S.,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Piasecki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A., Schauer, A., Snell, K.E., Swart, P.K.,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Tripati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A., Upadhyay, D., Vennemann, T.,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Winkelstern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I.,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Yarian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, D., Yoshida, N., Zhang, N., Ziegler, M., 2021.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InterCarb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: A Community Effort to improve interlaboratory standardization of the carbonate clumped isotope thermometer using carbonate standards. Geochem </w:t>
      </w:r>
      <w:proofErr w:type="spellStart"/>
      <w:r w:rsidRPr="000F7087">
        <w:rPr>
          <w:color w:val="212529"/>
          <w:sz w:val="20"/>
          <w:szCs w:val="20"/>
          <w:shd w:val="clear" w:color="auto" w:fill="FFFFFF"/>
        </w:rPr>
        <w:t>Geophys</w:t>
      </w:r>
      <w:proofErr w:type="spellEnd"/>
      <w:r w:rsidRPr="000F7087">
        <w:rPr>
          <w:color w:val="212529"/>
          <w:sz w:val="20"/>
          <w:szCs w:val="20"/>
          <w:shd w:val="clear" w:color="auto" w:fill="FFFFFF"/>
        </w:rPr>
        <w:t xml:space="preserve"> Geosystems 22, e2020GC009588. https://doi.org/10.1029/2020gc009588</w:t>
      </w:r>
    </w:p>
    <w:p w14:paraId="3C36F7A2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rStyle w:val="csl-entry"/>
          <w:sz w:val="20"/>
          <w:szCs w:val="20"/>
          <w:lang w:val="de-CH"/>
        </w:rPr>
        <w:t xml:space="preserve">Deng, K., Yang, S., Guo, Y., 2022. </w:t>
      </w:r>
      <w:r w:rsidRPr="000F7087">
        <w:rPr>
          <w:rStyle w:val="csl-entry"/>
          <w:sz w:val="20"/>
          <w:szCs w:val="20"/>
        </w:rPr>
        <w:t xml:space="preserve">A global temperature control of silicate weathering intensity. Nat </w:t>
      </w:r>
      <w:proofErr w:type="spellStart"/>
      <w:r w:rsidRPr="000F7087">
        <w:rPr>
          <w:rStyle w:val="csl-entry"/>
          <w:sz w:val="20"/>
          <w:szCs w:val="20"/>
        </w:rPr>
        <w:t>Commun</w:t>
      </w:r>
      <w:proofErr w:type="spellEnd"/>
      <w:r w:rsidRPr="000F7087">
        <w:rPr>
          <w:rStyle w:val="csl-entry"/>
          <w:sz w:val="20"/>
          <w:szCs w:val="20"/>
        </w:rPr>
        <w:t xml:space="preserve"> 13, 1781. https://doi.org/10.1038/s41467-022-29415-0</w:t>
      </w:r>
    </w:p>
    <w:p w14:paraId="23C6E1D6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rStyle w:val="csl-entry"/>
          <w:sz w:val="20"/>
          <w:szCs w:val="20"/>
        </w:rPr>
        <w:t xml:space="preserve">Harnois, L., 1988. The CIW index: A new chemical index of weathering. Sediment </w:t>
      </w:r>
      <w:proofErr w:type="spellStart"/>
      <w:r w:rsidRPr="000F7087">
        <w:rPr>
          <w:rStyle w:val="csl-entry"/>
          <w:sz w:val="20"/>
          <w:szCs w:val="20"/>
        </w:rPr>
        <w:t>Geol</w:t>
      </w:r>
      <w:proofErr w:type="spellEnd"/>
      <w:r w:rsidRPr="000F7087">
        <w:rPr>
          <w:rStyle w:val="csl-entry"/>
          <w:sz w:val="20"/>
          <w:szCs w:val="20"/>
        </w:rPr>
        <w:t xml:space="preserve"> 55, 319–322. https://doi.org/10.1016/0037-0738(88)90137-6</w:t>
      </w:r>
    </w:p>
    <w:p w14:paraId="1FD29C5F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rStyle w:val="csl-entry"/>
          <w:sz w:val="20"/>
          <w:szCs w:val="20"/>
        </w:rPr>
        <w:t xml:space="preserve">Nesbitt, H.W., Young, G.M., 1982. Early Proterozoic climates and plate motions inferred from major element chemistry of </w:t>
      </w:r>
      <w:proofErr w:type="spellStart"/>
      <w:r w:rsidRPr="000F7087">
        <w:rPr>
          <w:rStyle w:val="csl-entry"/>
          <w:sz w:val="20"/>
          <w:szCs w:val="20"/>
        </w:rPr>
        <w:t>lutites</w:t>
      </w:r>
      <w:proofErr w:type="spellEnd"/>
      <w:r w:rsidRPr="000F7087">
        <w:rPr>
          <w:rStyle w:val="csl-entry"/>
          <w:sz w:val="20"/>
          <w:szCs w:val="20"/>
        </w:rPr>
        <w:t>. Nature 299, 715–717. https://doi.org/10.1038/299715a0</w:t>
      </w:r>
    </w:p>
    <w:p w14:paraId="6DC5A2E1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rStyle w:val="csl-entry"/>
          <w:sz w:val="20"/>
          <w:szCs w:val="20"/>
        </w:rPr>
        <w:t xml:space="preserve">Nesbitt, H.W., Young, G.M., 1982. Early Proterozoic climates and plate motions inferred from major element chemistry of </w:t>
      </w:r>
      <w:proofErr w:type="spellStart"/>
      <w:r w:rsidRPr="000F7087">
        <w:rPr>
          <w:rStyle w:val="csl-entry"/>
          <w:sz w:val="20"/>
          <w:szCs w:val="20"/>
        </w:rPr>
        <w:t>lutites</w:t>
      </w:r>
      <w:proofErr w:type="spellEnd"/>
      <w:r w:rsidRPr="000F7087">
        <w:rPr>
          <w:rStyle w:val="csl-entry"/>
          <w:sz w:val="20"/>
          <w:szCs w:val="20"/>
        </w:rPr>
        <w:t>. Nature 299, 715–717. https://doi.org/10.1038/299715a0</w:t>
      </w:r>
    </w:p>
    <w:p w14:paraId="52067EAF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rStyle w:val="csl-entry"/>
          <w:sz w:val="20"/>
          <w:szCs w:val="20"/>
        </w:rPr>
        <w:t xml:space="preserve">Sheldon, N.D., </w:t>
      </w:r>
      <w:proofErr w:type="spellStart"/>
      <w:r w:rsidRPr="000F7087">
        <w:rPr>
          <w:rStyle w:val="csl-entry"/>
          <w:sz w:val="20"/>
          <w:szCs w:val="20"/>
        </w:rPr>
        <w:t>Retallack</w:t>
      </w:r>
      <w:proofErr w:type="spellEnd"/>
      <w:r w:rsidRPr="000F7087">
        <w:rPr>
          <w:rStyle w:val="csl-entry"/>
          <w:sz w:val="20"/>
          <w:szCs w:val="20"/>
        </w:rPr>
        <w:t xml:space="preserve">, G.J., Tanaka, S., 2002. Geochemical </w:t>
      </w:r>
      <w:proofErr w:type="spellStart"/>
      <w:r w:rsidRPr="000F7087">
        <w:rPr>
          <w:rStyle w:val="csl-entry"/>
          <w:sz w:val="20"/>
          <w:szCs w:val="20"/>
        </w:rPr>
        <w:t>Climofunctions</w:t>
      </w:r>
      <w:proofErr w:type="spellEnd"/>
      <w:r w:rsidRPr="000F7087">
        <w:rPr>
          <w:rStyle w:val="csl-entry"/>
          <w:sz w:val="20"/>
          <w:szCs w:val="20"/>
        </w:rPr>
        <w:t xml:space="preserve"> from North American Soils and Application to Paleosols across the Eocene-Oligocene Boundary in Oregon. J Geology 110, 687–696. https://doi.org/10.1086/342865</w:t>
      </w:r>
    </w:p>
    <w:p w14:paraId="5E36DD9C" w14:textId="77777777" w:rsidR="007321BE" w:rsidRPr="000F7087" w:rsidRDefault="007321BE" w:rsidP="007321BE">
      <w:pPr>
        <w:spacing w:line="480" w:lineRule="auto"/>
        <w:jc w:val="both"/>
        <w:rPr>
          <w:sz w:val="20"/>
          <w:szCs w:val="20"/>
        </w:rPr>
      </w:pPr>
      <w:r w:rsidRPr="000F7087">
        <w:rPr>
          <w:rStyle w:val="csl-entry"/>
          <w:sz w:val="20"/>
          <w:szCs w:val="20"/>
        </w:rPr>
        <w:t xml:space="preserve">Spangenberg, J.E., 2006. Carbon and oxygen isotope working standards from C3 and C4 photosynthates. </w:t>
      </w:r>
      <w:proofErr w:type="spellStart"/>
      <w:r w:rsidRPr="000F7087">
        <w:rPr>
          <w:rStyle w:val="csl-entry"/>
          <w:sz w:val="20"/>
          <w:szCs w:val="20"/>
        </w:rPr>
        <w:t>Isot</w:t>
      </w:r>
      <w:proofErr w:type="spellEnd"/>
      <w:r w:rsidRPr="000F7087">
        <w:rPr>
          <w:rStyle w:val="csl-entry"/>
          <w:sz w:val="20"/>
          <w:szCs w:val="20"/>
        </w:rPr>
        <w:t xml:space="preserve"> Environ </w:t>
      </w:r>
      <w:proofErr w:type="spellStart"/>
      <w:r w:rsidRPr="000F7087">
        <w:rPr>
          <w:rStyle w:val="csl-entry"/>
          <w:sz w:val="20"/>
          <w:szCs w:val="20"/>
        </w:rPr>
        <w:t>Healt</w:t>
      </w:r>
      <w:proofErr w:type="spellEnd"/>
      <w:r w:rsidRPr="000F7087">
        <w:rPr>
          <w:rStyle w:val="csl-entry"/>
          <w:sz w:val="20"/>
          <w:szCs w:val="20"/>
        </w:rPr>
        <w:t xml:space="preserve"> S 42, 231–238. https://doi.org/10.1080/10256010600841059</w:t>
      </w:r>
    </w:p>
    <w:p w14:paraId="79E081EF" w14:textId="77777777" w:rsidR="007321BE" w:rsidRPr="000F7087" w:rsidRDefault="007321BE" w:rsidP="007321BE">
      <w:pPr>
        <w:spacing w:line="480" w:lineRule="auto"/>
        <w:jc w:val="both"/>
        <w:rPr>
          <w:rStyle w:val="csl-entry"/>
          <w:sz w:val="20"/>
          <w:szCs w:val="20"/>
        </w:rPr>
      </w:pPr>
      <w:r w:rsidRPr="000F7087">
        <w:rPr>
          <w:rStyle w:val="csl-entry"/>
          <w:sz w:val="20"/>
          <w:szCs w:val="20"/>
        </w:rPr>
        <w:t xml:space="preserve">Spangenberg, J.E., 2016. Bulk C, H, O, and fatty acid C stable isotope analyses for purity assessment of vegetable oils from the southern and northern hemispheres. Rapid </w:t>
      </w:r>
      <w:proofErr w:type="spellStart"/>
      <w:r w:rsidRPr="000F7087">
        <w:rPr>
          <w:rStyle w:val="csl-entry"/>
          <w:sz w:val="20"/>
          <w:szCs w:val="20"/>
        </w:rPr>
        <w:t>Commun</w:t>
      </w:r>
      <w:proofErr w:type="spellEnd"/>
      <w:r w:rsidRPr="000F7087">
        <w:rPr>
          <w:rStyle w:val="csl-entry"/>
          <w:sz w:val="20"/>
          <w:szCs w:val="20"/>
        </w:rPr>
        <w:t xml:space="preserve"> Mass </w:t>
      </w:r>
      <w:proofErr w:type="spellStart"/>
      <w:r w:rsidRPr="000F7087">
        <w:rPr>
          <w:rStyle w:val="csl-entry"/>
          <w:sz w:val="20"/>
          <w:szCs w:val="20"/>
        </w:rPr>
        <w:t>Sp</w:t>
      </w:r>
      <w:proofErr w:type="spellEnd"/>
      <w:r w:rsidRPr="000F7087">
        <w:rPr>
          <w:rStyle w:val="csl-entry"/>
          <w:sz w:val="20"/>
          <w:szCs w:val="20"/>
        </w:rPr>
        <w:t xml:space="preserve"> 30, 2447–2461. https://doi.org/10.1002/rcm.7734</w:t>
      </w:r>
    </w:p>
    <w:p w14:paraId="34E5ACFB" w14:textId="77777777" w:rsidR="007321BE" w:rsidRPr="000F7087" w:rsidRDefault="007321BE" w:rsidP="007321BE">
      <w:pPr>
        <w:spacing w:line="480" w:lineRule="auto"/>
        <w:jc w:val="both"/>
        <w:rPr>
          <w:rStyle w:val="csl-entry"/>
          <w:sz w:val="20"/>
          <w:szCs w:val="20"/>
        </w:rPr>
      </w:pPr>
      <w:proofErr w:type="spellStart"/>
      <w:r w:rsidRPr="000F7087">
        <w:rPr>
          <w:rStyle w:val="csl-entry"/>
          <w:sz w:val="20"/>
          <w:szCs w:val="20"/>
        </w:rPr>
        <w:t>Spötl</w:t>
      </w:r>
      <w:proofErr w:type="spellEnd"/>
      <w:r w:rsidRPr="000F7087">
        <w:rPr>
          <w:rStyle w:val="csl-entry"/>
          <w:sz w:val="20"/>
          <w:szCs w:val="20"/>
        </w:rPr>
        <w:t xml:space="preserve">, C., Vennemann, T.W., 2003. Continuous-flow isotope ratio mass spectrometric analysis of carbonate minerals. Rapid </w:t>
      </w:r>
      <w:proofErr w:type="spellStart"/>
      <w:r w:rsidRPr="000F7087">
        <w:rPr>
          <w:rStyle w:val="csl-entry"/>
          <w:sz w:val="20"/>
          <w:szCs w:val="20"/>
        </w:rPr>
        <w:t>Commun</w:t>
      </w:r>
      <w:proofErr w:type="spellEnd"/>
      <w:r w:rsidRPr="000F7087">
        <w:rPr>
          <w:rStyle w:val="csl-entry"/>
          <w:sz w:val="20"/>
          <w:szCs w:val="20"/>
        </w:rPr>
        <w:t xml:space="preserve">. Mass </w:t>
      </w:r>
      <w:proofErr w:type="spellStart"/>
      <w:r w:rsidRPr="000F7087">
        <w:rPr>
          <w:rStyle w:val="csl-entry"/>
          <w:sz w:val="20"/>
          <w:szCs w:val="20"/>
        </w:rPr>
        <w:t>Spectrom</w:t>
      </w:r>
      <w:proofErr w:type="spellEnd"/>
      <w:r w:rsidRPr="000F7087">
        <w:rPr>
          <w:rStyle w:val="csl-entry"/>
          <w:sz w:val="20"/>
          <w:szCs w:val="20"/>
        </w:rPr>
        <w:t>. 17, 1004–1006. https://doi.org/10.1002/rcm.1010</w:t>
      </w:r>
    </w:p>
    <w:p w14:paraId="6A29D619" w14:textId="77777777" w:rsidR="007321BE" w:rsidRPr="000F7087" w:rsidRDefault="007321BE" w:rsidP="007321BE">
      <w:pPr>
        <w:spacing w:line="480" w:lineRule="auto"/>
        <w:jc w:val="both"/>
        <w:rPr>
          <w:rStyle w:val="csl-entry"/>
          <w:sz w:val="20"/>
          <w:szCs w:val="20"/>
        </w:rPr>
      </w:pPr>
      <w:r w:rsidRPr="000F7087">
        <w:rPr>
          <w:rStyle w:val="csl-entry"/>
          <w:sz w:val="20"/>
          <w:szCs w:val="20"/>
        </w:rPr>
        <w:t xml:space="preserve">Stein, R.A., Sheldon, N.D., Allen, S.E., Smith, M.E., </w:t>
      </w:r>
      <w:proofErr w:type="spellStart"/>
      <w:r w:rsidRPr="000F7087">
        <w:rPr>
          <w:rStyle w:val="csl-entry"/>
          <w:sz w:val="20"/>
          <w:szCs w:val="20"/>
        </w:rPr>
        <w:t>Dzombak</w:t>
      </w:r>
      <w:proofErr w:type="spellEnd"/>
      <w:r w:rsidRPr="000F7087">
        <w:rPr>
          <w:rStyle w:val="csl-entry"/>
          <w:sz w:val="20"/>
          <w:szCs w:val="20"/>
        </w:rPr>
        <w:t xml:space="preserve">, R.M., </w:t>
      </w:r>
      <w:proofErr w:type="spellStart"/>
      <w:r w:rsidRPr="000F7087">
        <w:rPr>
          <w:rStyle w:val="csl-entry"/>
          <w:sz w:val="20"/>
          <w:szCs w:val="20"/>
        </w:rPr>
        <w:t>Jicha</w:t>
      </w:r>
      <w:proofErr w:type="spellEnd"/>
      <w:r w:rsidRPr="000F7087">
        <w:rPr>
          <w:rStyle w:val="csl-entry"/>
          <w:sz w:val="20"/>
          <w:szCs w:val="20"/>
        </w:rPr>
        <w:t xml:space="preserve">, B.R., 2021. Climate and ecology in the Rocky Mountain interior after the early Eocene Climatic Optimum. </w:t>
      </w:r>
      <w:proofErr w:type="spellStart"/>
      <w:r w:rsidRPr="000F7087">
        <w:rPr>
          <w:rStyle w:val="csl-entry"/>
          <w:sz w:val="20"/>
          <w:szCs w:val="20"/>
        </w:rPr>
        <w:t>Clim</w:t>
      </w:r>
      <w:proofErr w:type="spellEnd"/>
      <w:r w:rsidRPr="000F7087">
        <w:rPr>
          <w:rStyle w:val="csl-entry"/>
          <w:sz w:val="20"/>
          <w:szCs w:val="20"/>
        </w:rPr>
        <w:t xml:space="preserve"> Past 17, 2515–2536. https://doi.org/10.5194/cp-17-2515-2021</w:t>
      </w:r>
    </w:p>
    <w:p w14:paraId="1322F488" w14:textId="588B10A1" w:rsidR="005E0248" w:rsidRPr="00CC2141" w:rsidRDefault="007321BE" w:rsidP="00CC2141">
      <w:pPr>
        <w:spacing w:line="480" w:lineRule="auto"/>
        <w:jc w:val="both"/>
        <w:rPr>
          <w:rStyle w:val="csl-entry"/>
          <w:sz w:val="22"/>
          <w:szCs w:val="22"/>
        </w:rPr>
      </w:pPr>
      <w:r w:rsidRPr="000F7087">
        <w:rPr>
          <w:rStyle w:val="current-selection"/>
          <w:sz w:val="20"/>
          <w:szCs w:val="20"/>
          <w:shd w:val="clear" w:color="auto" w:fill="FFFFFF"/>
        </w:rPr>
        <w:t>Tyson, R. V. (1995). Sedimentary organic matter. Oxford: Chapman and</w:t>
      </w:r>
      <w:r w:rsidRPr="000F7087">
        <w:rPr>
          <w:sz w:val="20"/>
          <w:szCs w:val="20"/>
        </w:rPr>
        <w:br/>
      </w:r>
      <w:r w:rsidRPr="000F7087">
        <w:rPr>
          <w:rStyle w:val="current-selection"/>
          <w:sz w:val="20"/>
          <w:szCs w:val="20"/>
          <w:shd w:val="clear" w:color="auto" w:fill="FFFFFF"/>
        </w:rPr>
        <w:t>Hall</w:t>
      </w:r>
    </w:p>
    <w:sectPr w:rsidR="005E0248" w:rsidRPr="00CC2141" w:rsidSect="00E40EA2">
      <w:footerReference w:type="even" r:id="rId10"/>
      <w:footerReference w:type="default" r:id="rId11"/>
      <w:pgSz w:w="11906" w:h="16838"/>
      <w:pgMar w:top="1440" w:right="1440" w:bottom="1440" w:left="1440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AF9D" w14:textId="77777777" w:rsidR="00963DE8" w:rsidRDefault="00963DE8" w:rsidP="0095442A">
      <w:r>
        <w:separator/>
      </w:r>
    </w:p>
  </w:endnote>
  <w:endnote w:type="continuationSeparator" w:id="0">
    <w:p w14:paraId="2929BD98" w14:textId="77777777" w:rsidR="00963DE8" w:rsidRDefault="00963DE8" w:rsidP="00954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5732106"/>
      <w:docPartObj>
        <w:docPartGallery w:val="Page Numbers (Bottom of Page)"/>
        <w:docPartUnique/>
      </w:docPartObj>
    </w:sdtPr>
    <w:sdtContent>
      <w:p w14:paraId="232BD9CD" w14:textId="1B733D8B" w:rsidR="0095442A" w:rsidRDefault="0095442A" w:rsidP="00F254F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476DEE">
          <w:rPr>
            <w:rStyle w:val="PageNumber"/>
          </w:rPr>
          <w:fldChar w:fldCharType="separate"/>
        </w:r>
        <w:r w:rsidR="00476DEE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452868" w14:textId="77777777" w:rsidR="0095442A" w:rsidRDefault="0095442A" w:rsidP="009544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8760924"/>
      <w:docPartObj>
        <w:docPartGallery w:val="Page Numbers (Bottom of Page)"/>
        <w:docPartUnique/>
      </w:docPartObj>
    </w:sdtPr>
    <w:sdtContent>
      <w:p w14:paraId="487F0737" w14:textId="383EA31D" w:rsidR="00476DEE" w:rsidRDefault="00476DE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468EB9" w14:textId="77777777" w:rsidR="0095442A" w:rsidRDefault="0095442A" w:rsidP="0095442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E1A2F" w14:textId="77777777" w:rsidR="00963DE8" w:rsidRDefault="00963DE8" w:rsidP="0095442A">
      <w:r>
        <w:separator/>
      </w:r>
    </w:p>
  </w:footnote>
  <w:footnote w:type="continuationSeparator" w:id="0">
    <w:p w14:paraId="64DD558E" w14:textId="77777777" w:rsidR="00963DE8" w:rsidRDefault="00963DE8" w:rsidP="00954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1BBC"/>
    <w:multiLevelType w:val="hybridMultilevel"/>
    <w:tmpl w:val="47CCEBA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92511"/>
    <w:multiLevelType w:val="hybridMultilevel"/>
    <w:tmpl w:val="4A0636D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AB0401"/>
    <w:multiLevelType w:val="hybridMultilevel"/>
    <w:tmpl w:val="B6464E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5BC"/>
    <w:multiLevelType w:val="hybridMultilevel"/>
    <w:tmpl w:val="62FE44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02528"/>
    <w:multiLevelType w:val="hybridMultilevel"/>
    <w:tmpl w:val="6B3A08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37A25"/>
    <w:multiLevelType w:val="hybridMultilevel"/>
    <w:tmpl w:val="3D6CB1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105181">
    <w:abstractNumId w:val="3"/>
  </w:num>
  <w:num w:numId="2" w16cid:durableId="1091851515">
    <w:abstractNumId w:val="5"/>
  </w:num>
  <w:num w:numId="3" w16cid:durableId="1254976255">
    <w:abstractNumId w:val="4"/>
  </w:num>
  <w:num w:numId="4" w16cid:durableId="1109276285">
    <w:abstractNumId w:val="0"/>
  </w:num>
  <w:num w:numId="5" w16cid:durableId="1951544691">
    <w:abstractNumId w:val="1"/>
  </w:num>
  <w:num w:numId="6" w16cid:durableId="665137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CD"/>
    <w:rsid w:val="000277EE"/>
    <w:rsid w:val="00036F5D"/>
    <w:rsid w:val="00043B76"/>
    <w:rsid w:val="00056DF4"/>
    <w:rsid w:val="00062AC7"/>
    <w:rsid w:val="000634BD"/>
    <w:rsid w:val="00066F2C"/>
    <w:rsid w:val="000A1FBF"/>
    <w:rsid w:val="000B595F"/>
    <w:rsid w:val="000E4BC1"/>
    <w:rsid w:val="000F7087"/>
    <w:rsid w:val="001047C1"/>
    <w:rsid w:val="00104967"/>
    <w:rsid w:val="0012357A"/>
    <w:rsid w:val="001519FC"/>
    <w:rsid w:val="001615C1"/>
    <w:rsid w:val="0018377E"/>
    <w:rsid w:val="00184051"/>
    <w:rsid w:val="001A124D"/>
    <w:rsid w:val="001A6781"/>
    <w:rsid w:val="001A7086"/>
    <w:rsid w:val="001C2C82"/>
    <w:rsid w:val="001C4C41"/>
    <w:rsid w:val="001D2518"/>
    <w:rsid w:val="001E7827"/>
    <w:rsid w:val="001F11C1"/>
    <w:rsid w:val="001F767F"/>
    <w:rsid w:val="00215613"/>
    <w:rsid w:val="002638A8"/>
    <w:rsid w:val="002A2D89"/>
    <w:rsid w:val="002A3086"/>
    <w:rsid w:val="002B4337"/>
    <w:rsid w:val="002C5B9E"/>
    <w:rsid w:val="002C65B0"/>
    <w:rsid w:val="002D3685"/>
    <w:rsid w:val="002E1C40"/>
    <w:rsid w:val="002F500A"/>
    <w:rsid w:val="00322ABC"/>
    <w:rsid w:val="00384230"/>
    <w:rsid w:val="00390ECA"/>
    <w:rsid w:val="003D5D3F"/>
    <w:rsid w:val="00415B8C"/>
    <w:rsid w:val="004278BA"/>
    <w:rsid w:val="00437800"/>
    <w:rsid w:val="004435B6"/>
    <w:rsid w:val="00454866"/>
    <w:rsid w:val="00454EFD"/>
    <w:rsid w:val="004615D9"/>
    <w:rsid w:val="00476DEE"/>
    <w:rsid w:val="00481950"/>
    <w:rsid w:val="00486566"/>
    <w:rsid w:val="004A6228"/>
    <w:rsid w:val="004B5A1D"/>
    <w:rsid w:val="004D4EE3"/>
    <w:rsid w:val="004E03B3"/>
    <w:rsid w:val="005E0248"/>
    <w:rsid w:val="005F7460"/>
    <w:rsid w:val="00630F7F"/>
    <w:rsid w:val="006354EA"/>
    <w:rsid w:val="00641DC3"/>
    <w:rsid w:val="00645F62"/>
    <w:rsid w:val="00661C04"/>
    <w:rsid w:val="00670C1A"/>
    <w:rsid w:val="00690C5A"/>
    <w:rsid w:val="00716488"/>
    <w:rsid w:val="007319D9"/>
    <w:rsid w:val="007321BE"/>
    <w:rsid w:val="00736B4D"/>
    <w:rsid w:val="0074119F"/>
    <w:rsid w:val="0075215F"/>
    <w:rsid w:val="00792120"/>
    <w:rsid w:val="00794501"/>
    <w:rsid w:val="007945AF"/>
    <w:rsid w:val="007B3F08"/>
    <w:rsid w:val="007B70E7"/>
    <w:rsid w:val="007C6ADC"/>
    <w:rsid w:val="00800486"/>
    <w:rsid w:val="00803009"/>
    <w:rsid w:val="00831BF0"/>
    <w:rsid w:val="0085342E"/>
    <w:rsid w:val="00864362"/>
    <w:rsid w:val="00876A51"/>
    <w:rsid w:val="00881A39"/>
    <w:rsid w:val="008A210D"/>
    <w:rsid w:val="008B76AE"/>
    <w:rsid w:val="008C2BCF"/>
    <w:rsid w:val="009379D0"/>
    <w:rsid w:val="0095442A"/>
    <w:rsid w:val="00963DE8"/>
    <w:rsid w:val="00966D7C"/>
    <w:rsid w:val="00977B47"/>
    <w:rsid w:val="0098322C"/>
    <w:rsid w:val="00987B0F"/>
    <w:rsid w:val="00987E0C"/>
    <w:rsid w:val="00995544"/>
    <w:rsid w:val="009A0DF7"/>
    <w:rsid w:val="009A50E0"/>
    <w:rsid w:val="009B2665"/>
    <w:rsid w:val="009E69EF"/>
    <w:rsid w:val="00A0735A"/>
    <w:rsid w:val="00A136BF"/>
    <w:rsid w:val="00A42E1B"/>
    <w:rsid w:val="00A442CE"/>
    <w:rsid w:val="00A5687B"/>
    <w:rsid w:val="00A7557C"/>
    <w:rsid w:val="00AA25FC"/>
    <w:rsid w:val="00AF17FA"/>
    <w:rsid w:val="00B01434"/>
    <w:rsid w:val="00B04522"/>
    <w:rsid w:val="00B71E5D"/>
    <w:rsid w:val="00B721E5"/>
    <w:rsid w:val="00B86289"/>
    <w:rsid w:val="00BA7921"/>
    <w:rsid w:val="00BC342A"/>
    <w:rsid w:val="00BD2AE9"/>
    <w:rsid w:val="00C40D49"/>
    <w:rsid w:val="00C54BE1"/>
    <w:rsid w:val="00C76EEF"/>
    <w:rsid w:val="00C843CD"/>
    <w:rsid w:val="00CC2141"/>
    <w:rsid w:val="00D07632"/>
    <w:rsid w:val="00D55E6A"/>
    <w:rsid w:val="00DB45D3"/>
    <w:rsid w:val="00DC1B3E"/>
    <w:rsid w:val="00DD279D"/>
    <w:rsid w:val="00DF5949"/>
    <w:rsid w:val="00E2400C"/>
    <w:rsid w:val="00E37B27"/>
    <w:rsid w:val="00E40EA2"/>
    <w:rsid w:val="00E5216A"/>
    <w:rsid w:val="00E577E3"/>
    <w:rsid w:val="00E63DBF"/>
    <w:rsid w:val="00EB6A8F"/>
    <w:rsid w:val="00ED62B5"/>
    <w:rsid w:val="00EE792B"/>
    <w:rsid w:val="00EF6797"/>
    <w:rsid w:val="00F00AB2"/>
    <w:rsid w:val="00F03A40"/>
    <w:rsid w:val="00F151D6"/>
    <w:rsid w:val="00F24041"/>
    <w:rsid w:val="00F42CB9"/>
    <w:rsid w:val="00F542E0"/>
    <w:rsid w:val="00F57F02"/>
    <w:rsid w:val="00F65AB0"/>
    <w:rsid w:val="00F77ADE"/>
    <w:rsid w:val="00F77CB9"/>
    <w:rsid w:val="00F82CFF"/>
    <w:rsid w:val="00F90BE3"/>
    <w:rsid w:val="00FB48BF"/>
    <w:rsid w:val="00FD036A"/>
    <w:rsid w:val="00FE3659"/>
    <w:rsid w:val="00FF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2A693"/>
  <w15:chartTrackingRefBased/>
  <w15:docId w15:val="{974D0455-E414-044F-95D7-7CA13CBF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65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5442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5442A"/>
  </w:style>
  <w:style w:type="character" w:styleId="PageNumber">
    <w:name w:val="page number"/>
    <w:basedOn w:val="DefaultParagraphFont"/>
    <w:uiPriority w:val="99"/>
    <w:semiHidden/>
    <w:unhideWhenUsed/>
    <w:rsid w:val="0095442A"/>
  </w:style>
  <w:style w:type="paragraph" w:styleId="Caption">
    <w:name w:val="caption"/>
    <w:basedOn w:val="Normal"/>
    <w:next w:val="Normal"/>
    <w:uiPriority w:val="35"/>
    <w:unhideWhenUsed/>
    <w:qFormat/>
    <w:rsid w:val="00977B47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character" w:customStyle="1" w:styleId="csl-entry">
    <w:name w:val="csl-entry"/>
    <w:basedOn w:val="DefaultParagraphFont"/>
    <w:rsid w:val="00FE3659"/>
  </w:style>
  <w:style w:type="paragraph" w:styleId="ListParagraph">
    <w:name w:val="List Paragraph"/>
    <w:basedOn w:val="Normal"/>
    <w:uiPriority w:val="34"/>
    <w:qFormat/>
    <w:rsid w:val="00FE3659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FE3659"/>
  </w:style>
  <w:style w:type="character" w:styleId="Hyperlink">
    <w:name w:val="Hyperlink"/>
    <w:basedOn w:val="DefaultParagraphFont"/>
    <w:uiPriority w:val="99"/>
    <w:unhideWhenUsed/>
    <w:rsid w:val="00DD27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79D"/>
    <w:rPr>
      <w:color w:val="605E5C"/>
      <w:shd w:val="clear" w:color="auto" w:fill="E1DFDD"/>
    </w:rPr>
  </w:style>
  <w:style w:type="character" w:customStyle="1" w:styleId="current-selection">
    <w:name w:val="current-selection"/>
    <w:basedOn w:val="DefaultParagraphFont"/>
    <w:rsid w:val="00CC2141"/>
  </w:style>
  <w:style w:type="paragraph" w:styleId="Header">
    <w:name w:val="header"/>
    <w:basedOn w:val="Normal"/>
    <w:link w:val="HeaderChar"/>
    <w:uiPriority w:val="99"/>
    <w:unhideWhenUsed/>
    <w:rsid w:val="00476D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DEE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4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hil.sharma@unige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178188-A19C-D94C-B618-35CAC649D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Sharma</dc:creator>
  <cp:keywords/>
  <dc:description/>
  <cp:lastModifiedBy>Nikhil Sharma</cp:lastModifiedBy>
  <cp:revision>17</cp:revision>
  <dcterms:created xsi:type="dcterms:W3CDTF">2023-03-14T17:28:00Z</dcterms:created>
  <dcterms:modified xsi:type="dcterms:W3CDTF">2023-05-03T06:49:00Z</dcterms:modified>
</cp:coreProperties>
</file>