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7A441" w14:textId="305FABAF" w:rsidR="005D76EF" w:rsidRPr="00EB62C8" w:rsidRDefault="005D76EF" w:rsidP="005A6259">
      <w:pPr>
        <w:spacing w:after="0" w:line="276" w:lineRule="auto"/>
        <w:rPr>
          <w:rFonts w:ascii="Times New Roman" w:hAnsi="Times New Roman" w:cs="Times New Roman"/>
          <w:b/>
          <w:bCs/>
          <w:sz w:val="24"/>
          <w:szCs w:val="24"/>
        </w:rPr>
      </w:pPr>
      <w:r w:rsidRPr="00EB62C8">
        <w:rPr>
          <w:rFonts w:ascii="Times New Roman" w:hAnsi="Times New Roman" w:cs="Times New Roman" w:hint="eastAsia"/>
          <w:b/>
          <w:bCs/>
          <w:sz w:val="24"/>
          <w:szCs w:val="24"/>
        </w:rPr>
        <w:t>R</w:t>
      </w:r>
      <w:r w:rsidRPr="00EB62C8">
        <w:rPr>
          <w:rFonts w:ascii="Times New Roman" w:hAnsi="Times New Roman" w:cs="Times New Roman"/>
          <w:b/>
          <w:bCs/>
          <w:sz w:val="24"/>
          <w:szCs w:val="24"/>
        </w:rPr>
        <w:t>esponse to Reviewers</w:t>
      </w:r>
    </w:p>
    <w:p w14:paraId="480CE38E" w14:textId="77777777" w:rsidR="005D76EF" w:rsidRPr="00EB62C8" w:rsidRDefault="005D76EF" w:rsidP="005A6259">
      <w:pPr>
        <w:spacing w:after="0" w:line="276" w:lineRule="auto"/>
        <w:rPr>
          <w:rFonts w:ascii="Times New Roman" w:hAnsi="Times New Roman" w:cs="Times New Roman"/>
          <w:sz w:val="24"/>
          <w:szCs w:val="24"/>
        </w:rPr>
      </w:pPr>
    </w:p>
    <w:p w14:paraId="31612E7B" w14:textId="6FB1E4EB" w:rsidR="008E3184" w:rsidRPr="000A0144" w:rsidRDefault="008E3184" w:rsidP="00306178">
      <w:pPr>
        <w:spacing w:after="0" w:line="276" w:lineRule="auto"/>
        <w:rPr>
          <w:rFonts w:ascii="Times New Roman" w:hAnsi="Times New Roman" w:cs="Times New Roman"/>
          <w:b/>
          <w:bCs/>
          <w:sz w:val="24"/>
          <w:szCs w:val="24"/>
        </w:rPr>
      </w:pPr>
      <w:r w:rsidRPr="000A0144">
        <w:rPr>
          <w:rFonts w:ascii="Times New Roman" w:hAnsi="Times New Roman" w:cs="Times New Roman"/>
          <w:b/>
          <w:bCs/>
          <w:sz w:val="24"/>
          <w:szCs w:val="24"/>
        </w:rPr>
        <w:t>Reviewer #1:</w:t>
      </w:r>
      <w:r w:rsidRPr="000A0144">
        <w:rPr>
          <w:rFonts w:ascii="Times New Roman" w:hAnsi="Times New Roman" w:cs="Times New Roman"/>
          <w:sz w:val="24"/>
          <w:szCs w:val="24"/>
        </w:rPr>
        <w:t xml:space="preserve"> </w:t>
      </w:r>
      <w:r w:rsidR="00176770" w:rsidRPr="000A0144">
        <w:rPr>
          <w:rFonts w:ascii="Times New Roman" w:hAnsi="Times New Roman" w:cs="Times New Roman"/>
          <w:sz w:val="24"/>
          <w:szCs w:val="24"/>
        </w:rPr>
        <w:t>“</w:t>
      </w:r>
      <w:r w:rsidR="00306178" w:rsidRPr="000A0144">
        <w:rPr>
          <w:rFonts w:ascii="Times New Roman" w:hAnsi="Times New Roman" w:cs="Times New Roman"/>
          <w:sz w:val="24"/>
          <w:szCs w:val="24"/>
        </w:rPr>
        <w:t>This paper analyzed the application effect of fused satellite AOD products in improving NO</w:t>
      </w:r>
      <w:r w:rsidR="00306178" w:rsidRPr="000A0144">
        <w:rPr>
          <w:rFonts w:ascii="Times New Roman" w:hAnsi="Times New Roman" w:cs="Times New Roman"/>
          <w:sz w:val="24"/>
          <w:szCs w:val="24"/>
          <w:vertAlign w:val="subscript"/>
        </w:rPr>
        <w:t>x</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and PM emissions in Northeast Asia. The methods used for the emission constraining suggested</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in this study seem reasonable, and the difference in results according to the combination of</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satellite data seems clear. The contents of this paper are expected to be sufficiently meaningful</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in the field of emissions inverse modeling, so it is judged to be worth publishing in this journal.</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However, it is believed that revising some of the following matters before publication will help</w:t>
      </w:r>
      <w:r w:rsidR="00306178" w:rsidRPr="000A0144">
        <w:rPr>
          <w:rFonts w:ascii="Times New Roman" w:hAnsi="Times New Roman" w:cs="Times New Roman" w:hint="eastAsia"/>
          <w:sz w:val="24"/>
          <w:szCs w:val="24"/>
        </w:rPr>
        <w:t xml:space="preserve"> </w:t>
      </w:r>
      <w:r w:rsidR="00306178" w:rsidRPr="000A0144">
        <w:rPr>
          <w:rFonts w:ascii="Times New Roman" w:hAnsi="Times New Roman" w:cs="Times New Roman"/>
          <w:sz w:val="24"/>
          <w:szCs w:val="24"/>
        </w:rPr>
        <w:t>improve the quality of the paper</w:t>
      </w:r>
      <w:r w:rsidR="00176770" w:rsidRPr="000A0144">
        <w:rPr>
          <w:rFonts w:ascii="Times New Roman" w:hAnsi="Times New Roman" w:cs="Times New Roman"/>
          <w:sz w:val="24"/>
          <w:szCs w:val="24"/>
        </w:rPr>
        <w:t>”</w:t>
      </w:r>
      <w:r w:rsidR="00306178" w:rsidRPr="000A0144">
        <w:rPr>
          <w:rFonts w:ascii="Times New Roman" w:hAnsi="Times New Roman" w:cs="Times New Roman"/>
          <w:sz w:val="24"/>
          <w:szCs w:val="24"/>
        </w:rPr>
        <w:t>.</w:t>
      </w:r>
    </w:p>
    <w:p w14:paraId="78410078" w14:textId="4432CC07" w:rsidR="008E3184" w:rsidRPr="00EB62C8" w:rsidRDefault="008E3184" w:rsidP="005A6259">
      <w:pPr>
        <w:spacing w:after="0" w:line="276" w:lineRule="auto"/>
        <w:rPr>
          <w:rFonts w:ascii="Times New Roman" w:hAnsi="Times New Roman" w:cs="Times New Roman"/>
          <w:sz w:val="24"/>
          <w:szCs w:val="24"/>
        </w:rPr>
      </w:pPr>
    </w:p>
    <w:p w14:paraId="6BCA0155" w14:textId="7355D2C4" w:rsidR="005D76EF" w:rsidRPr="00EB62C8" w:rsidRDefault="005D76EF" w:rsidP="005A6259">
      <w:pPr>
        <w:spacing w:after="0" w:line="276" w:lineRule="auto"/>
        <w:rPr>
          <w:rFonts w:ascii="Times New Roman" w:hAnsi="Times New Roman" w:cs="Times New Roman"/>
          <w:sz w:val="24"/>
          <w:szCs w:val="24"/>
        </w:rPr>
      </w:pPr>
      <w:r w:rsidRPr="00EB62C8">
        <w:rPr>
          <w:rFonts w:ascii="Times New Roman" w:hAnsi="Times New Roman" w:cs="Times New Roman" w:hint="eastAsia"/>
          <w:b/>
          <w:bCs/>
          <w:sz w:val="24"/>
          <w:szCs w:val="24"/>
        </w:rPr>
        <w:t>A</w:t>
      </w:r>
      <w:r w:rsidRPr="00EB62C8">
        <w:rPr>
          <w:rFonts w:ascii="Times New Roman" w:hAnsi="Times New Roman" w:cs="Times New Roman"/>
          <w:b/>
          <w:bCs/>
          <w:sz w:val="24"/>
          <w:szCs w:val="24"/>
        </w:rPr>
        <w:t>uthors</w:t>
      </w:r>
      <w:r w:rsidR="000A0144">
        <w:rPr>
          <w:rFonts w:ascii="Times New Roman" w:hAnsi="Times New Roman" w:cs="Times New Roman"/>
          <w:b/>
          <w:bCs/>
          <w:sz w:val="24"/>
          <w:szCs w:val="24"/>
        </w:rPr>
        <w:t>’</w:t>
      </w:r>
      <w:r w:rsidRPr="00EB62C8">
        <w:rPr>
          <w:rFonts w:ascii="Times New Roman" w:hAnsi="Times New Roman" w:cs="Times New Roman"/>
          <w:b/>
          <w:bCs/>
          <w:sz w:val="24"/>
          <w:szCs w:val="24"/>
        </w:rPr>
        <w:t xml:space="preserve"> response:</w:t>
      </w:r>
      <w:r w:rsidRPr="00EB62C8">
        <w:rPr>
          <w:rFonts w:ascii="Times New Roman" w:hAnsi="Times New Roman" w:cs="Times New Roman"/>
          <w:sz w:val="24"/>
          <w:szCs w:val="24"/>
        </w:rPr>
        <w:t xml:space="preserve"> </w:t>
      </w:r>
      <w:r w:rsidR="000A0144">
        <w:rPr>
          <w:rFonts w:ascii="Times New Roman" w:hAnsi="Times New Roman" w:cs="Times New Roman"/>
          <w:sz w:val="24"/>
          <w:szCs w:val="24"/>
        </w:rPr>
        <w:t>w</w:t>
      </w:r>
      <w:r w:rsidRPr="00EB62C8">
        <w:rPr>
          <w:rFonts w:ascii="Times New Roman" w:hAnsi="Times New Roman" w:cs="Times New Roman"/>
          <w:sz w:val="24"/>
          <w:szCs w:val="24"/>
        </w:rPr>
        <w:t xml:space="preserve">e appreciate </w:t>
      </w:r>
      <w:r w:rsidR="00306178" w:rsidRPr="00EB62C8">
        <w:rPr>
          <w:rFonts w:ascii="Times New Roman" w:hAnsi="Times New Roman" w:cs="Times New Roman"/>
          <w:sz w:val="24"/>
          <w:szCs w:val="24"/>
        </w:rPr>
        <w:t xml:space="preserve">your time and concern </w:t>
      </w:r>
      <w:r w:rsidRPr="00EB62C8">
        <w:rPr>
          <w:rFonts w:ascii="Times New Roman" w:hAnsi="Times New Roman" w:cs="Times New Roman"/>
          <w:sz w:val="24"/>
          <w:szCs w:val="24"/>
        </w:rPr>
        <w:t xml:space="preserve">devoted to reviewing </w:t>
      </w:r>
      <w:r w:rsidR="000A0144">
        <w:rPr>
          <w:rFonts w:ascii="Times New Roman" w:hAnsi="Times New Roman" w:cs="Times New Roman"/>
          <w:sz w:val="24"/>
          <w:szCs w:val="24"/>
        </w:rPr>
        <w:t xml:space="preserve">our </w:t>
      </w:r>
      <w:r w:rsidRPr="00EB62C8">
        <w:rPr>
          <w:rFonts w:ascii="Times New Roman" w:hAnsi="Times New Roman" w:cs="Times New Roman"/>
          <w:sz w:val="24"/>
          <w:szCs w:val="24"/>
        </w:rPr>
        <w:t>manuscript. Please find our responses to your comments below</w:t>
      </w:r>
      <w:r w:rsidR="00306178" w:rsidRPr="00EB62C8">
        <w:rPr>
          <w:rFonts w:ascii="Times New Roman" w:hAnsi="Times New Roman" w:cs="Times New Roman"/>
          <w:sz w:val="24"/>
          <w:szCs w:val="24"/>
        </w:rPr>
        <w:t>:</w:t>
      </w:r>
    </w:p>
    <w:p w14:paraId="2C1DFBC5" w14:textId="75DA65EE" w:rsidR="00BF203D" w:rsidRPr="00EB62C8" w:rsidRDefault="00BF203D" w:rsidP="005A6259">
      <w:pPr>
        <w:spacing w:after="0" w:line="276" w:lineRule="auto"/>
        <w:rPr>
          <w:rFonts w:ascii="Times New Roman" w:hAnsi="Times New Roman" w:cs="Times New Roman"/>
          <w:sz w:val="24"/>
          <w:szCs w:val="24"/>
        </w:rPr>
      </w:pPr>
    </w:p>
    <w:p w14:paraId="1A791982" w14:textId="5F28D8CF" w:rsidR="005A6259" w:rsidRPr="000A0144" w:rsidRDefault="00B339C9" w:rsidP="00B339C9">
      <w:pPr>
        <w:pStyle w:val="ListParagraph"/>
        <w:numPr>
          <w:ilvl w:val="0"/>
          <w:numId w:val="2"/>
        </w:numPr>
        <w:spacing w:line="276" w:lineRule="auto"/>
        <w:ind w:leftChars="0"/>
        <w:rPr>
          <w:rFonts w:ascii="Times New Roman" w:hAnsi="Times New Roman" w:cs="Times New Roman"/>
          <w:sz w:val="24"/>
          <w:szCs w:val="24"/>
        </w:rPr>
      </w:pPr>
      <w:r w:rsidRPr="000A0144">
        <w:rPr>
          <w:rFonts w:ascii="Times New Roman" w:hAnsi="Times New Roman" w:cs="Times New Roman"/>
          <w:sz w:val="24"/>
          <w:szCs w:val="24"/>
        </w:rPr>
        <w:t>Lines 242-245: There seems to be an insufficient explanation of how you modified the primary PM emission. How did you distribute the AOD concentration to each PM species in Table S2?</w:t>
      </w:r>
    </w:p>
    <w:tbl>
      <w:tblPr>
        <w:tblStyle w:val="TableGrid"/>
        <w:tblW w:w="0" w:type="auto"/>
        <w:tblInd w:w="846" w:type="dxa"/>
        <w:tblLook w:val="04A0" w:firstRow="1" w:lastRow="0" w:firstColumn="1" w:lastColumn="0" w:noHBand="0" w:noVBand="1"/>
      </w:tblPr>
      <w:tblGrid>
        <w:gridCol w:w="1283"/>
        <w:gridCol w:w="6887"/>
      </w:tblGrid>
      <w:tr w:rsidR="00C55A84" w:rsidRPr="00EB62C8" w14:paraId="0D2B3226" w14:textId="77777777" w:rsidTr="003E0FFC">
        <w:tc>
          <w:tcPr>
            <w:tcW w:w="437" w:type="dxa"/>
          </w:tcPr>
          <w:p w14:paraId="7CB5AC67" w14:textId="0D62A814"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A</w:t>
            </w:r>
            <w:r w:rsidRPr="00EB62C8">
              <w:rPr>
                <w:rFonts w:ascii="Times New Roman" w:hAnsi="Times New Roman" w:cs="Times New Roman"/>
                <w:sz w:val="24"/>
                <w:szCs w:val="24"/>
              </w:rPr>
              <w:t>uthors</w:t>
            </w:r>
            <w:r w:rsidR="00C20EF8">
              <w:rPr>
                <w:rFonts w:ascii="Times New Roman" w:hAnsi="Times New Roman" w:cs="Times New Roman"/>
                <w:sz w:val="24"/>
                <w:szCs w:val="24"/>
              </w:rPr>
              <w:t>’</w:t>
            </w:r>
            <w:r w:rsidRPr="00EB62C8">
              <w:rPr>
                <w:rFonts w:ascii="Times New Roman" w:hAnsi="Times New Roman" w:cs="Times New Roman"/>
                <w:sz w:val="24"/>
                <w:szCs w:val="24"/>
              </w:rPr>
              <w:t xml:space="preserve"> response</w:t>
            </w:r>
          </w:p>
        </w:tc>
        <w:tc>
          <w:tcPr>
            <w:tcW w:w="7733" w:type="dxa"/>
          </w:tcPr>
          <w:p w14:paraId="0581A103" w14:textId="0938F67C" w:rsidR="00920DBD" w:rsidRDefault="00C24B15" w:rsidP="00A723E0">
            <w:pPr>
              <w:spacing w:line="276" w:lineRule="auto"/>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hanks for pointing it out, and we agree that those lines need to be elaborated further.</w:t>
            </w:r>
            <w:r w:rsidR="00A723E0">
              <w:rPr>
                <w:rFonts w:ascii="Times New Roman" w:hAnsi="Times New Roman" w:cs="Times New Roman"/>
                <w:sz w:val="24"/>
                <w:szCs w:val="24"/>
              </w:rPr>
              <w:t xml:space="preserve"> </w:t>
            </w:r>
            <w:r w:rsidR="00920DBD">
              <w:rPr>
                <w:rFonts w:ascii="Times New Roman" w:hAnsi="Times New Roman" w:cs="Times New Roman"/>
                <w:sz w:val="24"/>
                <w:szCs w:val="24"/>
              </w:rPr>
              <w:t>Below is the enhanced explanation for h</w:t>
            </w:r>
            <w:r w:rsidR="00920DBD" w:rsidRPr="000A0144">
              <w:rPr>
                <w:rFonts w:ascii="Times New Roman" w:hAnsi="Times New Roman" w:cs="Times New Roman"/>
                <w:sz w:val="24"/>
                <w:szCs w:val="24"/>
              </w:rPr>
              <w:t xml:space="preserve">ow </w:t>
            </w:r>
            <w:r w:rsidR="00920DBD">
              <w:rPr>
                <w:rFonts w:ascii="Times New Roman" w:hAnsi="Times New Roman" w:cs="Times New Roman"/>
                <w:sz w:val="24"/>
                <w:szCs w:val="24"/>
              </w:rPr>
              <w:t xml:space="preserve">we </w:t>
            </w:r>
            <w:r w:rsidR="00920DBD" w:rsidRPr="000A0144">
              <w:rPr>
                <w:rFonts w:ascii="Times New Roman" w:hAnsi="Times New Roman" w:cs="Times New Roman"/>
                <w:sz w:val="24"/>
                <w:szCs w:val="24"/>
              </w:rPr>
              <w:t>distribute</w:t>
            </w:r>
            <w:r w:rsidR="00920DBD">
              <w:rPr>
                <w:rFonts w:ascii="Times New Roman" w:hAnsi="Times New Roman" w:cs="Times New Roman"/>
                <w:sz w:val="24"/>
                <w:szCs w:val="24"/>
              </w:rPr>
              <w:t>d</w:t>
            </w:r>
            <w:r w:rsidR="00920DBD" w:rsidRPr="000A0144">
              <w:rPr>
                <w:rFonts w:ascii="Times New Roman" w:hAnsi="Times New Roman" w:cs="Times New Roman"/>
                <w:sz w:val="24"/>
                <w:szCs w:val="24"/>
              </w:rPr>
              <w:t xml:space="preserve"> the AOD concentration to each PM species in Table S2</w:t>
            </w:r>
            <w:r w:rsidR="008D1F90">
              <w:rPr>
                <w:rFonts w:ascii="Times New Roman" w:hAnsi="Times New Roman" w:cs="Times New Roman"/>
                <w:sz w:val="24"/>
                <w:szCs w:val="24"/>
              </w:rPr>
              <w:t>.</w:t>
            </w:r>
          </w:p>
          <w:p w14:paraId="097F3459" w14:textId="77777777" w:rsidR="00920DBD" w:rsidRPr="00920DBD" w:rsidRDefault="00920DBD" w:rsidP="00A723E0">
            <w:pPr>
              <w:spacing w:line="276" w:lineRule="auto"/>
              <w:rPr>
                <w:rFonts w:ascii="Times New Roman" w:hAnsi="Times New Roman" w:cs="Times New Roman"/>
                <w:sz w:val="24"/>
                <w:szCs w:val="24"/>
              </w:rPr>
            </w:pPr>
          </w:p>
          <w:p w14:paraId="09E62E79" w14:textId="3CB144F0" w:rsidR="00A723E0" w:rsidRDefault="00E639D7" w:rsidP="00A723E0">
            <w:pPr>
              <w:spacing w:line="276" w:lineRule="auto"/>
              <w:rPr>
                <w:rFonts w:ascii="Times New Roman" w:hAnsi="Times New Roman" w:cs="Times New Roman"/>
                <w:sz w:val="24"/>
                <w:szCs w:val="24"/>
              </w:rPr>
            </w:pPr>
            <w:r>
              <w:rPr>
                <w:rFonts w:ascii="Times New Roman" w:hAnsi="Times New Roman" w:cs="Times New Roman" w:hint="eastAsia"/>
                <w:sz w:val="24"/>
                <w:szCs w:val="24"/>
              </w:rPr>
              <w:t>U</w:t>
            </w:r>
            <w:r>
              <w:rPr>
                <w:rFonts w:ascii="Times New Roman" w:hAnsi="Times New Roman" w:cs="Times New Roman"/>
                <w:sz w:val="24"/>
                <w:szCs w:val="24"/>
              </w:rPr>
              <w:t>nlike NO</w:t>
            </w:r>
            <w:r w:rsidRPr="009C6CE9">
              <w:rPr>
                <w:rFonts w:ascii="Times New Roman" w:hAnsi="Times New Roman" w:cs="Times New Roman"/>
                <w:sz w:val="24"/>
                <w:szCs w:val="24"/>
                <w:vertAlign w:val="subscript"/>
              </w:rPr>
              <w:t>2</w:t>
            </w:r>
            <w:r>
              <w:rPr>
                <w:rFonts w:ascii="Times New Roman" w:hAnsi="Times New Roman" w:cs="Times New Roman"/>
                <w:sz w:val="24"/>
                <w:szCs w:val="24"/>
              </w:rPr>
              <w:t xml:space="preserve"> in this study (</w:t>
            </w:r>
            <w:r w:rsidR="008D1F90">
              <w:rPr>
                <w:rFonts w:ascii="Times New Roman" w:hAnsi="Times New Roman" w:cs="Times New Roman"/>
                <w:sz w:val="24"/>
                <w:szCs w:val="24"/>
              </w:rPr>
              <w:t xml:space="preserve">for which </w:t>
            </w:r>
            <w:r>
              <w:rPr>
                <w:rFonts w:ascii="Times New Roman" w:hAnsi="Times New Roman" w:cs="Times New Roman"/>
                <w:sz w:val="24"/>
                <w:szCs w:val="24"/>
              </w:rPr>
              <w:t xml:space="preserve">reference observations </w:t>
            </w:r>
            <w:r w:rsidR="008D1F90">
              <w:rPr>
                <w:rFonts w:ascii="Times New Roman" w:hAnsi="Times New Roman" w:cs="Times New Roman"/>
                <w:sz w:val="24"/>
                <w:szCs w:val="24"/>
              </w:rPr>
              <w:t xml:space="preserve">were </w:t>
            </w:r>
            <w:r>
              <w:rPr>
                <w:rFonts w:ascii="Times New Roman" w:hAnsi="Times New Roman" w:cs="Times New Roman"/>
                <w:sz w:val="24"/>
                <w:szCs w:val="24"/>
              </w:rPr>
              <w:t xml:space="preserve">available owing to TROPOMI), </w:t>
            </w:r>
            <w:r w:rsidR="00A723E0">
              <w:rPr>
                <w:rFonts w:ascii="Times New Roman" w:hAnsi="Times New Roman" w:cs="Times New Roman"/>
                <w:sz w:val="24"/>
                <w:szCs w:val="24"/>
              </w:rPr>
              <w:t xml:space="preserve">no routine observations have been made until today for the concentrations of individual </w:t>
            </w:r>
            <w:r>
              <w:rPr>
                <w:rFonts w:ascii="Times New Roman" w:hAnsi="Times New Roman" w:cs="Times New Roman"/>
                <w:sz w:val="24"/>
                <w:szCs w:val="24"/>
              </w:rPr>
              <w:t>primary PM species (</w:t>
            </w:r>
            <w:r w:rsidR="00A723E0">
              <w:rPr>
                <w:rFonts w:ascii="Times New Roman" w:hAnsi="Times New Roman" w:cs="Times New Roman"/>
                <w:sz w:val="24"/>
                <w:szCs w:val="24"/>
              </w:rPr>
              <w:t xml:space="preserve">i.e., </w:t>
            </w:r>
            <w:r>
              <w:rPr>
                <w:rFonts w:ascii="Times New Roman" w:hAnsi="Times New Roman" w:cs="Times New Roman"/>
                <w:sz w:val="24"/>
                <w:szCs w:val="24"/>
              </w:rPr>
              <w:t xml:space="preserve">those species used </w:t>
            </w:r>
            <w:r w:rsidR="00A723E0">
              <w:rPr>
                <w:rFonts w:ascii="Times New Roman" w:hAnsi="Times New Roman" w:cs="Times New Roman"/>
                <w:sz w:val="24"/>
                <w:szCs w:val="24"/>
              </w:rPr>
              <w:t xml:space="preserve">in </w:t>
            </w:r>
            <w:r>
              <w:rPr>
                <w:rFonts w:ascii="Times New Roman" w:hAnsi="Times New Roman" w:cs="Times New Roman"/>
                <w:sz w:val="24"/>
                <w:szCs w:val="24"/>
              </w:rPr>
              <w:t>CMAQ’s AOD calculation) in a top-down manner.</w:t>
            </w:r>
          </w:p>
          <w:p w14:paraId="0F8AFF6A" w14:textId="77777777" w:rsidR="00A723E0" w:rsidRDefault="00A723E0" w:rsidP="00A723E0">
            <w:pPr>
              <w:spacing w:line="276" w:lineRule="auto"/>
              <w:rPr>
                <w:rFonts w:ascii="Times New Roman" w:hAnsi="Times New Roman" w:cs="Times New Roman"/>
                <w:sz w:val="24"/>
                <w:szCs w:val="24"/>
              </w:rPr>
            </w:pPr>
          </w:p>
          <w:p w14:paraId="34B63E17" w14:textId="08F5EECC" w:rsidR="008F0658" w:rsidRDefault="00264C16" w:rsidP="00A723E0">
            <w:pPr>
              <w:spacing w:line="276" w:lineRule="auto"/>
              <w:rPr>
                <w:rFonts w:ascii="Times New Roman" w:hAnsi="Times New Roman" w:cs="Times New Roman"/>
                <w:sz w:val="24"/>
                <w:szCs w:val="24"/>
              </w:rPr>
            </w:pPr>
            <w:r>
              <w:rPr>
                <w:rFonts w:ascii="Times New Roman" w:hAnsi="Times New Roman" w:cs="Times New Roman" w:hint="eastAsia"/>
                <w:sz w:val="24"/>
                <w:szCs w:val="24"/>
              </w:rPr>
              <w:t>C</w:t>
            </w:r>
            <w:r>
              <w:rPr>
                <w:rFonts w:ascii="Times New Roman" w:hAnsi="Times New Roman" w:cs="Times New Roman"/>
                <w:sz w:val="24"/>
                <w:szCs w:val="24"/>
              </w:rPr>
              <w:t xml:space="preserve">onsidering such a limitation, we chose the AOD as the reference </w:t>
            </w:r>
            <w:r w:rsidR="00597C50">
              <w:rPr>
                <w:rFonts w:ascii="Times New Roman" w:hAnsi="Times New Roman" w:cs="Times New Roman"/>
                <w:sz w:val="24"/>
                <w:szCs w:val="24"/>
              </w:rPr>
              <w:t xml:space="preserve">for </w:t>
            </w:r>
            <w:r>
              <w:rPr>
                <w:rFonts w:ascii="Times New Roman" w:hAnsi="Times New Roman" w:cs="Times New Roman"/>
                <w:sz w:val="24"/>
                <w:szCs w:val="24"/>
              </w:rPr>
              <w:t xml:space="preserve">adjusting </w:t>
            </w:r>
            <w:r w:rsidR="009C3F78">
              <w:rPr>
                <w:rFonts w:ascii="Times New Roman" w:hAnsi="Times New Roman" w:cs="Times New Roman"/>
                <w:sz w:val="24"/>
                <w:szCs w:val="24"/>
              </w:rPr>
              <w:t>the bottom-up estimates of the primary PM emissions</w:t>
            </w:r>
            <w:r w:rsidR="002014F2">
              <w:rPr>
                <w:rFonts w:ascii="Times New Roman" w:hAnsi="Times New Roman" w:cs="Times New Roman"/>
                <w:sz w:val="24"/>
                <w:szCs w:val="24"/>
              </w:rPr>
              <w:t>.</w:t>
            </w:r>
            <w:r w:rsidR="00E639D7">
              <w:rPr>
                <w:rFonts w:ascii="Times New Roman" w:hAnsi="Times New Roman" w:cs="Times New Roman"/>
                <w:sz w:val="24"/>
                <w:szCs w:val="24"/>
              </w:rPr>
              <w:t xml:space="preserve"> We computed the sensitivity of the total </w:t>
            </w:r>
            <w:r w:rsidR="002014F2">
              <w:rPr>
                <w:rFonts w:ascii="Times New Roman" w:hAnsi="Times New Roman" w:cs="Times New Roman"/>
                <w:sz w:val="24"/>
                <w:szCs w:val="24"/>
              </w:rPr>
              <w:t>primary PM emissions (the summation of</w:t>
            </w:r>
            <w:r w:rsidR="00E639D7">
              <w:rPr>
                <w:rFonts w:ascii="Times New Roman" w:hAnsi="Times New Roman" w:cs="Times New Roman"/>
                <w:sz w:val="24"/>
                <w:szCs w:val="24"/>
              </w:rPr>
              <w:t xml:space="preserve"> the emissions of all</w:t>
            </w:r>
            <w:r w:rsidR="002014F2">
              <w:rPr>
                <w:rFonts w:ascii="Times New Roman" w:hAnsi="Times New Roman" w:cs="Times New Roman"/>
                <w:sz w:val="24"/>
                <w:szCs w:val="24"/>
              </w:rPr>
              <w:t xml:space="preserve"> </w:t>
            </w:r>
            <w:r w:rsidR="00E639D7">
              <w:rPr>
                <w:rFonts w:ascii="Times New Roman" w:hAnsi="Times New Roman" w:cs="Times New Roman"/>
                <w:sz w:val="24"/>
                <w:szCs w:val="24"/>
              </w:rPr>
              <w:t xml:space="preserve">19 </w:t>
            </w:r>
            <w:r w:rsidR="002014F2">
              <w:rPr>
                <w:rFonts w:ascii="Times New Roman" w:hAnsi="Times New Roman" w:cs="Times New Roman"/>
                <w:sz w:val="24"/>
                <w:szCs w:val="24"/>
              </w:rPr>
              <w:t xml:space="preserve">individual </w:t>
            </w:r>
            <w:r w:rsidR="00E639D7">
              <w:rPr>
                <w:rFonts w:ascii="Times New Roman" w:hAnsi="Times New Roman" w:cs="Times New Roman"/>
                <w:sz w:val="24"/>
                <w:szCs w:val="24"/>
              </w:rPr>
              <w:t>primary PM species</w:t>
            </w:r>
            <w:r w:rsidR="002014F2">
              <w:rPr>
                <w:rFonts w:ascii="Times New Roman" w:hAnsi="Times New Roman" w:cs="Times New Roman"/>
                <w:sz w:val="24"/>
                <w:szCs w:val="24"/>
              </w:rPr>
              <w:t>)</w:t>
            </w:r>
            <w:r w:rsidR="00E639D7">
              <w:rPr>
                <w:rFonts w:ascii="Times New Roman" w:hAnsi="Times New Roman" w:cs="Times New Roman"/>
                <w:sz w:val="24"/>
                <w:szCs w:val="24"/>
              </w:rPr>
              <w:t xml:space="preserve"> with regard to changes in the AOD</w:t>
            </w:r>
            <w:r w:rsidR="002014F2">
              <w:rPr>
                <w:rFonts w:ascii="Times New Roman" w:hAnsi="Times New Roman" w:cs="Times New Roman"/>
                <w:sz w:val="24"/>
                <w:szCs w:val="24"/>
              </w:rPr>
              <w:t xml:space="preserve">; </w:t>
            </w:r>
            <w:r w:rsidR="00E639D7" w:rsidRPr="00E639D7">
              <w:rPr>
                <w:rFonts w:ascii="Times New Roman" w:hAnsi="Times New Roman" w:cs="Times New Roman"/>
                <w:sz w:val="24"/>
                <w:szCs w:val="24"/>
              </w:rPr>
              <w:t xml:space="preserve">therefore, the resultant adjustment ratio </w:t>
            </w:r>
            <w:r w:rsidR="00E639D7">
              <w:rPr>
                <w:rFonts w:ascii="Times New Roman" w:hAnsi="Times New Roman" w:cs="Times New Roman"/>
                <w:sz w:val="24"/>
                <w:szCs w:val="24"/>
              </w:rPr>
              <w:t xml:space="preserve">was </w:t>
            </w:r>
            <w:r w:rsidR="00E639D7" w:rsidRPr="00E639D7">
              <w:rPr>
                <w:rFonts w:ascii="Times New Roman" w:hAnsi="Times New Roman" w:cs="Times New Roman"/>
                <w:sz w:val="24"/>
                <w:szCs w:val="24"/>
              </w:rPr>
              <w:t xml:space="preserve">applied to the emissions of </w:t>
            </w:r>
            <w:r w:rsidR="00A723E0">
              <w:rPr>
                <w:rFonts w:ascii="Times New Roman" w:hAnsi="Times New Roman" w:cs="Times New Roman"/>
                <w:sz w:val="24"/>
                <w:szCs w:val="24"/>
              </w:rPr>
              <w:t xml:space="preserve">each of the </w:t>
            </w:r>
            <w:r w:rsidR="00E639D7" w:rsidRPr="00E639D7">
              <w:rPr>
                <w:rFonts w:ascii="Times New Roman" w:hAnsi="Times New Roman" w:cs="Times New Roman"/>
                <w:sz w:val="24"/>
                <w:szCs w:val="24"/>
              </w:rPr>
              <w:t xml:space="preserve">primary PM species </w:t>
            </w:r>
            <w:r w:rsidR="00DB6CA8">
              <w:rPr>
                <w:rFonts w:ascii="Times New Roman" w:hAnsi="Times New Roman" w:cs="Times New Roman"/>
                <w:sz w:val="24"/>
                <w:szCs w:val="24"/>
              </w:rPr>
              <w:t>“</w:t>
            </w:r>
            <w:r w:rsidR="00E639D7" w:rsidRPr="00E639D7">
              <w:rPr>
                <w:rFonts w:ascii="Times New Roman" w:hAnsi="Times New Roman" w:cs="Times New Roman"/>
                <w:sz w:val="24"/>
                <w:szCs w:val="24"/>
              </w:rPr>
              <w:t>equally</w:t>
            </w:r>
            <w:r w:rsidR="00DB6CA8">
              <w:rPr>
                <w:rFonts w:ascii="Times New Roman" w:hAnsi="Times New Roman" w:cs="Times New Roman"/>
                <w:sz w:val="24"/>
                <w:szCs w:val="24"/>
              </w:rPr>
              <w:t>”</w:t>
            </w:r>
            <w:r w:rsidR="00E639D7" w:rsidRPr="00E639D7">
              <w:rPr>
                <w:rFonts w:ascii="Times New Roman" w:hAnsi="Times New Roman" w:cs="Times New Roman"/>
                <w:sz w:val="24"/>
                <w:szCs w:val="24"/>
              </w:rPr>
              <w:t>, not in a selective manner</w:t>
            </w:r>
            <w:r w:rsidR="00E639D7">
              <w:rPr>
                <w:rFonts w:ascii="Times New Roman" w:hAnsi="Times New Roman" w:cs="Times New Roman"/>
                <w:sz w:val="24"/>
                <w:szCs w:val="24"/>
              </w:rPr>
              <w:t xml:space="preserve"> (</w:t>
            </w:r>
            <w:r w:rsidR="004168B0">
              <w:rPr>
                <w:rFonts w:ascii="Times New Roman" w:hAnsi="Times New Roman" w:cs="Times New Roman"/>
                <w:sz w:val="24"/>
                <w:szCs w:val="24"/>
              </w:rPr>
              <w:t xml:space="preserve">mainly </w:t>
            </w:r>
            <w:r w:rsidR="00E639D7">
              <w:rPr>
                <w:rFonts w:ascii="Times New Roman" w:hAnsi="Times New Roman" w:cs="Times New Roman"/>
                <w:sz w:val="24"/>
                <w:szCs w:val="24"/>
              </w:rPr>
              <w:t>due to the absence of observation references</w:t>
            </w:r>
            <w:r w:rsidR="00441CF4">
              <w:rPr>
                <w:rFonts w:ascii="Times New Roman" w:hAnsi="Times New Roman" w:cs="Times New Roman"/>
                <w:sz w:val="24"/>
                <w:szCs w:val="24"/>
              </w:rPr>
              <w:t xml:space="preserve"> available for those species, </w:t>
            </w:r>
            <w:r w:rsidR="004168B0">
              <w:rPr>
                <w:rFonts w:ascii="Times New Roman" w:hAnsi="Times New Roman" w:cs="Times New Roman"/>
                <w:sz w:val="24"/>
                <w:szCs w:val="24"/>
              </w:rPr>
              <w:t xml:space="preserve">and partially </w:t>
            </w:r>
            <w:r w:rsidR="00441CF4">
              <w:rPr>
                <w:rFonts w:ascii="Times New Roman" w:hAnsi="Times New Roman" w:cs="Times New Roman"/>
                <w:sz w:val="24"/>
                <w:szCs w:val="24"/>
              </w:rPr>
              <w:t>for the reason addressed below</w:t>
            </w:r>
            <w:r w:rsidR="00E639D7">
              <w:rPr>
                <w:rFonts w:ascii="Times New Roman" w:hAnsi="Times New Roman" w:cs="Times New Roman"/>
                <w:sz w:val="24"/>
                <w:szCs w:val="24"/>
              </w:rPr>
              <w:t>).</w:t>
            </w:r>
          </w:p>
          <w:p w14:paraId="400C175B" w14:textId="182B3829" w:rsidR="004F12F1" w:rsidRPr="00A723E0" w:rsidRDefault="004F12F1" w:rsidP="005A6259">
            <w:pPr>
              <w:spacing w:line="276" w:lineRule="auto"/>
              <w:rPr>
                <w:rFonts w:ascii="Times New Roman" w:hAnsi="Times New Roman" w:cs="Times New Roman"/>
                <w:sz w:val="24"/>
                <w:szCs w:val="24"/>
              </w:rPr>
            </w:pPr>
          </w:p>
          <w:p w14:paraId="4F0F54E6" w14:textId="33C0A82A" w:rsidR="00290782" w:rsidRDefault="006967BE" w:rsidP="005A6259">
            <w:pPr>
              <w:spacing w:line="276" w:lineRule="auto"/>
              <w:rPr>
                <w:rFonts w:ascii="Times New Roman" w:hAnsi="Times New Roman" w:cs="Times New Roman"/>
                <w:sz w:val="24"/>
                <w:szCs w:val="24"/>
              </w:rPr>
            </w:pPr>
            <w:r>
              <w:rPr>
                <w:rFonts w:ascii="Times New Roman" w:hAnsi="Times New Roman" w:cs="Times New Roman"/>
                <w:sz w:val="24"/>
                <w:szCs w:val="24"/>
              </w:rPr>
              <w:t xml:space="preserve">One limitation of our approach above is that the adjustment of the total primary PM emissions does not help us capture the </w:t>
            </w:r>
            <w:r w:rsidR="00DD4243">
              <w:rPr>
                <w:rFonts w:ascii="Times New Roman" w:hAnsi="Times New Roman" w:cs="Times New Roman"/>
                <w:sz w:val="24"/>
                <w:szCs w:val="24"/>
              </w:rPr>
              <w:t xml:space="preserve">contribution of each </w:t>
            </w:r>
            <w:r w:rsidR="00A723E0">
              <w:rPr>
                <w:rFonts w:ascii="Times New Roman" w:hAnsi="Times New Roman" w:cs="Times New Roman"/>
                <w:sz w:val="24"/>
                <w:szCs w:val="24"/>
              </w:rPr>
              <w:t xml:space="preserve">individual </w:t>
            </w:r>
            <w:r w:rsidR="00DD4243">
              <w:rPr>
                <w:rFonts w:ascii="Times New Roman" w:hAnsi="Times New Roman" w:cs="Times New Roman"/>
                <w:sz w:val="24"/>
                <w:szCs w:val="24"/>
              </w:rPr>
              <w:t xml:space="preserve">species </w:t>
            </w:r>
            <w:r w:rsidR="008F4A2C">
              <w:rPr>
                <w:rFonts w:ascii="Times New Roman" w:hAnsi="Times New Roman" w:cs="Times New Roman"/>
                <w:sz w:val="24"/>
                <w:szCs w:val="24"/>
              </w:rPr>
              <w:t>to the AOD</w:t>
            </w:r>
            <w:r w:rsidR="007E6FE2">
              <w:rPr>
                <w:rFonts w:ascii="Times New Roman" w:hAnsi="Times New Roman" w:cs="Times New Roman"/>
                <w:sz w:val="24"/>
                <w:szCs w:val="24"/>
              </w:rPr>
              <w:t>, which</w:t>
            </w:r>
            <w:r>
              <w:rPr>
                <w:rFonts w:ascii="Times New Roman" w:hAnsi="Times New Roman" w:cs="Times New Roman"/>
                <w:sz w:val="24"/>
                <w:szCs w:val="24"/>
              </w:rPr>
              <w:t xml:space="preserve"> </w:t>
            </w:r>
            <w:r w:rsidR="008F4A2C">
              <w:rPr>
                <w:rFonts w:ascii="Times New Roman" w:hAnsi="Times New Roman" w:cs="Times New Roman"/>
                <w:sz w:val="24"/>
                <w:szCs w:val="24"/>
              </w:rPr>
              <w:t>can vary with meteorolog</w:t>
            </w:r>
            <w:r w:rsidR="00F82C85">
              <w:rPr>
                <w:rFonts w:ascii="Times New Roman" w:hAnsi="Times New Roman" w:cs="Times New Roman"/>
                <w:sz w:val="24"/>
                <w:szCs w:val="24"/>
              </w:rPr>
              <w:t>ical conditions</w:t>
            </w:r>
            <w:r w:rsidR="008F4A2C">
              <w:rPr>
                <w:rFonts w:ascii="Times New Roman" w:hAnsi="Times New Roman" w:cs="Times New Roman"/>
                <w:sz w:val="24"/>
                <w:szCs w:val="24"/>
              </w:rPr>
              <w:t xml:space="preserve"> (</w:t>
            </w:r>
            <w:r w:rsidR="00441CF4">
              <w:rPr>
                <w:rFonts w:ascii="Times New Roman" w:hAnsi="Times New Roman" w:cs="Times New Roman"/>
                <w:sz w:val="24"/>
                <w:szCs w:val="24"/>
              </w:rPr>
              <w:t>e</w:t>
            </w:r>
            <w:r w:rsidR="008F4A2C">
              <w:rPr>
                <w:rFonts w:ascii="Times New Roman" w:hAnsi="Times New Roman" w:cs="Times New Roman"/>
                <w:sz w:val="24"/>
                <w:szCs w:val="24"/>
              </w:rPr>
              <w:t>.</w:t>
            </w:r>
            <w:r w:rsidR="00441CF4">
              <w:rPr>
                <w:rFonts w:ascii="Times New Roman" w:hAnsi="Times New Roman" w:cs="Times New Roman"/>
                <w:sz w:val="24"/>
                <w:szCs w:val="24"/>
              </w:rPr>
              <w:t>g</w:t>
            </w:r>
            <w:r w:rsidR="008F4A2C">
              <w:rPr>
                <w:rFonts w:ascii="Times New Roman" w:hAnsi="Times New Roman" w:cs="Times New Roman"/>
                <w:sz w:val="24"/>
                <w:szCs w:val="24"/>
              </w:rPr>
              <w:t xml:space="preserve">., </w:t>
            </w:r>
            <w:r w:rsidR="00F82C85">
              <w:rPr>
                <w:rFonts w:ascii="Times New Roman" w:hAnsi="Times New Roman" w:cs="Times New Roman"/>
                <w:sz w:val="24"/>
                <w:szCs w:val="24"/>
              </w:rPr>
              <w:t xml:space="preserve">humidity), aerosol properties (e.g., </w:t>
            </w:r>
            <w:r w:rsidR="008F4A2C">
              <w:rPr>
                <w:rFonts w:ascii="Times New Roman" w:hAnsi="Times New Roman" w:cs="Times New Roman"/>
                <w:sz w:val="24"/>
                <w:szCs w:val="24"/>
              </w:rPr>
              <w:t>h</w:t>
            </w:r>
            <w:r w:rsidR="008F4A2C" w:rsidRPr="00541307">
              <w:rPr>
                <w:rFonts w:ascii="Times New Roman" w:hAnsi="Times New Roman" w:cs="Times New Roman"/>
                <w:sz w:val="24"/>
                <w:szCs w:val="24"/>
              </w:rPr>
              <w:t>ygroscopicity</w:t>
            </w:r>
            <w:r w:rsidR="00F82C85">
              <w:rPr>
                <w:rFonts w:ascii="Times New Roman" w:hAnsi="Times New Roman" w:cs="Times New Roman"/>
                <w:sz w:val="24"/>
                <w:szCs w:val="24"/>
              </w:rPr>
              <w:t>, absorbance, and size distribution</w:t>
            </w:r>
            <w:r w:rsidR="008F4A2C">
              <w:rPr>
                <w:rFonts w:ascii="Times New Roman" w:hAnsi="Times New Roman" w:cs="Times New Roman"/>
                <w:sz w:val="24"/>
                <w:szCs w:val="24"/>
              </w:rPr>
              <w:t>)</w:t>
            </w:r>
            <w:r w:rsidR="00F82C85">
              <w:rPr>
                <w:rFonts w:ascii="Times New Roman" w:hAnsi="Times New Roman" w:cs="Times New Roman"/>
                <w:sz w:val="24"/>
                <w:szCs w:val="24"/>
              </w:rPr>
              <w:t>,</w:t>
            </w:r>
            <w:r w:rsidR="008F4A2C">
              <w:rPr>
                <w:rFonts w:ascii="Times New Roman" w:hAnsi="Times New Roman" w:cs="Times New Roman"/>
                <w:sz w:val="24"/>
                <w:szCs w:val="24"/>
              </w:rPr>
              <w:t xml:space="preserve"> </w:t>
            </w:r>
            <w:r w:rsidR="00F82C85">
              <w:rPr>
                <w:rFonts w:ascii="Times New Roman" w:hAnsi="Times New Roman" w:cs="Times New Roman"/>
                <w:sz w:val="24"/>
                <w:szCs w:val="24"/>
              </w:rPr>
              <w:t xml:space="preserve">and </w:t>
            </w:r>
            <w:r w:rsidR="008F4A2C">
              <w:rPr>
                <w:rFonts w:ascii="Times New Roman" w:hAnsi="Times New Roman" w:cs="Times New Roman"/>
                <w:sz w:val="24"/>
                <w:szCs w:val="24"/>
              </w:rPr>
              <w:t>characteristics of emissions sources (</w:t>
            </w:r>
            <w:r w:rsidR="00441CF4">
              <w:rPr>
                <w:rFonts w:ascii="Times New Roman" w:hAnsi="Times New Roman" w:cs="Times New Roman"/>
                <w:sz w:val="24"/>
                <w:szCs w:val="24"/>
              </w:rPr>
              <w:t>e</w:t>
            </w:r>
            <w:r w:rsidR="008F4A2C">
              <w:rPr>
                <w:rFonts w:ascii="Times New Roman" w:hAnsi="Times New Roman" w:cs="Times New Roman"/>
                <w:sz w:val="24"/>
                <w:szCs w:val="24"/>
              </w:rPr>
              <w:t>.</w:t>
            </w:r>
            <w:r w:rsidR="00441CF4">
              <w:rPr>
                <w:rFonts w:ascii="Times New Roman" w:hAnsi="Times New Roman" w:cs="Times New Roman"/>
                <w:sz w:val="24"/>
                <w:szCs w:val="24"/>
              </w:rPr>
              <w:t>g</w:t>
            </w:r>
            <w:r w:rsidR="008F4A2C">
              <w:rPr>
                <w:rFonts w:ascii="Times New Roman" w:hAnsi="Times New Roman" w:cs="Times New Roman"/>
                <w:sz w:val="24"/>
                <w:szCs w:val="24"/>
              </w:rPr>
              <w:t>., deserts)</w:t>
            </w:r>
            <w:r w:rsidR="00441CF4">
              <w:rPr>
                <w:rFonts w:ascii="Times New Roman" w:hAnsi="Times New Roman" w:cs="Times New Roman"/>
                <w:sz w:val="24"/>
                <w:szCs w:val="24"/>
              </w:rPr>
              <w:t xml:space="preserve"> where the uncertainty in </w:t>
            </w:r>
            <w:r w:rsidR="00C617EB">
              <w:rPr>
                <w:rFonts w:ascii="Times New Roman" w:hAnsi="Times New Roman" w:cs="Times New Roman"/>
                <w:sz w:val="24"/>
                <w:szCs w:val="24"/>
              </w:rPr>
              <w:t xml:space="preserve">the </w:t>
            </w:r>
            <w:r w:rsidR="00441CF4">
              <w:rPr>
                <w:rFonts w:ascii="Times New Roman" w:hAnsi="Times New Roman" w:cs="Times New Roman"/>
                <w:sz w:val="24"/>
                <w:szCs w:val="24"/>
              </w:rPr>
              <w:t xml:space="preserve">a priori </w:t>
            </w:r>
            <w:r w:rsidR="00385D9A">
              <w:rPr>
                <w:rFonts w:ascii="Times New Roman" w:hAnsi="Times New Roman" w:cs="Times New Roman"/>
                <w:sz w:val="24"/>
                <w:szCs w:val="24"/>
              </w:rPr>
              <w:t>(</w:t>
            </w:r>
            <w:r w:rsidR="00441CF4">
              <w:rPr>
                <w:rFonts w:ascii="Times New Roman" w:hAnsi="Times New Roman" w:cs="Times New Roman"/>
                <w:sz w:val="24"/>
                <w:szCs w:val="24"/>
              </w:rPr>
              <w:t>emissions</w:t>
            </w:r>
            <w:r w:rsidR="00385D9A">
              <w:rPr>
                <w:rFonts w:ascii="Times New Roman" w:hAnsi="Times New Roman" w:cs="Times New Roman"/>
                <w:sz w:val="24"/>
                <w:szCs w:val="24"/>
              </w:rPr>
              <w:t>)</w:t>
            </w:r>
            <w:r w:rsidR="00441CF4">
              <w:rPr>
                <w:rFonts w:ascii="Times New Roman" w:hAnsi="Times New Roman" w:cs="Times New Roman"/>
                <w:sz w:val="24"/>
                <w:szCs w:val="24"/>
              </w:rPr>
              <w:t xml:space="preserve"> is not negligible</w:t>
            </w:r>
            <w:r w:rsidR="00C617EB">
              <w:rPr>
                <w:rFonts w:ascii="Times New Roman" w:hAnsi="Times New Roman" w:cs="Times New Roman"/>
                <w:sz w:val="24"/>
                <w:szCs w:val="24"/>
              </w:rPr>
              <w:t xml:space="preserve">. To compute the AOD while </w:t>
            </w:r>
            <w:r w:rsidR="00C617EB">
              <w:rPr>
                <w:rFonts w:ascii="Times New Roman" w:hAnsi="Times New Roman" w:cs="Times New Roman"/>
                <w:sz w:val="24"/>
                <w:szCs w:val="24"/>
              </w:rPr>
              <w:lastRenderedPageBreak/>
              <w:t xml:space="preserve">maneuvering around </w:t>
            </w:r>
            <w:r w:rsidR="00F82C85" w:rsidRPr="00F82C85">
              <w:rPr>
                <w:rFonts w:ascii="Times New Roman" w:hAnsi="Times New Roman" w:cs="Times New Roman"/>
                <w:sz w:val="24"/>
                <w:szCs w:val="24"/>
              </w:rPr>
              <w:t>rigorous optical calculation</w:t>
            </w:r>
            <w:r w:rsidR="00920DBD">
              <w:rPr>
                <w:rFonts w:ascii="Times New Roman" w:hAnsi="Times New Roman" w:cs="Times New Roman"/>
                <w:sz w:val="24"/>
                <w:szCs w:val="24"/>
              </w:rPr>
              <w:t>s</w:t>
            </w:r>
            <w:r w:rsidR="00F82C85">
              <w:rPr>
                <w:rFonts w:ascii="Times New Roman" w:hAnsi="Times New Roman" w:cs="Times New Roman"/>
                <w:sz w:val="24"/>
                <w:szCs w:val="24"/>
              </w:rPr>
              <w:t xml:space="preserve"> </w:t>
            </w:r>
            <w:r w:rsidR="00920DBD">
              <w:rPr>
                <w:rFonts w:ascii="Times New Roman" w:hAnsi="Times New Roman" w:cs="Times New Roman"/>
                <w:sz w:val="24"/>
                <w:szCs w:val="24"/>
              </w:rPr>
              <w:t>devoted for</w:t>
            </w:r>
            <w:r w:rsidR="00F82C85">
              <w:rPr>
                <w:rFonts w:ascii="Times New Roman" w:hAnsi="Times New Roman" w:cs="Times New Roman"/>
                <w:sz w:val="24"/>
                <w:szCs w:val="24"/>
              </w:rPr>
              <w:t xml:space="preserve"> all those</w:t>
            </w:r>
            <w:r w:rsidR="00A723E0">
              <w:rPr>
                <w:rFonts w:ascii="Times New Roman" w:hAnsi="Times New Roman" w:cs="Times New Roman"/>
                <w:sz w:val="24"/>
                <w:szCs w:val="24"/>
              </w:rPr>
              <w:t xml:space="preserve"> drivers</w:t>
            </w:r>
            <w:r w:rsidR="00C617EB">
              <w:rPr>
                <w:rFonts w:ascii="Times New Roman" w:hAnsi="Times New Roman" w:cs="Times New Roman"/>
                <w:sz w:val="24"/>
                <w:szCs w:val="24"/>
              </w:rPr>
              <w:t xml:space="preserve">, CMAQ (versions earlier than 5.3) </w:t>
            </w:r>
            <w:r w:rsidR="00F82C85">
              <w:rPr>
                <w:rFonts w:ascii="Times New Roman" w:hAnsi="Times New Roman" w:cs="Times New Roman"/>
                <w:sz w:val="24"/>
                <w:szCs w:val="24"/>
              </w:rPr>
              <w:t xml:space="preserve">employs </w:t>
            </w:r>
            <w:r w:rsidR="00174E94">
              <w:rPr>
                <w:rFonts w:ascii="Times New Roman" w:hAnsi="Times New Roman" w:cs="Times New Roman"/>
                <w:sz w:val="24"/>
                <w:szCs w:val="24"/>
              </w:rPr>
              <w:t>an empirical approach (</w:t>
            </w:r>
            <w:r w:rsidR="00290782">
              <w:rPr>
                <w:rFonts w:ascii="Times New Roman" w:hAnsi="Times New Roman" w:cs="Times New Roman"/>
                <w:sz w:val="24"/>
                <w:szCs w:val="24"/>
              </w:rPr>
              <w:t xml:space="preserve">Malm et al., 1994; </w:t>
            </w:r>
            <w:r w:rsidR="00174E94">
              <w:rPr>
                <w:rFonts w:ascii="Times New Roman" w:hAnsi="Times New Roman" w:cs="Times New Roman"/>
                <w:sz w:val="24"/>
                <w:szCs w:val="24"/>
              </w:rPr>
              <w:t>Binkowski et al., 20</w:t>
            </w:r>
            <w:r w:rsidR="00F74514">
              <w:rPr>
                <w:rFonts w:ascii="Times New Roman" w:hAnsi="Times New Roman" w:cs="Times New Roman"/>
                <w:sz w:val="24"/>
                <w:szCs w:val="24"/>
              </w:rPr>
              <w:t>0</w:t>
            </w:r>
            <w:r w:rsidR="00174E94">
              <w:rPr>
                <w:rFonts w:ascii="Times New Roman" w:hAnsi="Times New Roman" w:cs="Times New Roman"/>
                <w:sz w:val="24"/>
                <w:szCs w:val="24"/>
              </w:rPr>
              <w:t xml:space="preserve">3) </w:t>
            </w:r>
            <w:r w:rsidR="0018359C">
              <w:rPr>
                <w:rFonts w:ascii="Times New Roman" w:hAnsi="Times New Roman" w:cs="Times New Roman"/>
                <w:sz w:val="24"/>
                <w:szCs w:val="24"/>
              </w:rPr>
              <w:t xml:space="preserve">that </w:t>
            </w:r>
            <w:r w:rsidR="00950C6C">
              <w:rPr>
                <w:rFonts w:ascii="Times New Roman" w:hAnsi="Times New Roman" w:cs="Times New Roman"/>
                <w:sz w:val="24"/>
                <w:szCs w:val="24"/>
              </w:rPr>
              <w:t xml:space="preserve">first lumps </w:t>
            </w:r>
            <w:r w:rsidR="004168B0">
              <w:rPr>
                <w:rFonts w:ascii="Times New Roman" w:hAnsi="Times New Roman" w:cs="Times New Roman"/>
                <w:sz w:val="24"/>
                <w:szCs w:val="24"/>
              </w:rPr>
              <w:t xml:space="preserve">the primary PM species into </w:t>
            </w:r>
            <w:r w:rsidR="00950C6C">
              <w:rPr>
                <w:rFonts w:ascii="Times New Roman" w:hAnsi="Times New Roman" w:cs="Times New Roman"/>
                <w:sz w:val="24"/>
                <w:szCs w:val="24"/>
              </w:rPr>
              <w:t xml:space="preserve">bigger terms </w:t>
            </w:r>
            <w:r w:rsidR="00147BF3">
              <w:rPr>
                <w:rFonts w:ascii="Times New Roman" w:hAnsi="Times New Roman" w:cs="Times New Roman"/>
                <w:sz w:val="24"/>
                <w:szCs w:val="24"/>
              </w:rPr>
              <w:t xml:space="preserve">of mass concentrations </w:t>
            </w:r>
            <w:r w:rsidR="00950C6C">
              <w:rPr>
                <w:rFonts w:ascii="Times New Roman" w:hAnsi="Times New Roman" w:cs="Times New Roman"/>
                <w:sz w:val="24"/>
                <w:szCs w:val="24"/>
              </w:rPr>
              <w:t xml:space="preserve">(e.g., </w:t>
            </w:r>
            <w:r w:rsidR="00147BF3">
              <w:rPr>
                <w:rFonts w:ascii="Times New Roman" w:hAnsi="Times New Roman" w:cs="Times New Roman"/>
                <w:sz w:val="24"/>
                <w:szCs w:val="24"/>
              </w:rPr>
              <w:t xml:space="preserve">sum of </w:t>
            </w:r>
            <w:r w:rsidR="00950C6C">
              <w:rPr>
                <w:rFonts w:ascii="Times New Roman" w:hAnsi="Times New Roman" w:cs="Times New Roman"/>
                <w:sz w:val="24"/>
                <w:szCs w:val="24"/>
              </w:rPr>
              <w:t xml:space="preserve">light absorbing carbon, </w:t>
            </w:r>
            <w:r w:rsidR="00920DBD">
              <w:rPr>
                <w:rFonts w:ascii="Times New Roman" w:hAnsi="Times New Roman" w:cs="Times New Roman"/>
                <w:sz w:val="24"/>
                <w:szCs w:val="24"/>
              </w:rPr>
              <w:t xml:space="preserve">sum of </w:t>
            </w:r>
            <w:r w:rsidR="00950C6C">
              <w:rPr>
                <w:rFonts w:ascii="Times New Roman" w:hAnsi="Times New Roman" w:cs="Times New Roman"/>
                <w:sz w:val="24"/>
                <w:szCs w:val="24"/>
              </w:rPr>
              <w:t xml:space="preserve">organic mass, </w:t>
            </w:r>
            <w:r w:rsidR="00920DBD">
              <w:rPr>
                <w:rFonts w:ascii="Times New Roman" w:hAnsi="Times New Roman" w:cs="Times New Roman"/>
                <w:sz w:val="24"/>
                <w:szCs w:val="24"/>
              </w:rPr>
              <w:t xml:space="preserve">sum of </w:t>
            </w:r>
            <w:r w:rsidR="00950C6C">
              <w:rPr>
                <w:rFonts w:ascii="Times New Roman" w:hAnsi="Times New Roman" w:cs="Times New Roman"/>
                <w:sz w:val="24"/>
                <w:szCs w:val="24"/>
              </w:rPr>
              <w:t xml:space="preserve">fine soil, </w:t>
            </w:r>
            <w:r w:rsidR="00920DBD">
              <w:rPr>
                <w:rFonts w:ascii="Times New Roman" w:hAnsi="Times New Roman" w:cs="Times New Roman"/>
                <w:sz w:val="24"/>
                <w:szCs w:val="24"/>
              </w:rPr>
              <w:t>etc.</w:t>
            </w:r>
            <w:r w:rsidR="00950C6C">
              <w:rPr>
                <w:rFonts w:ascii="Times New Roman" w:hAnsi="Times New Roman" w:cs="Times New Roman"/>
                <w:sz w:val="24"/>
                <w:szCs w:val="24"/>
              </w:rPr>
              <w:t>)</w:t>
            </w:r>
            <w:r w:rsidR="00147BF3">
              <w:rPr>
                <w:rFonts w:ascii="Times New Roman" w:hAnsi="Times New Roman" w:cs="Times New Roman"/>
                <w:sz w:val="24"/>
                <w:szCs w:val="24"/>
              </w:rPr>
              <w:t xml:space="preserve"> and then</w:t>
            </w:r>
            <w:r w:rsidR="00147BF3">
              <w:rPr>
                <w:rFonts w:ascii="Times New Roman" w:hAnsi="Times New Roman" w:cs="Times New Roman" w:hint="eastAsia"/>
                <w:sz w:val="24"/>
                <w:szCs w:val="24"/>
              </w:rPr>
              <w:t xml:space="preserve"> </w:t>
            </w:r>
            <w:r w:rsidR="00B87195">
              <w:rPr>
                <w:rFonts w:ascii="Times New Roman" w:hAnsi="Times New Roman" w:cs="Times New Roman"/>
                <w:sz w:val="24"/>
                <w:szCs w:val="24"/>
              </w:rPr>
              <w:t xml:space="preserve">performs an </w:t>
            </w:r>
            <w:r w:rsidR="00F82C85">
              <w:rPr>
                <w:rFonts w:ascii="Times New Roman" w:hAnsi="Times New Roman" w:cs="Times New Roman"/>
                <w:sz w:val="24"/>
                <w:szCs w:val="24"/>
              </w:rPr>
              <w:t>approximat</w:t>
            </w:r>
            <w:r w:rsidR="00B87195">
              <w:rPr>
                <w:rFonts w:ascii="Times New Roman" w:hAnsi="Times New Roman" w:cs="Times New Roman"/>
                <w:sz w:val="24"/>
                <w:szCs w:val="24"/>
              </w:rPr>
              <w:t>ion</w:t>
            </w:r>
            <w:r w:rsidR="0018359C">
              <w:rPr>
                <w:rFonts w:ascii="Times New Roman" w:hAnsi="Times New Roman" w:cs="Times New Roman"/>
                <w:sz w:val="24"/>
                <w:szCs w:val="24"/>
              </w:rPr>
              <w:t xml:space="preserve"> </w:t>
            </w:r>
            <w:r w:rsidR="00B87195">
              <w:rPr>
                <w:rFonts w:ascii="Times New Roman" w:hAnsi="Times New Roman" w:cs="Times New Roman"/>
                <w:sz w:val="24"/>
                <w:szCs w:val="24"/>
              </w:rPr>
              <w:t xml:space="preserve">of </w:t>
            </w:r>
            <w:r w:rsidR="0018359C">
              <w:rPr>
                <w:rFonts w:ascii="Times New Roman" w:hAnsi="Times New Roman" w:cs="Times New Roman"/>
                <w:sz w:val="24"/>
                <w:szCs w:val="24"/>
              </w:rPr>
              <w:t>aerosol extinction coefficients</w:t>
            </w:r>
            <w:r w:rsidR="00B87195">
              <w:rPr>
                <w:rFonts w:ascii="Times New Roman" w:hAnsi="Times New Roman" w:cs="Times New Roman"/>
                <w:sz w:val="24"/>
                <w:szCs w:val="24"/>
              </w:rPr>
              <w:t xml:space="preserve"> by applying </w:t>
            </w:r>
            <w:r w:rsidR="00221312">
              <w:rPr>
                <w:rFonts w:ascii="Times New Roman" w:hAnsi="Times New Roman" w:cs="Times New Roman"/>
                <w:sz w:val="24"/>
                <w:szCs w:val="24"/>
              </w:rPr>
              <w:t>“</w:t>
            </w:r>
            <w:r w:rsidR="00290782">
              <w:rPr>
                <w:rFonts w:ascii="Times New Roman" w:hAnsi="Times New Roman" w:cs="Times New Roman"/>
                <w:sz w:val="24"/>
                <w:szCs w:val="24"/>
              </w:rPr>
              <w:t xml:space="preserve">empirical </w:t>
            </w:r>
            <w:r w:rsidR="008F4A2C">
              <w:rPr>
                <w:rFonts w:ascii="Times New Roman" w:hAnsi="Times New Roman" w:cs="Times New Roman"/>
                <w:sz w:val="24"/>
                <w:szCs w:val="24"/>
              </w:rPr>
              <w:t>weights</w:t>
            </w:r>
            <w:r w:rsidR="00221312">
              <w:rPr>
                <w:rFonts w:ascii="Times New Roman" w:hAnsi="Times New Roman" w:cs="Times New Roman"/>
                <w:sz w:val="24"/>
                <w:szCs w:val="24"/>
              </w:rPr>
              <w:t>”</w:t>
            </w:r>
            <w:r w:rsidR="008F4A2C">
              <w:rPr>
                <w:rFonts w:ascii="Times New Roman" w:hAnsi="Times New Roman" w:cs="Times New Roman"/>
                <w:sz w:val="24"/>
                <w:szCs w:val="24"/>
              </w:rPr>
              <w:t xml:space="preserve"> to those lumped </w:t>
            </w:r>
            <w:r w:rsidR="00B87195">
              <w:rPr>
                <w:rFonts w:ascii="Times New Roman" w:hAnsi="Times New Roman" w:cs="Times New Roman"/>
                <w:sz w:val="24"/>
                <w:szCs w:val="24"/>
              </w:rPr>
              <w:t>masses</w:t>
            </w:r>
            <w:r w:rsidR="00DB6CA8">
              <w:rPr>
                <w:rFonts w:ascii="Times New Roman" w:hAnsi="Times New Roman" w:cs="Times New Roman"/>
                <w:sz w:val="24"/>
                <w:szCs w:val="24"/>
              </w:rPr>
              <w:t>, the extents of which have been optimized based on ground-based monitoring network</w:t>
            </w:r>
            <w:r w:rsidR="00221312">
              <w:rPr>
                <w:rFonts w:ascii="Times New Roman" w:hAnsi="Times New Roman" w:cs="Times New Roman"/>
                <w:sz w:val="24"/>
                <w:szCs w:val="24"/>
              </w:rPr>
              <w:t xml:space="preserve"> (e.g., IMPROVE sites)</w:t>
            </w:r>
            <w:r w:rsidR="00DB6CA8">
              <w:rPr>
                <w:rFonts w:ascii="Times New Roman" w:hAnsi="Times New Roman" w:cs="Times New Roman"/>
                <w:sz w:val="24"/>
                <w:szCs w:val="24"/>
              </w:rPr>
              <w:t>.</w:t>
            </w:r>
          </w:p>
          <w:p w14:paraId="14BDAE92" w14:textId="24F7D446" w:rsidR="00290782" w:rsidRPr="00221312" w:rsidRDefault="00290782" w:rsidP="005A6259">
            <w:pPr>
              <w:spacing w:line="276" w:lineRule="auto"/>
              <w:rPr>
                <w:rFonts w:ascii="Times New Roman" w:hAnsi="Times New Roman" w:cs="Times New Roman"/>
                <w:sz w:val="24"/>
                <w:szCs w:val="24"/>
              </w:rPr>
            </w:pPr>
          </w:p>
          <w:p w14:paraId="60A3F642" w14:textId="4BEA93DF" w:rsidR="00C24B15" w:rsidRPr="00C20EF8" w:rsidRDefault="00DB6CA8" w:rsidP="00E83EA9">
            <w:pPr>
              <w:spacing w:line="276" w:lineRule="auto"/>
              <w:rPr>
                <w:rFonts w:ascii="Times New Roman" w:hAnsi="Times New Roman" w:cs="Times New Roman"/>
                <w:sz w:val="24"/>
                <w:szCs w:val="24"/>
              </w:rPr>
            </w:pPr>
            <w:r>
              <w:rPr>
                <w:rFonts w:ascii="Times New Roman" w:hAnsi="Times New Roman" w:cs="Times New Roman"/>
                <w:sz w:val="24"/>
                <w:szCs w:val="24"/>
              </w:rPr>
              <w:t xml:space="preserve">Considering the major aim of our study, </w:t>
            </w:r>
            <w:r w:rsidR="00221312">
              <w:rPr>
                <w:rFonts w:ascii="Times New Roman" w:hAnsi="Times New Roman" w:cs="Times New Roman"/>
                <w:sz w:val="24"/>
                <w:szCs w:val="24"/>
              </w:rPr>
              <w:t xml:space="preserve">we </w:t>
            </w:r>
            <w:r w:rsidR="00E83EA9">
              <w:rPr>
                <w:rFonts w:ascii="Times New Roman" w:hAnsi="Times New Roman" w:cs="Times New Roman"/>
                <w:sz w:val="24"/>
                <w:szCs w:val="24"/>
              </w:rPr>
              <w:t xml:space="preserve">rather </w:t>
            </w:r>
            <w:r w:rsidR="00221312">
              <w:rPr>
                <w:rFonts w:ascii="Times New Roman" w:hAnsi="Times New Roman" w:cs="Times New Roman"/>
                <w:sz w:val="24"/>
                <w:szCs w:val="24"/>
              </w:rPr>
              <w:t>focused on shaping a top-down methodology</w:t>
            </w:r>
            <w:r>
              <w:rPr>
                <w:rFonts w:ascii="Times New Roman" w:hAnsi="Times New Roman" w:cs="Times New Roman"/>
                <w:sz w:val="24"/>
                <w:szCs w:val="24"/>
              </w:rPr>
              <w:t xml:space="preserve"> to better exploit the observations afforded by geostationary platforms</w:t>
            </w:r>
            <w:r w:rsidR="00221312">
              <w:rPr>
                <w:rFonts w:ascii="Times New Roman" w:hAnsi="Times New Roman" w:cs="Times New Roman"/>
                <w:sz w:val="24"/>
                <w:szCs w:val="24"/>
              </w:rPr>
              <w:t>,</w:t>
            </w:r>
            <w:r>
              <w:rPr>
                <w:rFonts w:ascii="Times New Roman" w:hAnsi="Times New Roman" w:cs="Times New Roman"/>
                <w:sz w:val="24"/>
                <w:szCs w:val="24"/>
              </w:rPr>
              <w:t xml:space="preserve"> </w:t>
            </w:r>
            <w:r w:rsidR="00221312">
              <w:rPr>
                <w:rFonts w:ascii="Times New Roman" w:hAnsi="Times New Roman" w:cs="Times New Roman"/>
                <w:sz w:val="24"/>
                <w:szCs w:val="24"/>
              </w:rPr>
              <w:t xml:space="preserve">than </w:t>
            </w:r>
            <w:r w:rsidR="00E83EA9">
              <w:rPr>
                <w:rFonts w:ascii="Times New Roman" w:hAnsi="Times New Roman" w:cs="Times New Roman"/>
                <w:sz w:val="24"/>
                <w:szCs w:val="24"/>
              </w:rPr>
              <w:t>developing</w:t>
            </w:r>
            <w:r w:rsidR="00221312">
              <w:rPr>
                <w:rFonts w:ascii="Times New Roman" w:hAnsi="Times New Roman" w:cs="Times New Roman"/>
                <w:sz w:val="24"/>
                <w:szCs w:val="24"/>
              </w:rPr>
              <w:t xml:space="preserve"> </w:t>
            </w:r>
            <w:r>
              <w:rPr>
                <w:rFonts w:ascii="Times New Roman" w:hAnsi="Times New Roman" w:cs="Times New Roman"/>
                <w:sz w:val="24"/>
                <w:szCs w:val="24"/>
              </w:rPr>
              <w:t xml:space="preserve">more delicate partitioning and weighting </w:t>
            </w:r>
            <w:r w:rsidR="00E83EA9">
              <w:rPr>
                <w:rFonts w:ascii="Times New Roman" w:hAnsi="Times New Roman" w:cs="Times New Roman"/>
                <w:sz w:val="24"/>
                <w:szCs w:val="24"/>
              </w:rPr>
              <w:t xml:space="preserve">techniques </w:t>
            </w:r>
            <w:r>
              <w:rPr>
                <w:rFonts w:ascii="Times New Roman" w:hAnsi="Times New Roman" w:cs="Times New Roman"/>
                <w:sz w:val="24"/>
                <w:szCs w:val="24"/>
              </w:rPr>
              <w:t xml:space="preserve">beyond inverse modeling, which is worthy as </w:t>
            </w:r>
            <w:r w:rsidR="00E83EA9">
              <w:rPr>
                <w:rFonts w:ascii="Times New Roman" w:hAnsi="Times New Roman" w:cs="Times New Roman"/>
                <w:sz w:val="24"/>
                <w:szCs w:val="24"/>
              </w:rPr>
              <w:t xml:space="preserve">a </w:t>
            </w:r>
            <w:r>
              <w:rPr>
                <w:rFonts w:ascii="Times New Roman" w:hAnsi="Times New Roman" w:cs="Times New Roman"/>
                <w:sz w:val="24"/>
                <w:szCs w:val="24"/>
              </w:rPr>
              <w:t xml:space="preserve">standalone </w:t>
            </w:r>
            <w:r w:rsidR="00E83EA9">
              <w:rPr>
                <w:rFonts w:ascii="Times New Roman" w:hAnsi="Times New Roman" w:cs="Times New Roman"/>
                <w:sz w:val="24"/>
                <w:szCs w:val="24"/>
              </w:rPr>
              <w:t xml:space="preserve">module development </w:t>
            </w:r>
            <w:r>
              <w:rPr>
                <w:rFonts w:ascii="Times New Roman" w:hAnsi="Times New Roman" w:cs="Times New Roman"/>
                <w:sz w:val="24"/>
                <w:szCs w:val="24"/>
              </w:rPr>
              <w:t>study</w:t>
            </w:r>
            <w:r w:rsidR="00E83EA9">
              <w:rPr>
                <w:rFonts w:ascii="Times New Roman" w:hAnsi="Times New Roman" w:cs="Times New Roman"/>
                <w:sz w:val="24"/>
                <w:szCs w:val="24"/>
              </w:rPr>
              <w:t xml:space="preserve"> in the future</w:t>
            </w:r>
            <w:r>
              <w:rPr>
                <w:rFonts w:ascii="Times New Roman" w:hAnsi="Times New Roman" w:cs="Times New Roman"/>
                <w:sz w:val="24"/>
                <w:szCs w:val="24"/>
              </w:rPr>
              <w:t>.</w:t>
            </w:r>
          </w:p>
        </w:tc>
      </w:tr>
      <w:tr w:rsidR="005D76EF" w:rsidRPr="00EB62C8" w14:paraId="55D86B1B" w14:textId="77777777" w:rsidTr="003E0FFC">
        <w:tc>
          <w:tcPr>
            <w:tcW w:w="437" w:type="dxa"/>
          </w:tcPr>
          <w:p w14:paraId="4D2F8C0F" w14:textId="0246B859"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lastRenderedPageBreak/>
              <w:t>C</w:t>
            </w:r>
            <w:r w:rsidRPr="00EB62C8">
              <w:rPr>
                <w:rFonts w:ascii="Times New Roman" w:hAnsi="Times New Roman" w:cs="Times New Roman"/>
                <w:sz w:val="24"/>
                <w:szCs w:val="24"/>
              </w:rPr>
              <w:t>hanges in manuscript</w:t>
            </w:r>
          </w:p>
        </w:tc>
        <w:tc>
          <w:tcPr>
            <w:tcW w:w="7733" w:type="dxa"/>
          </w:tcPr>
          <w:p w14:paraId="64D61B41" w14:textId="769386C5" w:rsidR="00E83EA9" w:rsidRPr="009815FA" w:rsidRDefault="00E83EA9" w:rsidP="009815FA">
            <w:pPr>
              <w:pStyle w:val="ListParagraph"/>
              <w:numPr>
                <w:ilvl w:val="0"/>
                <w:numId w:val="25"/>
              </w:numPr>
              <w:spacing w:line="276" w:lineRule="auto"/>
              <w:ind w:leftChars="0" w:left="310" w:hanging="284"/>
              <w:rPr>
                <w:rFonts w:ascii="Times New Roman" w:hAnsi="Times New Roman" w:cs="Times New Roman"/>
                <w:sz w:val="24"/>
                <w:szCs w:val="24"/>
              </w:rPr>
            </w:pPr>
            <w:r w:rsidRPr="009815FA">
              <w:rPr>
                <w:rFonts w:ascii="Times New Roman" w:hAnsi="Times New Roman" w:cs="Times New Roman" w:hint="eastAsia"/>
                <w:sz w:val="24"/>
                <w:szCs w:val="24"/>
              </w:rPr>
              <w:t>L</w:t>
            </w:r>
            <w:r w:rsidRPr="009815FA">
              <w:rPr>
                <w:rFonts w:ascii="Times New Roman" w:hAnsi="Times New Roman" w:cs="Times New Roman"/>
                <w:sz w:val="24"/>
                <w:szCs w:val="24"/>
              </w:rPr>
              <w:t>ine 24</w:t>
            </w:r>
            <w:r w:rsidR="00D27220">
              <w:rPr>
                <w:rFonts w:ascii="Times New Roman" w:hAnsi="Times New Roman" w:cs="Times New Roman"/>
                <w:sz w:val="24"/>
                <w:szCs w:val="24"/>
              </w:rPr>
              <w:t>9</w:t>
            </w:r>
            <w:r w:rsidRPr="009815FA">
              <w:rPr>
                <w:rFonts w:ascii="Times New Roman" w:hAnsi="Times New Roman" w:cs="Times New Roman"/>
                <w:sz w:val="24"/>
                <w:szCs w:val="24"/>
              </w:rPr>
              <w:t>-2</w:t>
            </w:r>
            <w:r w:rsidR="00D27220">
              <w:rPr>
                <w:rFonts w:ascii="Times New Roman" w:hAnsi="Times New Roman" w:cs="Times New Roman"/>
                <w:sz w:val="24"/>
                <w:szCs w:val="24"/>
              </w:rPr>
              <w:t>54</w:t>
            </w:r>
            <w:r w:rsidRPr="009815FA">
              <w:rPr>
                <w:rFonts w:ascii="Times New Roman" w:hAnsi="Times New Roman" w:cs="Times New Roman"/>
                <w:sz w:val="24"/>
                <w:szCs w:val="24"/>
              </w:rPr>
              <w:t>: “To adjust the primary PM emissions, we applied analytical inversion described in Eqs. 2 and 3 to the emissions of 19 primary PM species … the uncertainty of which was set as 100% (Crippa et al., 2019).”</w:t>
            </w:r>
          </w:p>
          <w:p w14:paraId="341CF464" w14:textId="6026A0D0" w:rsidR="00E83EA9" w:rsidRPr="009815FA" w:rsidRDefault="00E83EA9" w:rsidP="009815FA">
            <w:pPr>
              <w:pStyle w:val="ListParagraph"/>
              <w:numPr>
                <w:ilvl w:val="0"/>
                <w:numId w:val="25"/>
              </w:numPr>
              <w:spacing w:line="276" w:lineRule="auto"/>
              <w:ind w:leftChars="0" w:left="310" w:hanging="284"/>
              <w:rPr>
                <w:rFonts w:ascii="Times New Roman" w:hAnsi="Times New Roman" w:cs="Times New Roman"/>
                <w:sz w:val="24"/>
                <w:szCs w:val="24"/>
              </w:rPr>
            </w:pPr>
            <w:r w:rsidRPr="009815FA">
              <w:rPr>
                <w:rFonts w:ascii="Times New Roman" w:hAnsi="Times New Roman" w:cs="Times New Roman" w:hint="eastAsia"/>
                <w:sz w:val="24"/>
                <w:szCs w:val="24"/>
              </w:rPr>
              <w:t>L</w:t>
            </w:r>
            <w:r w:rsidRPr="009815FA">
              <w:rPr>
                <w:rFonts w:ascii="Times New Roman" w:hAnsi="Times New Roman" w:cs="Times New Roman"/>
                <w:sz w:val="24"/>
                <w:szCs w:val="24"/>
              </w:rPr>
              <w:t>ine 2</w:t>
            </w:r>
            <w:r w:rsidR="00D27220">
              <w:rPr>
                <w:rFonts w:ascii="Times New Roman" w:hAnsi="Times New Roman" w:cs="Times New Roman"/>
                <w:sz w:val="24"/>
                <w:szCs w:val="24"/>
              </w:rPr>
              <w:t>61</w:t>
            </w:r>
            <w:r w:rsidRPr="009815FA">
              <w:rPr>
                <w:rFonts w:ascii="Times New Roman" w:hAnsi="Times New Roman" w:cs="Times New Roman"/>
                <w:sz w:val="24"/>
                <w:szCs w:val="24"/>
              </w:rPr>
              <w:t>-2</w:t>
            </w:r>
            <w:r w:rsidR="00D27220">
              <w:rPr>
                <w:rFonts w:ascii="Times New Roman" w:hAnsi="Times New Roman" w:cs="Times New Roman"/>
                <w:sz w:val="24"/>
                <w:szCs w:val="24"/>
              </w:rPr>
              <w:t>64</w:t>
            </w:r>
            <w:r w:rsidRPr="009815FA">
              <w:rPr>
                <w:rFonts w:ascii="Times New Roman" w:hAnsi="Times New Roman" w:cs="Times New Roman"/>
                <w:sz w:val="24"/>
                <w:szCs w:val="24"/>
              </w:rPr>
              <w:t>: “In this approach, … no routine observations have been made until today for the loadings of such species over vast areas in East Asia in a top-down manner.”</w:t>
            </w:r>
          </w:p>
        </w:tc>
      </w:tr>
    </w:tbl>
    <w:p w14:paraId="3CE868C9" w14:textId="77777777" w:rsidR="005D76EF" w:rsidRPr="00EB62C8" w:rsidRDefault="005D76EF" w:rsidP="005A6259">
      <w:pPr>
        <w:spacing w:after="0" w:line="276" w:lineRule="auto"/>
        <w:rPr>
          <w:rFonts w:ascii="Times New Roman" w:hAnsi="Times New Roman" w:cs="Times New Roman"/>
          <w:sz w:val="24"/>
          <w:szCs w:val="24"/>
        </w:rPr>
      </w:pPr>
    </w:p>
    <w:p w14:paraId="555253E5" w14:textId="7F0A853B" w:rsidR="00B339C9" w:rsidRPr="00EB62C8" w:rsidRDefault="00B339C9" w:rsidP="00B339C9">
      <w:pPr>
        <w:pStyle w:val="ListParagraph"/>
        <w:numPr>
          <w:ilvl w:val="0"/>
          <w:numId w:val="2"/>
        </w:numPr>
        <w:spacing w:line="276" w:lineRule="auto"/>
        <w:ind w:leftChars="0"/>
        <w:rPr>
          <w:rFonts w:ascii="Times New Roman" w:hAnsi="Times New Roman" w:cs="Times New Roman"/>
          <w:sz w:val="24"/>
          <w:szCs w:val="24"/>
        </w:rPr>
      </w:pPr>
      <w:r w:rsidRPr="00EB62C8">
        <w:rPr>
          <w:rFonts w:ascii="Times New Roman" w:hAnsi="Times New Roman" w:cs="Times New Roman"/>
          <w:sz w:val="24"/>
          <w:szCs w:val="24"/>
        </w:rPr>
        <w:t>Section 2.6: Since the distribution</w:t>
      </w:r>
      <w:r w:rsidR="004E1197">
        <w:rPr>
          <w:rFonts w:ascii="Times New Roman" w:hAnsi="Times New Roman" w:cs="Times New Roman"/>
          <w:sz w:val="24"/>
          <w:szCs w:val="24"/>
        </w:rPr>
        <w:t xml:space="preserve"> </w:t>
      </w:r>
      <w:r w:rsidRPr="00EB62C8">
        <w:rPr>
          <w:rFonts w:ascii="Times New Roman" w:hAnsi="Times New Roman" w:cs="Times New Roman"/>
          <w:sz w:val="24"/>
          <w:szCs w:val="24"/>
        </w:rPr>
        <w:t>(location) of the ground observation sites used for evaluation is not shown, it is difficult to interpret the results, so it would be good to add them to Figure 1. Whether the observation sites are evenly distributed throughout the domain or intensively distributed only in a specific area is very important to the reliability of the evaluation results.</w:t>
      </w:r>
    </w:p>
    <w:tbl>
      <w:tblPr>
        <w:tblStyle w:val="TableGrid"/>
        <w:tblW w:w="0" w:type="auto"/>
        <w:tblInd w:w="846" w:type="dxa"/>
        <w:tblLook w:val="04A0" w:firstRow="1" w:lastRow="0" w:firstColumn="1" w:lastColumn="0" w:noHBand="0" w:noVBand="1"/>
      </w:tblPr>
      <w:tblGrid>
        <w:gridCol w:w="1283"/>
        <w:gridCol w:w="6887"/>
      </w:tblGrid>
      <w:tr w:rsidR="00B339C9" w:rsidRPr="00EB62C8" w14:paraId="1CACC080" w14:textId="77777777" w:rsidTr="00BF0CC3">
        <w:tc>
          <w:tcPr>
            <w:tcW w:w="437" w:type="dxa"/>
          </w:tcPr>
          <w:p w14:paraId="01169E7F" w14:textId="60CC891C" w:rsidR="00B339C9" w:rsidRPr="00EB62C8" w:rsidRDefault="00B339C9" w:rsidP="00BF0CC3">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A</w:t>
            </w:r>
            <w:r w:rsidRPr="00EB62C8">
              <w:rPr>
                <w:rFonts w:ascii="Times New Roman" w:hAnsi="Times New Roman" w:cs="Times New Roman"/>
                <w:sz w:val="24"/>
                <w:szCs w:val="24"/>
              </w:rPr>
              <w:t>uthors</w:t>
            </w:r>
            <w:r w:rsidR="00963164">
              <w:rPr>
                <w:rFonts w:ascii="Times New Roman" w:hAnsi="Times New Roman" w:cs="Times New Roman"/>
                <w:sz w:val="24"/>
                <w:szCs w:val="24"/>
              </w:rPr>
              <w:t>’</w:t>
            </w:r>
            <w:r w:rsidRPr="00EB62C8">
              <w:rPr>
                <w:rFonts w:ascii="Times New Roman" w:hAnsi="Times New Roman" w:cs="Times New Roman"/>
                <w:sz w:val="24"/>
                <w:szCs w:val="24"/>
              </w:rPr>
              <w:t xml:space="preserve"> response</w:t>
            </w:r>
          </w:p>
        </w:tc>
        <w:tc>
          <w:tcPr>
            <w:tcW w:w="7733" w:type="dxa"/>
          </w:tcPr>
          <w:p w14:paraId="5BCB2DE6" w14:textId="50C89F9F" w:rsidR="00B339C9" w:rsidRPr="00EB62C8" w:rsidRDefault="00E970FB" w:rsidP="00BF0CC3">
            <w:pPr>
              <w:spacing w:line="276" w:lineRule="auto"/>
              <w:rPr>
                <w:rFonts w:ascii="Times New Roman" w:hAnsi="Times New Roman" w:cs="Times New Roman"/>
                <w:sz w:val="24"/>
                <w:szCs w:val="24"/>
              </w:rPr>
            </w:pPr>
            <w:r w:rsidRPr="00E970FB">
              <w:rPr>
                <w:rFonts w:ascii="Times New Roman" w:hAnsi="Times New Roman" w:cs="Times New Roman"/>
                <w:sz w:val="24"/>
                <w:szCs w:val="24"/>
              </w:rPr>
              <w:t xml:space="preserve">Based on your suggestion, we have updated Figure 1 to depict the distribution of all ground-based in-situ measurement sites used for model evaluation. Some changes, including the locations of AERONET sites, have been made to partially address your </w:t>
            </w:r>
            <w:r>
              <w:rPr>
                <w:rFonts w:ascii="Times New Roman" w:hAnsi="Times New Roman" w:cs="Times New Roman"/>
                <w:sz w:val="24"/>
                <w:szCs w:val="24"/>
              </w:rPr>
              <w:t xml:space="preserve">next </w:t>
            </w:r>
            <w:r w:rsidRPr="00E970FB">
              <w:rPr>
                <w:rFonts w:ascii="Times New Roman" w:hAnsi="Times New Roman" w:cs="Times New Roman"/>
                <w:sz w:val="24"/>
                <w:szCs w:val="24"/>
              </w:rPr>
              <w:t>comment below.</w:t>
            </w:r>
          </w:p>
        </w:tc>
      </w:tr>
      <w:tr w:rsidR="00B339C9" w:rsidRPr="00EB62C8" w14:paraId="2CF02CA9" w14:textId="77777777" w:rsidTr="00BF0CC3">
        <w:tc>
          <w:tcPr>
            <w:tcW w:w="437" w:type="dxa"/>
          </w:tcPr>
          <w:p w14:paraId="2A61BBAE" w14:textId="77777777" w:rsidR="00B339C9" w:rsidRPr="00EB62C8" w:rsidRDefault="00B339C9" w:rsidP="00BF0CC3">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C</w:t>
            </w:r>
            <w:r w:rsidRPr="00EB62C8">
              <w:rPr>
                <w:rFonts w:ascii="Times New Roman" w:hAnsi="Times New Roman" w:cs="Times New Roman"/>
                <w:sz w:val="24"/>
                <w:szCs w:val="24"/>
              </w:rPr>
              <w:t>hanges in manuscript</w:t>
            </w:r>
          </w:p>
        </w:tc>
        <w:tc>
          <w:tcPr>
            <w:tcW w:w="7733" w:type="dxa"/>
          </w:tcPr>
          <w:p w14:paraId="0269B923" w14:textId="157C6E38" w:rsidR="00467FE1" w:rsidRPr="00983057" w:rsidRDefault="00467FE1" w:rsidP="00983057">
            <w:pPr>
              <w:pStyle w:val="ListParagraph"/>
              <w:numPr>
                <w:ilvl w:val="0"/>
                <w:numId w:val="10"/>
              </w:numPr>
              <w:spacing w:line="276" w:lineRule="auto"/>
              <w:ind w:leftChars="0" w:left="311" w:hanging="258"/>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igure 1</w:t>
            </w:r>
            <w:r w:rsidR="00983057">
              <w:rPr>
                <w:rFonts w:ascii="Times New Roman" w:hAnsi="Times New Roman" w:cs="Times New Roman"/>
                <w:sz w:val="24"/>
                <w:szCs w:val="24"/>
              </w:rPr>
              <w:t xml:space="preserve"> and the corresponding caption</w:t>
            </w:r>
            <w:r w:rsidRPr="00983057">
              <w:rPr>
                <w:rFonts w:ascii="Times New Roman" w:hAnsi="Times New Roman" w:cs="Times New Roman"/>
                <w:sz w:val="24"/>
                <w:szCs w:val="24"/>
              </w:rPr>
              <w:t>: “Modeling domain and the locations of the ground-based in-situ measurement sites used for model evaluation.”</w:t>
            </w:r>
          </w:p>
        </w:tc>
      </w:tr>
    </w:tbl>
    <w:p w14:paraId="6E745CBD" w14:textId="77777777" w:rsidR="00B339C9" w:rsidRPr="00EB62C8" w:rsidRDefault="00B339C9" w:rsidP="00B339C9">
      <w:pPr>
        <w:spacing w:line="276" w:lineRule="auto"/>
        <w:rPr>
          <w:rFonts w:ascii="Times New Roman" w:hAnsi="Times New Roman" w:cs="Times New Roman"/>
          <w:sz w:val="24"/>
          <w:szCs w:val="24"/>
        </w:rPr>
      </w:pPr>
    </w:p>
    <w:p w14:paraId="794D61E3" w14:textId="34C3C466" w:rsidR="005D76EF" w:rsidRPr="00EB62C8" w:rsidRDefault="00B339C9" w:rsidP="00B339C9">
      <w:pPr>
        <w:pStyle w:val="ListParagraph"/>
        <w:numPr>
          <w:ilvl w:val="0"/>
          <w:numId w:val="2"/>
        </w:numPr>
        <w:spacing w:line="276" w:lineRule="auto"/>
        <w:ind w:leftChars="0"/>
        <w:rPr>
          <w:rFonts w:ascii="Times New Roman" w:hAnsi="Times New Roman" w:cs="Times New Roman"/>
          <w:sz w:val="24"/>
          <w:szCs w:val="24"/>
        </w:rPr>
      </w:pPr>
      <w:r w:rsidRPr="00EB62C8">
        <w:rPr>
          <w:rFonts w:ascii="Times New Roman" w:hAnsi="Times New Roman" w:cs="Times New Roman"/>
          <w:sz w:val="24"/>
          <w:szCs w:val="24"/>
        </w:rPr>
        <w:t xml:space="preserve">Table 1: The constrained emissions based on GOCI-AHI AOD were found to have significantly reduced error compared to that based on AHI AOD (MAM season). What are the causes of this improvement? Figures 2 and 3 show a clear difference between AHI AOD and GOCI-AHI AOD in South China (MAM season) area. </w:t>
      </w:r>
      <w:r w:rsidRPr="0025504E">
        <w:rPr>
          <w:rFonts w:ascii="Times New Roman" w:hAnsi="Times New Roman" w:cs="Times New Roman"/>
          <w:sz w:val="24"/>
          <w:szCs w:val="24"/>
        </w:rPr>
        <w:t xml:space="preserve">Then, was the improvement of NME also seen in the area? First of all, it seems that </w:t>
      </w:r>
      <w:r w:rsidRPr="00EB62C8">
        <w:rPr>
          <w:rFonts w:ascii="Times New Roman" w:hAnsi="Times New Roman" w:cs="Times New Roman"/>
          <w:sz w:val="24"/>
          <w:szCs w:val="24"/>
        </w:rPr>
        <w:t xml:space="preserve">the distribution </w:t>
      </w:r>
      <w:r w:rsidRPr="00EB62C8">
        <w:rPr>
          <w:rFonts w:ascii="Times New Roman" w:hAnsi="Times New Roman" w:cs="Times New Roman"/>
          <w:sz w:val="24"/>
          <w:szCs w:val="24"/>
        </w:rPr>
        <w:lastRenderedPageBreak/>
        <w:t>of AERONET observation sites used in the evaluation should be illustrated, and the contents should be fully explained based on that.</w:t>
      </w:r>
    </w:p>
    <w:tbl>
      <w:tblPr>
        <w:tblStyle w:val="TableGrid"/>
        <w:tblW w:w="0" w:type="auto"/>
        <w:tblInd w:w="846" w:type="dxa"/>
        <w:tblLayout w:type="fixed"/>
        <w:tblLook w:val="04A0" w:firstRow="1" w:lastRow="0" w:firstColumn="1" w:lastColumn="0" w:noHBand="0" w:noVBand="1"/>
      </w:tblPr>
      <w:tblGrid>
        <w:gridCol w:w="1276"/>
        <w:gridCol w:w="6894"/>
      </w:tblGrid>
      <w:tr w:rsidR="00C55A84" w:rsidRPr="00EB62C8" w14:paraId="646A9E5C" w14:textId="77777777" w:rsidTr="00522257">
        <w:tc>
          <w:tcPr>
            <w:tcW w:w="1276" w:type="dxa"/>
          </w:tcPr>
          <w:p w14:paraId="28B14364" w14:textId="56D6678E"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A</w:t>
            </w:r>
            <w:r w:rsidRPr="00EB62C8">
              <w:rPr>
                <w:rFonts w:ascii="Times New Roman" w:hAnsi="Times New Roman" w:cs="Times New Roman"/>
                <w:sz w:val="24"/>
                <w:szCs w:val="24"/>
              </w:rPr>
              <w:t>uthors</w:t>
            </w:r>
            <w:r w:rsidR="00963164">
              <w:rPr>
                <w:rFonts w:ascii="Times New Roman" w:hAnsi="Times New Roman" w:cs="Times New Roman"/>
                <w:sz w:val="24"/>
                <w:szCs w:val="24"/>
              </w:rPr>
              <w:t>’</w:t>
            </w:r>
            <w:r w:rsidRPr="00EB62C8">
              <w:rPr>
                <w:rFonts w:ascii="Times New Roman" w:hAnsi="Times New Roman" w:cs="Times New Roman"/>
                <w:sz w:val="24"/>
                <w:szCs w:val="24"/>
              </w:rPr>
              <w:t xml:space="preserve"> response</w:t>
            </w:r>
          </w:p>
        </w:tc>
        <w:tc>
          <w:tcPr>
            <w:tcW w:w="6894" w:type="dxa"/>
          </w:tcPr>
          <w:p w14:paraId="61471662" w14:textId="7B8959A5" w:rsidR="00751E6B" w:rsidRDefault="00B33985" w:rsidP="00B90858">
            <w:pPr>
              <w:spacing w:line="276" w:lineRule="auto"/>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 xml:space="preserve">hank you for </w:t>
            </w:r>
            <w:r w:rsidR="00751E6B">
              <w:rPr>
                <w:rFonts w:ascii="Times New Roman" w:hAnsi="Times New Roman" w:cs="Times New Roman"/>
                <w:sz w:val="24"/>
                <w:szCs w:val="24"/>
              </w:rPr>
              <w:t xml:space="preserve">suggesting </w:t>
            </w:r>
            <w:r>
              <w:rPr>
                <w:rFonts w:ascii="Times New Roman" w:hAnsi="Times New Roman" w:cs="Times New Roman"/>
                <w:sz w:val="24"/>
                <w:szCs w:val="24"/>
              </w:rPr>
              <w:t>us a good discussion point.</w:t>
            </w:r>
            <w:r w:rsidR="00FB0A6A">
              <w:rPr>
                <w:rFonts w:ascii="Times New Roman" w:hAnsi="Times New Roman" w:cs="Times New Roman"/>
                <w:sz w:val="24"/>
                <w:szCs w:val="24"/>
              </w:rPr>
              <w:t xml:space="preserve"> </w:t>
            </w:r>
            <w:r>
              <w:rPr>
                <w:rFonts w:ascii="Times New Roman" w:hAnsi="Times New Roman" w:cs="Times New Roman"/>
                <w:sz w:val="24"/>
                <w:szCs w:val="24"/>
              </w:rPr>
              <w:t xml:space="preserve">Yes, </w:t>
            </w:r>
            <w:r w:rsidR="004F0C50">
              <w:rPr>
                <w:rFonts w:ascii="Times New Roman" w:hAnsi="Times New Roman" w:cs="Times New Roman"/>
                <w:sz w:val="24"/>
                <w:szCs w:val="24"/>
              </w:rPr>
              <w:t>in MAM 2019, the emissions constrained based on GOCI-AHI AOD more effective</w:t>
            </w:r>
            <w:r w:rsidR="00EF5E99">
              <w:rPr>
                <w:rFonts w:ascii="Times New Roman" w:hAnsi="Times New Roman" w:cs="Times New Roman"/>
                <w:sz w:val="24"/>
                <w:szCs w:val="24"/>
              </w:rPr>
              <w:t>ly</w:t>
            </w:r>
            <w:r w:rsidR="004F0C50">
              <w:rPr>
                <w:rFonts w:ascii="Times New Roman" w:hAnsi="Times New Roman" w:cs="Times New Roman"/>
                <w:sz w:val="24"/>
                <w:szCs w:val="24"/>
              </w:rPr>
              <w:t xml:space="preserve"> reduc</w:t>
            </w:r>
            <w:r w:rsidR="00EF5E99">
              <w:rPr>
                <w:rFonts w:ascii="Times New Roman" w:hAnsi="Times New Roman" w:cs="Times New Roman"/>
                <w:sz w:val="24"/>
                <w:szCs w:val="24"/>
              </w:rPr>
              <w:t>ed</w:t>
            </w:r>
            <w:r w:rsidR="004F0C50">
              <w:rPr>
                <w:rFonts w:ascii="Times New Roman" w:hAnsi="Times New Roman" w:cs="Times New Roman"/>
                <w:sz w:val="24"/>
                <w:szCs w:val="24"/>
              </w:rPr>
              <w:t xml:space="preserve"> the model bias compared to that based on AHI AOD. </w:t>
            </w:r>
            <w:r w:rsidR="00855B0D">
              <w:rPr>
                <w:rFonts w:ascii="Times New Roman" w:hAnsi="Times New Roman" w:cs="Times New Roman"/>
                <w:sz w:val="24"/>
                <w:szCs w:val="24"/>
              </w:rPr>
              <w:t>T</w:t>
            </w:r>
            <w:r w:rsidR="004F0C50">
              <w:rPr>
                <w:rFonts w:ascii="Times New Roman" w:hAnsi="Times New Roman" w:cs="Times New Roman"/>
                <w:sz w:val="24"/>
                <w:szCs w:val="24"/>
              </w:rPr>
              <w:t xml:space="preserve">his improvement </w:t>
            </w:r>
            <w:r w:rsidR="00855B0D">
              <w:rPr>
                <w:rFonts w:ascii="Times New Roman" w:hAnsi="Times New Roman" w:cs="Times New Roman"/>
                <w:sz w:val="24"/>
                <w:szCs w:val="24"/>
              </w:rPr>
              <w:t xml:space="preserve">(or the </w:t>
            </w:r>
            <w:r w:rsidR="002A611A">
              <w:rPr>
                <w:rFonts w:ascii="Times New Roman" w:hAnsi="Times New Roman" w:cs="Times New Roman"/>
                <w:sz w:val="24"/>
                <w:szCs w:val="24"/>
              </w:rPr>
              <w:t xml:space="preserve">difference in the </w:t>
            </w:r>
            <w:r w:rsidR="00855B0D">
              <w:rPr>
                <w:rFonts w:ascii="Times New Roman" w:hAnsi="Times New Roman" w:cs="Times New Roman"/>
                <w:sz w:val="24"/>
                <w:szCs w:val="24"/>
              </w:rPr>
              <w:t xml:space="preserve">extent </w:t>
            </w:r>
            <w:r w:rsidR="002A611A">
              <w:rPr>
                <w:rFonts w:ascii="Times New Roman" w:hAnsi="Times New Roman" w:cs="Times New Roman"/>
                <w:sz w:val="24"/>
                <w:szCs w:val="24"/>
              </w:rPr>
              <w:t xml:space="preserve">of </w:t>
            </w:r>
            <w:r w:rsidR="00855B0D">
              <w:rPr>
                <w:rFonts w:ascii="Times New Roman" w:hAnsi="Times New Roman" w:cs="Times New Roman"/>
                <w:sz w:val="24"/>
                <w:szCs w:val="24"/>
              </w:rPr>
              <w:t xml:space="preserve">emissions </w:t>
            </w:r>
            <w:r w:rsidR="00EF5E99">
              <w:rPr>
                <w:rFonts w:ascii="Times New Roman" w:hAnsi="Times New Roman" w:cs="Times New Roman"/>
                <w:sz w:val="24"/>
                <w:szCs w:val="24"/>
              </w:rPr>
              <w:t xml:space="preserve">adjustment) </w:t>
            </w:r>
            <w:r w:rsidR="002A611A">
              <w:rPr>
                <w:rFonts w:ascii="Times New Roman" w:hAnsi="Times New Roman" w:cs="Times New Roman"/>
                <w:sz w:val="24"/>
                <w:szCs w:val="24"/>
              </w:rPr>
              <w:t xml:space="preserve">was considered to be </w:t>
            </w:r>
            <w:r w:rsidR="00912E3D">
              <w:rPr>
                <w:rFonts w:ascii="Times New Roman" w:hAnsi="Times New Roman" w:cs="Times New Roman"/>
                <w:sz w:val="24"/>
                <w:szCs w:val="24"/>
              </w:rPr>
              <w:t xml:space="preserve">originating from </w:t>
            </w:r>
            <w:r w:rsidR="004F0C50">
              <w:rPr>
                <w:rFonts w:ascii="Times New Roman" w:hAnsi="Times New Roman" w:cs="Times New Roman"/>
                <w:sz w:val="24"/>
                <w:szCs w:val="24"/>
              </w:rPr>
              <w:t>whether the high AOD peak</w:t>
            </w:r>
            <w:r w:rsidR="00751E6B">
              <w:rPr>
                <w:rFonts w:ascii="Times New Roman" w:hAnsi="Times New Roman" w:cs="Times New Roman"/>
                <w:sz w:val="24"/>
                <w:szCs w:val="24"/>
              </w:rPr>
              <w:t>s</w:t>
            </w:r>
            <w:r w:rsidR="004F0C50">
              <w:rPr>
                <w:rFonts w:ascii="Times New Roman" w:hAnsi="Times New Roman" w:cs="Times New Roman"/>
                <w:sz w:val="24"/>
                <w:szCs w:val="24"/>
              </w:rPr>
              <w:t xml:space="preserve"> along </w:t>
            </w:r>
            <w:r w:rsidR="00855B0D">
              <w:rPr>
                <w:rFonts w:ascii="Times New Roman" w:hAnsi="Times New Roman" w:cs="Times New Roman"/>
                <w:sz w:val="24"/>
                <w:szCs w:val="24"/>
              </w:rPr>
              <w:t>s</w:t>
            </w:r>
            <w:r w:rsidR="004F0C50">
              <w:rPr>
                <w:rFonts w:ascii="Times New Roman" w:hAnsi="Times New Roman" w:cs="Times New Roman"/>
                <w:sz w:val="24"/>
                <w:szCs w:val="24"/>
              </w:rPr>
              <w:t>outheast China (pointed out already in your comment)</w:t>
            </w:r>
            <w:r w:rsidR="00912E3D">
              <w:rPr>
                <w:rFonts w:ascii="Times New Roman" w:hAnsi="Times New Roman" w:cs="Times New Roman"/>
                <w:sz w:val="24"/>
                <w:szCs w:val="24"/>
              </w:rPr>
              <w:t xml:space="preserve"> </w:t>
            </w:r>
            <w:r w:rsidR="00751E6B">
              <w:rPr>
                <w:rFonts w:ascii="Times New Roman" w:hAnsi="Times New Roman" w:cs="Times New Roman"/>
                <w:sz w:val="24"/>
                <w:szCs w:val="24"/>
              </w:rPr>
              <w:t xml:space="preserve">were captured </w:t>
            </w:r>
            <w:r w:rsidR="001C7C24">
              <w:rPr>
                <w:rFonts w:ascii="Times New Roman" w:hAnsi="Times New Roman" w:cs="Times New Roman"/>
                <w:sz w:val="24"/>
                <w:szCs w:val="24"/>
              </w:rPr>
              <w:t xml:space="preserve">(Figure 3a) </w:t>
            </w:r>
            <w:r w:rsidR="00751E6B">
              <w:rPr>
                <w:rFonts w:ascii="Times New Roman" w:hAnsi="Times New Roman" w:cs="Times New Roman"/>
                <w:sz w:val="24"/>
                <w:szCs w:val="24"/>
              </w:rPr>
              <w:t>or not</w:t>
            </w:r>
            <w:r w:rsidR="001C7C24">
              <w:rPr>
                <w:rFonts w:ascii="Times New Roman" w:hAnsi="Times New Roman" w:cs="Times New Roman"/>
                <w:sz w:val="24"/>
                <w:szCs w:val="24"/>
              </w:rPr>
              <w:t xml:space="preserve"> (Figure 2a)</w:t>
            </w:r>
            <w:r w:rsidR="00912E3D">
              <w:rPr>
                <w:rFonts w:ascii="Times New Roman" w:hAnsi="Times New Roman" w:cs="Times New Roman"/>
                <w:sz w:val="24"/>
                <w:szCs w:val="24"/>
              </w:rPr>
              <w:t>.</w:t>
            </w:r>
            <w:r w:rsidR="00751E6B">
              <w:rPr>
                <w:rFonts w:ascii="Times New Roman" w:hAnsi="Times New Roman" w:cs="Times New Roman"/>
                <w:sz w:val="24"/>
                <w:szCs w:val="24"/>
              </w:rPr>
              <w:t xml:space="preserve"> </w:t>
            </w:r>
          </w:p>
          <w:p w14:paraId="52ECCFEB" w14:textId="072A2209" w:rsidR="00751E6B" w:rsidRDefault="00751E6B" w:rsidP="00B90858">
            <w:pPr>
              <w:spacing w:line="276" w:lineRule="auto"/>
              <w:rPr>
                <w:rFonts w:ascii="Times New Roman" w:hAnsi="Times New Roman" w:cs="Times New Roman"/>
                <w:sz w:val="24"/>
                <w:szCs w:val="24"/>
              </w:rPr>
            </w:pPr>
          </w:p>
          <w:p w14:paraId="0A03C6DC" w14:textId="38476FA3" w:rsidR="00B90858" w:rsidRDefault="00C80E29" w:rsidP="0043755B">
            <w:pPr>
              <w:spacing w:line="276" w:lineRule="auto"/>
              <w:rPr>
                <w:rFonts w:ascii="Times New Roman" w:hAnsi="Times New Roman" w:cs="Times New Roman"/>
                <w:sz w:val="24"/>
                <w:szCs w:val="24"/>
              </w:rPr>
            </w:pPr>
            <w:r>
              <w:rPr>
                <w:rFonts w:ascii="Times New Roman" w:hAnsi="Times New Roman" w:cs="Times New Roman"/>
                <w:sz w:val="24"/>
                <w:szCs w:val="24"/>
              </w:rPr>
              <w:t xml:space="preserve">Throughout the entire year, the season </w:t>
            </w:r>
            <w:r>
              <w:rPr>
                <w:rFonts w:ascii="Times New Roman" w:hAnsi="Times New Roman" w:cs="Times New Roman" w:hint="eastAsia"/>
                <w:sz w:val="24"/>
                <w:szCs w:val="24"/>
              </w:rPr>
              <w:t>M</w:t>
            </w:r>
            <w:r>
              <w:rPr>
                <w:rFonts w:ascii="Times New Roman" w:hAnsi="Times New Roman" w:cs="Times New Roman"/>
                <w:sz w:val="24"/>
                <w:szCs w:val="24"/>
              </w:rPr>
              <w:t>AM showed the most frequent occurrences of high AOD peaks</w:t>
            </w:r>
            <w:r w:rsidR="0000161E">
              <w:rPr>
                <w:rFonts w:ascii="Times New Roman" w:hAnsi="Times New Roman" w:cs="Times New Roman"/>
                <w:sz w:val="24"/>
                <w:szCs w:val="24"/>
              </w:rPr>
              <w:t xml:space="preserve"> over AERONET sites compared to other seasons (Figure 5). Considering the locations of </w:t>
            </w:r>
            <w:r w:rsidR="001C7C24">
              <w:rPr>
                <w:rFonts w:ascii="Times New Roman" w:hAnsi="Times New Roman" w:cs="Times New Roman"/>
                <w:sz w:val="24"/>
                <w:szCs w:val="24"/>
              </w:rPr>
              <w:t>those ground-based</w:t>
            </w:r>
            <w:r w:rsidR="0000161E">
              <w:rPr>
                <w:rFonts w:ascii="Times New Roman" w:hAnsi="Times New Roman" w:cs="Times New Roman"/>
                <w:sz w:val="24"/>
                <w:szCs w:val="24"/>
              </w:rPr>
              <w:t xml:space="preserve"> sites</w:t>
            </w:r>
            <w:r w:rsidR="0000161E">
              <w:rPr>
                <w:rFonts w:ascii="Times New Roman" w:hAnsi="Times New Roman" w:cs="Times New Roman" w:hint="eastAsia"/>
                <w:sz w:val="24"/>
                <w:szCs w:val="24"/>
              </w:rPr>
              <w:t xml:space="preserve"> </w:t>
            </w:r>
            <w:r w:rsidR="0000161E">
              <w:rPr>
                <w:rFonts w:ascii="Times New Roman" w:hAnsi="Times New Roman" w:cs="Times New Roman"/>
                <w:sz w:val="24"/>
                <w:szCs w:val="24"/>
              </w:rPr>
              <w:t>(</w:t>
            </w:r>
            <w:r w:rsidR="005E704D">
              <w:rPr>
                <w:rFonts w:ascii="Times New Roman" w:hAnsi="Times New Roman" w:cs="Times New Roman"/>
                <w:sz w:val="24"/>
                <w:szCs w:val="24"/>
              </w:rPr>
              <w:t xml:space="preserve">see </w:t>
            </w:r>
            <w:r w:rsidR="0000161E">
              <w:rPr>
                <w:rFonts w:ascii="Times New Roman" w:hAnsi="Times New Roman" w:cs="Times New Roman"/>
                <w:sz w:val="24"/>
                <w:szCs w:val="24"/>
              </w:rPr>
              <w:t xml:space="preserve">the updated Figure 1 above), </w:t>
            </w:r>
            <w:r w:rsidR="001C7C24">
              <w:rPr>
                <w:rFonts w:ascii="Times New Roman" w:hAnsi="Times New Roman" w:cs="Times New Roman"/>
                <w:sz w:val="24"/>
                <w:szCs w:val="24"/>
              </w:rPr>
              <w:t xml:space="preserve">many </w:t>
            </w:r>
            <w:r w:rsidR="0000161E">
              <w:rPr>
                <w:rFonts w:ascii="Times New Roman" w:hAnsi="Times New Roman" w:cs="Times New Roman"/>
                <w:sz w:val="24"/>
                <w:szCs w:val="24"/>
              </w:rPr>
              <w:t xml:space="preserve">of which </w:t>
            </w:r>
            <w:r w:rsidR="001C7C24">
              <w:rPr>
                <w:rFonts w:ascii="Times New Roman" w:hAnsi="Times New Roman" w:cs="Times New Roman"/>
                <w:sz w:val="24"/>
                <w:szCs w:val="24"/>
              </w:rPr>
              <w:t xml:space="preserve">cover the southeast China, </w:t>
            </w:r>
            <w:r w:rsidR="00E80BF2">
              <w:rPr>
                <w:rFonts w:ascii="Times New Roman" w:hAnsi="Times New Roman" w:cs="Times New Roman"/>
                <w:sz w:val="24"/>
                <w:szCs w:val="24"/>
              </w:rPr>
              <w:t>we first presumed that GOCI-AHI AOD would represent the aerosol loadings more realistically.</w:t>
            </w:r>
            <w:r w:rsidR="007F7BD5">
              <w:rPr>
                <w:rFonts w:ascii="Times New Roman" w:hAnsi="Times New Roman" w:cs="Times New Roman"/>
                <w:sz w:val="24"/>
                <w:szCs w:val="24"/>
              </w:rPr>
              <w:t xml:space="preserve"> </w:t>
            </w:r>
            <w:r w:rsidR="00D3118B">
              <w:rPr>
                <w:rFonts w:ascii="Times New Roman" w:hAnsi="Times New Roman" w:cs="Times New Roman"/>
                <w:sz w:val="24"/>
                <w:szCs w:val="24"/>
              </w:rPr>
              <w:t>And then, t</w:t>
            </w:r>
            <w:r w:rsidR="007F7BD5">
              <w:rPr>
                <w:rFonts w:ascii="Times New Roman" w:hAnsi="Times New Roman" w:cs="Times New Roman"/>
                <w:sz w:val="24"/>
                <w:szCs w:val="24"/>
              </w:rPr>
              <w:t>his was supported by the grid-specific number of AOD records afforded by AHI AOD and GOCI-AHI AOD (Figure 5),</w:t>
            </w:r>
            <w:r w:rsidR="007F7BD5">
              <w:rPr>
                <w:rFonts w:ascii="Times New Roman" w:hAnsi="Times New Roman" w:cs="Times New Roman" w:hint="eastAsia"/>
                <w:sz w:val="24"/>
                <w:szCs w:val="24"/>
              </w:rPr>
              <w:t xml:space="preserve"> </w:t>
            </w:r>
            <w:r w:rsidR="007F7BD5">
              <w:rPr>
                <w:rFonts w:ascii="Times New Roman" w:hAnsi="Times New Roman" w:cs="Times New Roman"/>
                <w:sz w:val="24"/>
                <w:szCs w:val="24"/>
              </w:rPr>
              <w:t>the former of which showed noticeably fewer information available for use</w:t>
            </w:r>
            <w:r w:rsidR="00950DC0">
              <w:rPr>
                <w:rFonts w:ascii="Times New Roman" w:hAnsi="Times New Roman" w:cs="Times New Roman"/>
                <w:sz w:val="24"/>
                <w:szCs w:val="24"/>
              </w:rPr>
              <w:t xml:space="preserve">. </w:t>
            </w:r>
            <w:r w:rsidR="00D3118B">
              <w:rPr>
                <w:rFonts w:ascii="Times New Roman" w:hAnsi="Times New Roman" w:cs="Times New Roman"/>
                <w:sz w:val="24"/>
                <w:szCs w:val="24"/>
              </w:rPr>
              <w:t>Therefore,</w:t>
            </w:r>
            <w:r w:rsidR="009B7162">
              <w:rPr>
                <w:rFonts w:ascii="Times New Roman" w:hAnsi="Times New Roman" w:cs="Times New Roman"/>
                <w:sz w:val="24"/>
                <w:szCs w:val="24"/>
              </w:rPr>
              <w:t xml:space="preserve"> </w:t>
            </w:r>
            <w:r w:rsidR="00D3118B">
              <w:rPr>
                <w:rFonts w:ascii="Times New Roman" w:hAnsi="Times New Roman" w:cs="Times New Roman"/>
                <w:sz w:val="24"/>
                <w:szCs w:val="24"/>
              </w:rPr>
              <w:t>we concluded that the use of the emissions constrained based on GOCI-AHI AOD</w:t>
            </w:r>
            <w:r w:rsidR="00D53DF7">
              <w:rPr>
                <w:rFonts w:ascii="Times New Roman" w:hAnsi="Times New Roman" w:cs="Times New Roman"/>
                <w:sz w:val="24"/>
                <w:szCs w:val="24"/>
              </w:rPr>
              <w:t xml:space="preserve">, </w:t>
            </w:r>
            <w:r w:rsidR="009B7162">
              <w:rPr>
                <w:rFonts w:ascii="Times New Roman" w:hAnsi="Times New Roman" w:cs="Times New Roman"/>
                <w:sz w:val="24"/>
                <w:szCs w:val="24"/>
              </w:rPr>
              <w:t xml:space="preserve">which </w:t>
            </w:r>
            <w:r w:rsidR="0025504E">
              <w:rPr>
                <w:rFonts w:ascii="Times New Roman" w:hAnsi="Times New Roman" w:cs="Times New Roman"/>
                <w:sz w:val="24"/>
                <w:szCs w:val="24"/>
              </w:rPr>
              <w:t xml:space="preserve">was considered to </w:t>
            </w:r>
            <w:r w:rsidR="00D53DF7">
              <w:rPr>
                <w:rFonts w:ascii="Times New Roman" w:hAnsi="Times New Roman" w:cs="Times New Roman"/>
                <w:sz w:val="24"/>
                <w:szCs w:val="24"/>
              </w:rPr>
              <w:t xml:space="preserve">better capture </w:t>
            </w:r>
            <w:r w:rsidR="009B7162">
              <w:rPr>
                <w:rFonts w:ascii="Times New Roman" w:hAnsi="Times New Roman" w:cs="Times New Roman"/>
                <w:sz w:val="24"/>
                <w:szCs w:val="24"/>
              </w:rPr>
              <w:t>the high AOD peaks</w:t>
            </w:r>
            <w:r w:rsidR="00D53DF7">
              <w:rPr>
                <w:rFonts w:ascii="Times New Roman" w:hAnsi="Times New Roman" w:cs="Times New Roman"/>
                <w:sz w:val="24"/>
                <w:szCs w:val="24"/>
              </w:rPr>
              <w:t xml:space="preserve"> </w:t>
            </w:r>
            <w:r w:rsidR="0025504E">
              <w:rPr>
                <w:rFonts w:ascii="Times New Roman" w:hAnsi="Times New Roman" w:cs="Times New Roman"/>
                <w:sz w:val="24"/>
                <w:szCs w:val="24"/>
              </w:rPr>
              <w:t xml:space="preserve">across </w:t>
            </w:r>
            <w:r w:rsidR="00D53DF7">
              <w:rPr>
                <w:rFonts w:ascii="Times New Roman" w:hAnsi="Times New Roman" w:cs="Times New Roman"/>
                <w:sz w:val="24"/>
                <w:szCs w:val="24"/>
              </w:rPr>
              <w:t>the southeast China</w:t>
            </w:r>
            <w:r w:rsidR="0025504E">
              <w:rPr>
                <w:rFonts w:ascii="Times New Roman" w:hAnsi="Times New Roman" w:cs="Times New Roman"/>
                <w:sz w:val="24"/>
                <w:szCs w:val="24"/>
              </w:rPr>
              <w:t xml:space="preserve"> in a spatiotemporally more frequent and continuous manner</w:t>
            </w:r>
            <w:r w:rsidR="00D53DF7">
              <w:rPr>
                <w:rFonts w:ascii="Times New Roman" w:hAnsi="Times New Roman" w:cs="Times New Roman"/>
                <w:sz w:val="24"/>
                <w:szCs w:val="24"/>
              </w:rPr>
              <w:t xml:space="preserve">, </w:t>
            </w:r>
            <w:r w:rsidR="0025504E">
              <w:rPr>
                <w:rFonts w:ascii="Times New Roman" w:hAnsi="Times New Roman" w:cs="Times New Roman"/>
                <w:sz w:val="24"/>
                <w:szCs w:val="24"/>
              </w:rPr>
              <w:t xml:space="preserve">was more effective in resolving the model’s initial AOD underestimation (based on the base emissions). </w:t>
            </w:r>
            <w:r w:rsidR="006D7BD7">
              <w:rPr>
                <w:rFonts w:ascii="Times New Roman" w:hAnsi="Times New Roman" w:cs="Times New Roman"/>
                <w:sz w:val="24"/>
                <w:szCs w:val="24"/>
              </w:rPr>
              <w:t xml:space="preserve">It should also be noted that </w:t>
            </w:r>
            <w:r w:rsidR="0025504E">
              <w:rPr>
                <w:rFonts w:ascii="Times New Roman" w:hAnsi="Times New Roman" w:cs="Times New Roman"/>
                <w:sz w:val="24"/>
                <w:szCs w:val="24"/>
              </w:rPr>
              <w:t xml:space="preserve">the emissions adjustment </w:t>
            </w:r>
            <w:r w:rsidR="006D7BD7">
              <w:rPr>
                <w:rFonts w:ascii="Times New Roman" w:hAnsi="Times New Roman" w:cs="Times New Roman"/>
                <w:sz w:val="24"/>
                <w:szCs w:val="24"/>
              </w:rPr>
              <w:t xml:space="preserve">led to an </w:t>
            </w:r>
            <w:r w:rsidR="0025504E">
              <w:rPr>
                <w:rFonts w:ascii="Times New Roman" w:hAnsi="Times New Roman" w:cs="Times New Roman"/>
                <w:sz w:val="24"/>
                <w:szCs w:val="24"/>
              </w:rPr>
              <w:t>improve</w:t>
            </w:r>
            <w:r w:rsidR="006D7BD7">
              <w:rPr>
                <w:rFonts w:ascii="Times New Roman" w:hAnsi="Times New Roman" w:cs="Times New Roman"/>
                <w:sz w:val="24"/>
                <w:szCs w:val="24"/>
              </w:rPr>
              <w:t>ment in</w:t>
            </w:r>
            <w:r w:rsidR="0025504E">
              <w:rPr>
                <w:rFonts w:ascii="Times New Roman" w:hAnsi="Times New Roman" w:cs="Times New Roman"/>
                <w:sz w:val="24"/>
                <w:szCs w:val="24"/>
              </w:rPr>
              <w:t xml:space="preserve"> the model</w:t>
            </w:r>
            <w:r w:rsidR="006D7BD7">
              <w:rPr>
                <w:rFonts w:ascii="Times New Roman" w:hAnsi="Times New Roman" w:cs="Times New Roman"/>
                <w:sz w:val="24"/>
                <w:szCs w:val="24"/>
              </w:rPr>
              <w:t>’s</w:t>
            </w:r>
            <w:r w:rsidR="0025504E">
              <w:rPr>
                <w:rFonts w:ascii="Times New Roman" w:hAnsi="Times New Roman" w:cs="Times New Roman"/>
                <w:sz w:val="24"/>
                <w:szCs w:val="24"/>
              </w:rPr>
              <w:t xml:space="preserve"> performance in terms of normalized mean error</w:t>
            </w:r>
            <w:r w:rsidR="006D7BD7">
              <w:rPr>
                <w:rFonts w:ascii="Times New Roman" w:hAnsi="Times New Roman" w:cs="Times New Roman"/>
                <w:sz w:val="24"/>
                <w:szCs w:val="24"/>
              </w:rPr>
              <w:t>s</w:t>
            </w:r>
            <w:r w:rsidR="0025504E">
              <w:rPr>
                <w:rFonts w:ascii="Times New Roman" w:hAnsi="Times New Roman" w:cs="Times New Roman"/>
                <w:sz w:val="24"/>
                <w:szCs w:val="24"/>
              </w:rPr>
              <w:t xml:space="preserve"> (NME</w:t>
            </w:r>
            <w:r w:rsidR="006D7BD7">
              <w:rPr>
                <w:rFonts w:ascii="Times New Roman" w:hAnsi="Times New Roman" w:cs="Times New Roman"/>
                <w:sz w:val="24"/>
                <w:szCs w:val="24"/>
              </w:rPr>
              <w:t>s</w:t>
            </w:r>
            <w:r w:rsidR="0025504E">
              <w:rPr>
                <w:rFonts w:ascii="Times New Roman" w:hAnsi="Times New Roman" w:cs="Times New Roman"/>
                <w:sz w:val="24"/>
                <w:szCs w:val="24"/>
              </w:rPr>
              <w:t>)</w:t>
            </w:r>
            <w:r w:rsidR="005E704D">
              <w:rPr>
                <w:rFonts w:ascii="Times New Roman" w:hAnsi="Times New Roman" w:cs="Times New Roman"/>
                <w:sz w:val="24"/>
                <w:szCs w:val="24"/>
              </w:rPr>
              <w:t xml:space="preserve"> as </w:t>
            </w:r>
            <w:r w:rsidR="0012176D">
              <w:rPr>
                <w:rFonts w:ascii="Times New Roman" w:hAnsi="Times New Roman" w:cs="Times New Roman"/>
                <w:sz w:val="24"/>
                <w:szCs w:val="24"/>
              </w:rPr>
              <w:t>well,</w:t>
            </w:r>
            <w:r w:rsidR="0025504E">
              <w:rPr>
                <w:rFonts w:ascii="Times New Roman" w:hAnsi="Times New Roman" w:cs="Times New Roman"/>
                <w:sz w:val="24"/>
                <w:szCs w:val="24"/>
              </w:rPr>
              <w:t xml:space="preserve"> </w:t>
            </w:r>
            <w:r w:rsidR="005E704D">
              <w:rPr>
                <w:rFonts w:ascii="Times New Roman" w:hAnsi="Times New Roman" w:cs="Times New Roman"/>
                <w:sz w:val="24"/>
                <w:szCs w:val="24"/>
              </w:rPr>
              <w:t xml:space="preserve">but </w:t>
            </w:r>
            <w:r w:rsidR="006D7BD7">
              <w:rPr>
                <w:rFonts w:ascii="Times New Roman" w:hAnsi="Times New Roman" w:cs="Times New Roman"/>
                <w:sz w:val="24"/>
                <w:szCs w:val="24"/>
              </w:rPr>
              <w:t xml:space="preserve">the extent of improvement was not as noticeable as the improvement </w:t>
            </w:r>
            <w:r w:rsidR="005E704D">
              <w:rPr>
                <w:rFonts w:ascii="Times New Roman" w:hAnsi="Times New Roman" w:cs="Times New Roman"/>
                <w:sz w:val="24"/>
                <w:szCs w:val="24"/>
              </w:rPr>
              <w:t xml:space="preserve">shown </w:t>
            </w:r>
            <w:r w:rsidR="006D7BD7">
              <w:rPr>
                <w:rFonts w:ascii="Times New Roman" w:hAnsi="Times New Roman" w:cs="Times New Roman"/>
                <w:sz w:val="24"/>
                <w:szCs w:val="24"/>
              </w:rPr>
              <w:t>in NMBs (</w:t>
            </w:r>
            <w:r w:rsidR="005E704D">
              <w:rPr>
                <w:rFonts w:ascii="Times New Roman" w:hAnsi="Times New Roman" w:cs="Times New Roman"/>
                <w:sz w:val="24"/>
                <w:szCs w:val="24"/>
              </w:rPr>
              <w:t>see the updated Table 1 below</w:t>
            </w:r>
            <w:r w:rsidR="006D7BD7">
              <w:rPr>
                <w:rFonts w:ascii="Times New Roman" w:hAnsi="Times New Roman" w:cs="Times New Roman"/>
                <w:sz w:val="24"/>
                <w:szCs w:val="24"/>
              </w:rPr>
              <w:t>)</w:t>
            </w:r>
            <w:r w:rsidR="00FB0A6A">
              <w:rPr>
                <w:rFonts w:ascii="Times New Roman" w:hAnsi="Times New Roman" w:cs="Times New Roman"/>
                <w:sz w:val="24"/>
                <w:szCs w:val="24"/>
              </w:rPr>
              <w:t xml:space="preserve">. This </w:t>
            </w:r>
            <w:r w:rsidR="00FB0A6A" w:rsidRPr="00FB0A6A">
              <w:rPr>
                <w:rFonts w:ascii="Times New Roman" w:hAnsi="Times New Roman" w:cs="Times New Roman"/>
                <w:sz w:val="24"/>
                <w:szCs w:val="24"/>
              </w:rPr>
              <w:t>could be attributed to the fact that NMEs consider both the magnitude and direction of errors, whereas NMBs only consider the direction of errors</w:t>
            </w:r>
            <w:r w:rsidR="00FB0A6A">
              <w:rPr>
                <w:rFonts w:ascii="Times New Roman" w:hAnsi="Times New Roman" w:cs="Times New Roman"/>
                <w:sz w:val="24"/>
                <w:szCs w:val="24"/>
              </w:rPr>
              <w:t>;</w:t>
            </w:r>
            <w:r w:rsidR="00FB0A6A" w:rsidRPr="00FB0A6A">
              <w:rPr>
                <w:rFonts w:ascii="Times New Roman" w:hAnsi="Times New Roman" w:cs="Times New Roman"/>
                <w:sz w:val="24"/>
                <w:szCs w:val="24"/>
              </w:rPr>
              <w:t xml:space="preserve"> even if the magnitude of errors has been reduced, NMEs may not improve </w:t>
            </w:r>
            <w:r w:rsidR="00FB0A6A">
              <w:rPr>
                <w:rFonts w:ascii="Times New Roman" w:hAnsi="Times New Roman" w:cs="Times New Roman"/>
                <w:sz w:val="24"/>
                <w:szCs w:val="24"/>
              </w:rPr>
              <w:t xml:space="preserve">noticeably </w:t>
            </w:r>
            <w:r w:rsidR="00FB0A6A" w:rsidRPr="00FB0A6A">
              <w:rPr>
                <w:rFonts w:ascii="Times New Roman" w:hAnsi="Times New Roman" w:cs="Times New Roman"/>
                <w:sz w:val="24"/>
                <w:szCs w:val="24"/>
              </w:rPr>
              <w:t>if the direction of errors remains the same.</w:t>
            </w:r>
          </w:p>
          <w:p w14:paraId="2792A0A6" w14:textId="6090BADA" w:rsidR="00FB0A6A" w:rsidRDefault="00FB0A6A" w:rsidP="0043755B">
            <w:pPr>
              <w:spacing w:line="276" w:lineRule="auto"/>
              <w:rPr>
                <w:rFonts w:ascii="Times New Roman" w:hAnsi="Times New Roman" w:cs="Times New Roman"/>
                <w:sz w:val="24"/>
                <w:szCs w:val="24"/>
              </w:rPr>
            </w:pPr>
          </w:p>
          <w:p w14:paraId="336373A0" w14:textId="77777777" w:rsidR="00FB0A6A" w:rsidRPr="00983057" w:rsidRDefault="00FB0A6A" w:rsidP="00FB0A6A">
            <w:pPr>
              <w:spacing w:after="240"/>
              <w:rPr>
                <w:rFonts w:ascii="Times New Roman" w:eastAsia="바탕" w:hAnsi="Times New Roman" w:cs="Times New Roman"/>
                <w:b/>
                <w:bCs/>
                <w:sz w:val="14"/>
                <w:szCs w:val="14"/>
              </w:rPr>
            </w:pPr>
            <w:r w:rsidRPr="00983057">
              <w:rPr>
                <w:rFonts w:ascii="Times New Roman" w:eastAsia="바탕" w:hAnsi="Times New Roman" w:cs="Times New Roman"/>
                <w:b/>
                <w:bCs/>
                <w:sz w:val="14"/>
                <w:szCs w:val="14"/>
              </w:rPr>
              <w:t>Table 1. Summary statistics of the daily mean AERONET AOD (85 sites) and the CMAQ-simulated daily mean AOD before and after the NO</w:t>
            </w:r>
            <w:r w:rsidRPr="00983057">
              <w:rPr>
                <w:rFonts w:ascii="Times New Roman" w:eastAsia="바탕" w:hAnsi="Times New Roman" w:cs="Times New Roman"/>
                <w:b/>
                <w:bCs/>
                <w:sz w:val="14"/>
                <w:szCs w:val="14"/>
                <w:vertAlign w:val="subscript"/>
              </w:rPr>
              <w:t>x</w:t>
            </w:r>
            <w:r w:rsidRPr="00983057">
              <w:rPr>
                <w:rFonts w:ascii="Times New Roman" w:eastAsia="바탕" w:hAnsi="Times New Roman" w:cs="Times New Roman"/>
                <w:b/>
                <w:bCs/>
                <w:sz w:val="14"/>
                <w:szCs w:val="14"/>
              </w:rPr>
              <w:t xml:space="preserve"> and primary PM emissions adjustments during the study period 2019. (a) The CMAQ-simulated AOD using the base emissions, (b) the CMAQ-simulated AOD using 2019 NO</w:t>
            </w:r>
            <w:r w:rsidRPr="00983057">
              <w:rPr>
                <w:rFonts w:ascii="Times New Roman" w:eastAsia="바탕" w:hAnsi="Times New Roman" w:cs="Times New Roman"/>
                <w:b/>
                <w:bCs/>
                <w:sz w:val="14"/>
                <w:szCs w:val="14"/>
                <w:vertAlign w:val="subscript"/>
              </w:rPr>
              <w:t>x</w:t>
            </w:r>
            <w:r w:rsidRPr="00983057">
              <w:rPr>
                <w:rFonts w:ascii="Times New Roman" w:eastAsia="바탕" w:hAnsi="Times New Roman" w:cs="Times New Roman"/>
                <w:b/>
                <w:bCs/>
                <w:sz w:val="14"/>
                <w:szCs w:val="14"/>
              </w:rPr>
              <w:t>-constrained emissions, (c) the CMAQ-simulated AOD using 2019 NO</w:t>
            </w:r>
            <w:r w:rsidRPr="00983057">
              <w:rPr>
                <w:rFonts w:ascii="Times New Roman" w:eastAsia="바탕" w:hAnsi="Times New Roman" w:cs="Times New Roman"/>
                <w:b/>
                <w:bCs/>
                <w:sz w:val="14"/>
                <w:szCs w:val="14"/>
                <w:vertAlign w:val="subscript"/>
              </w:rPr>
              <w:t>x</w:t>
            </w:r>
            <w:r w:rsidRPr="00983057">
              <w:rPr>
                <w:rFonts w:ascii="Times New Roman" w:eastAsia="바탕" w:hAnsi="Times New Roman" w:cs="Times New Roman"/>
                <w:b/>
                <w:bCs/>
                <w:sz w:val="14"/>
                <w:szCs w:val="14"/>
              </w:rPr>
              <w:t>- and PM-constrained emissions using the AHI AOD, and (d) the CMAQ-simulated AOD using 2019 NO</w:t>
            </w:r>
            <w:r w:rsidRPr="00983057">
              <w:rPr>
                <w:rFonts w:ascii="Times New Roman" w:eastAsia="바탕" w:hAnsi="Times New Roman" w:cs="Times New Roman"/>
                <w:b/>
                <w:bCs/>
                <w:sz w:val="14"/>
                <w:szCs w:val="14"/>
                <w:vertAlign w:val="subscript"/>
              </w:rPr>
              <w:t>x</w:t>
            </w:r>
            <w:r w:rsidRPr="00983057">
              <w:rPr>
                <w:rFonts w:ascii="Times New Roman" w:eastAsia="바탕" w:hAnsi="Times New Roman" w:cs="Times New Roman"/>
                <w:b/>
                <w:bCs/>
                <w:sz w:val="14"/>
                <w:szCs w:val="14"/>
              </w:rPr>
              <w:t>- and PM-constrained emissions using GOCI-AHI fused AOD.  R: Pearson’s correlation coefficient; NMB (%): normalized mean bias, NME (%): normalized mean error.</w:t>
            </w:r>
          </w:p>
          <w:tbl>
            <w:tblPr>
              <w:tblW w:w="6667" w:type="dxa"/>
              <w:tblBorders>
                <w:top w:val="single" w:sz="4" w:space="0" w:color="auto"/>
                <w:bottom w:val="single" w:sz="4" w:space="0" w:color="auto"/>
              </w:tblBorders>
              <w:tblLayout w:type="fixed"/>
              <w:tblCellMar>
                <w:left w:w="99" w:type="dxa"/>
                <w:right w:w="99" w:type="dxa"/>
              </w:tblCellMar>
              <w:tblLook w:val="04A0" w:firstRow="1" w:lastRow="0" w:firstColumn="1" w:lastColumn="0" w:noHBand="0" w:noVBand="1"/>
            </w:tblPr>
            <w:tblGrid>
              <w:gridCol w:w="686"/>
              <w:gridCol w:w="618"/>
              <w:gridCol w:w="977"/>
              <w:gridCol w:w="1825"/>
              <w:gridCol w:w="980"/>
              <w:gridCol w:w="120"/>
              <w:gridCol w:w="1461"/>
            </w:tblGrid>
            <w:tr w:rsidR="00FB0A6A" w:rsidRPr="00983057" w14:paraId="7BCAA43F" w14:textId="77777777" w:rsidTr="00983057">
              <w:trPr>
                <w:trHeight w:val="309"/>
              </w:trPr>
              <w:tc>
                <w:tcPr>
                  <w:tcW w:w="514" w:type="pct"/>
                  <w:tcBorders>
                    <w:bottom w:val="nil"/>
                    <w:right w:val="single" w:sz="4" w:space="0" w:color="auto"/>
                  </w:tcBorders>
                  <w:shd w:val="clear" w:color="auto" w:fill="auto"/>
                  <w:noWrap/>
                  <w:hideMark/>
                </w:tcPr>
                <w:p w14:paraId="095794E6" w14:textId="77777777" w:rsidR="00FB0A6A" w:rsidRPr="00983057" w:rsidRDefault="00FB0A6A" w:rsidP="00983057">
                  <w:pPr>
                    <w:spacing w:after="0" w:line="240" w:lineRule="auto"/>
                    <w:jc w:val="center"/>
                    <w:rPr>
                      <w:rFonts w:ascii="Times New Roman" w:eastAsia="굴림" w:hAnsi="Times New Roman" w:cs="Times New Roman"/>
                      <w:sz w:val="14"/>
                      <w:szCs w:val="14"/>
                    </w:rPr>
                  </w:pPr>
                </w:p>
              </w:tc>
              <w:tc>
                <w:tcPr>
                  <w:tcW w:w="463" w:type="pct"/>
                  <w:tcBorders>
                    <w:top w:val="single" w:sz="4" w:space="0" w:color="auto"/>
                    <w:left w:val="single" w:sz="4" w:space="0" w:color="auto"/>
                    <w:bottom w:val="nil"/>
                    <w:right w:val="single" w:sz="4" w:space="0" w:color="auto"/>
                  </w:tcBorders>
                  <w:shd w:val="clear" w:color="auto" w:fill="auto"/>
                  <w:noWrap/>
                  <w:hideMark/>
                </w:tcPr>
                <w:p w14:paraId="7FF7F1E0" w14:textId="77777777" w:rsidR="00FB0A6A" w:rsidRPr="00983057" w:rsidRDefault="00FB0A6A" w:rsidP="00983057">
                  <w:pPr>
                    <w:spacing w:after="0" w:line="240" w:lineRule="auto"/>
                    <w:jc w:val="center"/>
                    <w:rPr>
                      <w:rFonts w:ascii="Times New Roman" w:hAnsi="Times New Roman" w:cs="Times New Roman"/>
                      <w:sz w:val="14"/>
                      <w:szCs w:val="14"/>
                    </w:rPr>
                  </w:pPr>
                </w:p>
              </w:tc>
              <w:tc>
                <w:tcPr>
                  <w:tcW w:w="733" w:type="pct"/>
                  <w:vMerge w:val="restart"/>
                  <w:tcBorders>
                    <w:left w:val="single" w:sz="4" w:space="0" w:color="auto"/>
                  </w:tcBorders>
                  <w:shd w:val="clear" w:color="auto" w:fill="auto"/>
                  <w:noWrap/>
                  <w:hideMark/>
                </w:tcPr>
                <w:p w14:paraId="660712A9"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(a) Base emissions</w:t>
                  </w:r>
                </w:p>
              </w:tc>
              <w:tc>
                <w:tcPr>
                  <w:tcW w:w="1369" w:type="pct"/>
                  <w:vMerge w:val="restart"/>
                  <w:shd w:val="clear" w:color="auto" w:fill="auto"/>
                  <w:noWrap/>
                  <w:hideMark/>
                </w:tcPr>
                <w:p w14:paraId="3863DA0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(b) 2019 NO</w:t>
                  </w:r>
                  <w:r w:rsidRPr="00983057">
                    <w:rPr>
                      <w:rFonts w:ascii="Times New Roman" w:eastAsia="맑은 고딕" w:hAnsi="Times New Roman" w:cs="Times New Roman"/>
                      <w:sz w:val="14"/>
                      <w:szCs w:val="14"/>
                      <w:vertAlign w:val="subscript"/>
                    </w:rPr>
                    <w:t>x</w:t>
                  </w:r>
                  <w:r w:rsidRPr="00983057">
                    <w:rPr>
                      <w:rFonts w:ascii="Times New Roman" w:eastAsia="맑은 고딕" w:hAnsi="Times New Roman" w:cs="Times New Roman"/>
                      <w:sz w:val="14"/>
                      <w:szCs w:val="14"/>
                    </w:rPr>
                    <w:t>-constrained emissions</w:t>
                  </w:r>
                </w:p>
              </w:tc>
              <w:tc>
                <w:tcPr>
                  <w:tcW w:w="1921" w:type="pct"/>
                  <w:gridSpan w:val="3"/>
                  <w:tcBorders>
                    <w:top w:val="single" w:sz="4" w:space="0" w:color="auto"/>
                    <w:bottom w:val="single" w:sz="4" w:space="0" w:color="auto"/>
                  </w:tcBorders>
                  <w:shd w:val="clear" w:color="auto" w:fill="auto"/>
                  <w:noWrap/>
                  <w:hideMark/>
                </w:tcPr>
                <w:p w14:paraId="69AF0E76"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2019 NO</w:t>
                  </w:r>
                  <w:r w:rsidRPr="00983057">
                    <w:rPr>
                      <w:rFonts w:ascii="Times New Roman" w:eastAsia="맑은 고딕" w:hAnsi="Times New Roman" w:cs="Times New Roman"/>
                      <w:sz w:val="14"/>
                      <w:szCs w:val="14"/>
                      <w:vertAlign w:val="subscript"/>
                    </w:rPr>
                    <w:t>x</w:t>
                  </w:r>
                  <w:r w:rsidRPr="00983057">
                    <w:rPr>
                      <w:rFonts w:ascii="Times New Roman" w:eastAsia="맑은 고딕" w:hAnsi="Times New Roman" w:cs="Times New Roman"/>
                      <w:sz w:val="14"/>
                      <w:szCs w:val="14"/>
                    </w:rPr>
                    <w:t>- and PM-constrained emissions</w:t>
                  </w:r>
                </w:p>
              </w:tc>
            </w:tr>
            <w:tr w:rsidR="00FB0A6A" w:rsidRPr="00983057" w14:paraId="1929A9F9" w14:textId="77777777" w:rsidTr="00983057">
              <w:trPr>
                <w:trHeight w:val="309"/>
              </w:trPr>
              <w:tc>
                <w:tcPr>
                  <w:tcW w:w="514" w:type="pct"/>
                  <w:tcBorders>
                    <w:top w:val="nil"/>
                    <w:bottom w:val="single" w:sz="4" w:space="0" w:color="auto"/>
                    <w:right w:val="single" w:sz="4" w:space="0" w:color="auto"/>
                  </w:tcBorders>
                  <w:shd w:val="clear" w:color="auto" w:fill="auto"/>
                  <w:noWrap/>
                </w:tcPr>
                <w:p w14:paraId="280C0DDB" w14:textId="7054AA1D" w:rsidR="00FB0A6A" w:rsidRPr="00983057" w:rsidRDefault="00FB0A6A" w:rsidP="00983057">
                  <w:pPr>
                    <w:spacing w:after="0" w:line="240" w:lineRule="auto"/>
                    <w:rPr>
                      <w:rFonts w:ascii="Times New Roman" w:eastAsia="굴림" w:hAnsi="Times New Roman" w:cs="Times New Roman"/>
                      <w:sz w:val="14"/>
                      <w:szCs w:val="14"/>
                    </w:rPr>
                  </w:pPr>
                </w:p>
              </w:tc>
              <w:tc>
                <w:tcPr>
                  <w:tcW w:w="463" w:type="pct"/>
                  <w:tcBorders>
                    <w:top w:val="nil"/>
                    <w:left w:val="single" w:sz="4" w:space="0" w:color="auto"/>
                    <w:bottom w:val="single" w:sz="4" w:space="0" w:color="auto"/>
                    <w:right w:val="single" w:sz="4" w:space="0" w:color="auto"/>
                  </w:tcBorders>
                  <w:shd w:val="clear" w:color="auto" w:fill="auto"/>
                  <w:noWrap/>
                </w:tcPr>
                <w:p w14:paraId="717C65E5" w14:textId="77777777" w:rsidR="00FB0A6A" w:rsidRPr="00983057" w:rsidRDefault="00FB0A6A" w:rsidP="00983057">
                  <w:pPr>
                    <w:spacing w:after="0" w:line="240" w:lineRule="auto"/>
                    <w:rPr>
                      <w:rFonts w:ascii="Times New Roman" w:hAnsi="Times New Roman" w:cs="Times New Roman"/>
                      <w:sz w:val="14"/>
                      <w:szCs w:val="14"/>
                    </w:rPr>
                  </w:pPr>
                </w:p>
              </w:tc>
              <w:tc>
                <w:tcPr>
                  <w:tcW w:w="733" w:type="pct"/>
                  <w:vMerge/>
                  <w:tcBorders>
                    <w:left w:val="single" w:sz="4" w:space="0" w:color="auto"/>
                    <w:bottom w:val="single" w:sz="4" w:space="0" w:color="auto"/>
                  </w:tcBorders>
                  <w:shd w:val="clear" w:color="auto" w:fill="auto"/>
                  <w:noWrap/>
                </w:tcPr>
                <w:p w14:paraId="4C5DEC24" w14:textId="77777777" w:rsidR="00FB0A6A" w:rsidRPr="00983057" w:rsidRDefault="00FB0A6A" w:rsidP="00983057">
                  <w:pPr>
                    <w:spacing w:after="0" w:line="240" w:lineRule="auto"/>
                    <w:rPr>
                      <w:rFonts w:ascii="Times New Roman" w:eastAsia="맑은 고딕" w:hAnsi="Times New Roman" w:cs="Times New Roman"/>
                      <w:sz w:val="14"/>
                      <w:szCs w:val="14"/>
                    </w:rPr>
                  </w:pPr>
                </w:p>
              </w:tc>
              <w:tc>
                <w:tcPr>
                  <w:tcW w:w="1369" w:type="pct"/>
                  <w:vMerge/>
                  <w:tcBorders>
                    <w:bottom w:val="single" w:sz="4" w:space="0" w:color="auto"/>
                  </w:tcBorders>
                  <w:shd w:val="clear" w:color="auto" w:fill="auto"/>
                  <w:noWrap/>
                </w:tcPr>
                <w:p w14:paraId="4A38F4EC" w14:textId="77777777" w:rsidR="00FB0A6A" w:rsidRPr="00983057" w:rsidRDefault="00FB0A6A" w:rsidP="00983057">
                  <w:pPr>
                    <w:spacing w:after="0" w:line="240" w:lineRule="auto"/>
                    <w:rPr>
                      <w:rFonts w:ascii="Times New Roman" w:eastAsia="맑은 고딕" w:hAnsi="Times New Roman" w:cs="Times New Roman"/>
                      <w:sz w:val="14"/>
                      <w:szCs w:val="14"/>
                    </w:rPr>
                  </w:pPr>
                </w:p>
              </w:tc>
              <w:tc>
                <w:tcPr>
                  <w:tcW w:w="825" w:type="pct"/>
                  <w:gridSpan w:val="2"/>
                  <w:tcBorders>
                    <w:top w:val="single" w:sz="4" w:space="0" w:color="auto"/>
                    <w:bottom w:val="single" w:sz="4" w:space="0" w:color="auto"/>
                  </w:tcBorders>
                  <w:shd w:val="clear" w:color="auto" w:fill="auto"/>
                  <w:noWrap/>
                </w:tcPr>
                <w:p w14:paraId="0618E56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(c) AHI AOD</w:t>
                  </w:r>
                </w:p>
              </w:tc>
              <w:tc>
                <w:tcPr>
                  <w:tcW w:w="1096" w:type="pct"/>
                  <w:tcBorders>
                    <w:top w:val="single" w:sz="4" w:space="0" w:color="auto"/>
                    <w:bottom w:val="single" w:sz="4" w:space="0" w:color="auto"/>
                  </w:tcBorders>
                  <w:shd w:val="clear" w:color="auto" w:fill="auto"/>
                  <w:noWrap/>
                </w:tcPr>
                <w:p w14:paraId="0424F72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(d) GOCI-AHI AOD</w:t>
                  </w:r>
                </w:p>
              </w:tc>
            </w:tr>
            <w:tr w:rsidR="00FB0A6A" w:rsidRPr="00983057" w14:paraId="685E20E7" w14:textId="77777777" w:rsidTr="00983057">
              <w:trPr>
                <w:trHeight w:val="309"/>
              </w:trPr>
              <w:tc>
                <w:tcPr>
                  <w:tcW w:w="514" w:type="pct"/>
                  <w:vMerge w:val="restart"/>
                  <w:tcBorders>
                    <w:top w:val="single" w:sz="4" w:space="0" w:color="auto"/>
                    <w:bottom w:val="nil"/>
                    <w:right w:val="single" w:sz="4" w:space="0" w:color="auto"/>
                  </w:tcBorders>
                  <w:shd w:val="clear" w:color="auto" w:fill="auto"/>
                  <w:noWrap/>
                  <w:hideMark/>
                </w:tcPr>
                <w:p w14:paraId="6E6A680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MAM</w:t>
                  </w:r>
                </w:p>
              </w:tc>
              <w:tc>
                <w:tcPr>
                  <w:tcW w:w="463" w:type="pct"/>
                  <w:tcBorders>
                    <w:top w:val="single" w:sz="4" w:space="0" w:color="auto"/>
                    <w:left w:val="single" w:sz="4" w:space="0" w:color="auto"/>
                    <w:bottom w:val="nil"/>
                    <w:right w:val="single" w:sz="4" w:space="0" w:color="auto"/>
                  </w:tcBorders>
                  <w:shd w:val="clear" w:color="auto" w:fill="auto"/>
                  <w:noWrap/>
                  <w:hideMark/>
                </w:tcPr>
                <w:p w14:paraId="0325EC0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R</w:t>
                  </w:r>
                </w:p>
              </w:tc>
              <w:tc>
                <w:tcPr>
                  <w:tcW w:w="733" w:type="pct"/>
                  <w:tcBorders>
                    <w:top w:val="single" w:sz="4" w:space="0" w:color="auto"/>
                    <w:left w:val="single" w:sz="4" w:space="0" w:color="auto"/>
                    <w:bottom w:val="nil"/>
                  </w:tcBorders>
                  <w:shd w:val="clear" w:color="auto" w:fill="auto"/>
                  <w:noWrap/>
                  <w:hideMark/>
                </w:tcPr>
                <w:p w14:paraId="60DD6CF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0.45</w:t>
                  </w:r>
                </w:p>
              </w:tc>
              <w:tc>
                <w:tcPr>
                  <w:tcW w:w="1369" w:type="pct"/>
                  <w:tcBorders>
                    <w:top w:val="single" w:sz="4" w:space="0" w:color="auto"/>
                    <w:bottom w:val="nil"/>
                  </w:tcBorders>
                  <w:shd w:val="clear" w:color="auto" w:fill="auto"/>
                  <w:noWrap/>
                  <w:hideMark/>
                </w:tcPr>
                <w:p w14:paraId="29AAFD9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0.43</w:t>
                  </w:r>
                </w:p>
              </w:tc>
              <w:tc>
                <w:tcPr>
                  <w:tcW w:w="825" w:type="pct"/>
                  <w:gridSpan w:val="2"/>
                  <w:tcBorders>
                    <w:top w:val="single" w:sz="4" w:space="0" w:color="auto"/>
                    <w:bottom w:val="nil"/>
                  </w:tcBorders>
                  <w:shd w:val="clear" w:color="auto" w:fill="auto"/>
                  <w:noWrap/>
                  <w:hideMark/>
                </w:tcPr>
                <w:p w14:paraId="1FCEF52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0.45</w:t>
                  </w:r>
                </w:p>
              </w:tc>
              <w:tc>
                <w:tcPr>
                  <w:tcW w:w="1096" w:type="pct"/>
                  <w:tcBorders>
                    <w:top w:val="single" w:sz="4" w:space="0" w:color="auto"/>
                    <w:bottom w:val="nil"/>
                  </w:tcBorders>
                  <w:shd w:val="clear" w:color="auto" w:fill="auto"/>
                  <w:noWrap/>
                  <w:hideMark/>
                </w:tcPr>
                <w:p w14:paraId="61A0941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0.45</w:t>
                  </w:r>
                </w:p>
              </w:tc>
            </w:tr>
            <w:tr w:rsidR="00FB0A6A" w:rsidRPr="00983057" w14:paraId="4ADB6524" w14:textId="77777777" w:rsidTr="00983057">
              <w:trPr>
                <w:trHeight w:val="309"/>
              </w:trPr>
              <w:tc>
                <w:tcPr>
                  <w:tcW w:w="514" w:type="pct"/>
                  <w:vMerge/>
                  <w:tcBorders>
                    <w:top w:val="nil"/>
                    <w:bottom w:val="nil"/>
                    <w:right w:val="single" w:sz="4" w:space="0" w:color="auto"/>
                  </w:tcBorders>
                  <w:shd w:val="clear" w:color="auto" w:fill="auto"/>
                  <w:noWrap/>
                  <w:hideMark/>
                </w:tcPr>
                <w:p w14:paraId="7E2122F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p>
              </w:tc>
              <w:tc>
                <w:tcPr>
                  <w:tcW w:w="463" w:type="pct"/>
                  <w:tcBorders>
                    <w:top w:val="nil"/>
                    <w:left w:val="single" w:sz="4" w:space="0" w:color="auto"/>
                    <w:bottom w:val="nil"/>
                    <w:right w:val="single" w:sz="4" w:space="0" w:color="auto"/>
                  </w:tcBorders>
                  <w:shd w:val="clear" w:color="auto" w:fill="auto"/>
                  <w:noWrap/>
                  <w:hideMark/>
                </w:tcPr>
                <w:p w14:paraId="58486BC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NMB</w:t>
                  </w:r>
                </w:p>
              </w:tc>
              <w:tc>
                <w:tcPr>
                  <w:tcW w:w="733" w:type="pct"/>
                  <w:tcBorders>
                    <w:top w:val="nil"/>
                    <w:left w:val="single" w:sz="4" w:space="0" w:color="auto"/>
                    <w:bottom w:val="nil"/>
                  </w:tcBorders>
                  <w:shd w:val="clear" w:color="auto" w:fill="auto"/>
                  <w:noWrap/>
                  <w:hideMark/>
                </w:tcPr>
                <w:p w14:paraId="6D5A79CB"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-64.74</w:t>
                  </w:r>
                </w:p>
              </w:tc>
              <w:tc>
                <w:tcPr>
                  <w:tcW w:w="1369" w:type="pct"/>
                  <w:tcBorders>
                    <w:top w:val="nil"/>
                    <w:bottom w:val="nil"/>
                  </w:tcBorders>
                  <w:shd w:val="clear" w:color="auto" w:fill="auto"/>
                  <w:noWrap/>
                  <w:hideMark/>
                </w:tcPr>
                <w:p w14:paraId="42FF40C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-55.62</w:t>
                  </w:r>
                </w:p>
              </w:tc>
              <w:tc>
                <w:tcPr>
                  <w:tcW w:w="825" w:type="pct"/>
                  <w:gridSpan w:val="2"/>
                  <w:tcBorders>
                    <w:top w:val="nil"/>
                    <w:bottom w:val="nil"/>
                  </w:tcBorders>
                  <w:shd w:val="clear" w:color="auto" w:fill="auto"/>
                  <w:noWrap/>
                  <w:hideMark/>
                </w:tcPr>
                <w:p w14:paraId="5565F394"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-49.63</w:t>
                  </w:r>
                </w:p>
              </w:tc>
              <w:tc>
                <w:tcPr>
                  <w:tcW w:w="1096" w:type="pct"/>
                  <w:tcBorders>
                    <w:top w:val="nil"/>
                    <w:bottom w:val="nil"/>
                  </w:tcBorders>
                  <w:shd w:val="clear" w:color="auto" w:fill="auto"/>
                  <w:noWrap/>
                  <w:hideMark/>
                </w:tcPr>
                <w:p w14:paraId="433E5F5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-26.76</w:t>
                  </w:r>
                </w:p>
              </w:tc>
            </w:tr>
            <w:tr w:rsidR="00FB0A6A" w:rsidRPr="00983057" w14:paraId="1C5C28E6" w14:textId="77777777" w:rsidTr="00983057">
              <w:trPr>
                <w:trHeight w:val="309"/>
              </w:trPr>
              <w:tc>
                <w:tcPr>
                  <w:tcW w:w="514" w:type="pct"/>
                  <w:vMerge/>
                  <w:tcBorders>
                    <w:top w:val="nil"/>
                    <w:bottom w:val="single" w:sz="4" w:space="0" w:color="auto"/>
                    <w:right w:val="single" w:sz="4" w:space="0" w:color="auto"/>
                  </w:tcBorders>
                  <w:shd w:val="clear" w:color="auto" w:fill="auto"/>
                  <w:noWrap/>
                </w:tcPr>
                <w:p w14:paraId="5DC3F130" w14:textId="77777777" w:rsidR="00FB0A6A" w:rsidRPr="00983057" w:rsidRDefault="00FB0A6A" w:rsidP="00983057">
                  <w:pPr>
                    <w:spacing w:after="0" w:line="240" w:lineRule="auto"/>
                    <w:jc w:val="center"/>
                    <w:rPr>
                      <w:rFonts w:ascii="Times New Roman" w:eastAsia="맑은 고딕" w:hAnsi="Times New Roman" w:cs="Times New Roman"/>
                      <w:color w:val="0000FF"/>
                      <w:sz w:val="14"/>
                      <w:szCs w:val="14"/>
                    </w:rPr>
                  </w:pPr>
                </w:p>
              </w:tc>
              <w:tc>
                <w:tcPr>
                  <w:tcW w:w="463" w:type="pct"/>
                  <w:tcBorders>
                    <w:top w:val="nil"/>
                    <w:left w:val="single" w:sz="4" w:space="0" w:color="auto"/>
                    <w:bottom w:val="single" w:sz="4" w:space="0" w:color="auto"/>
                    <w:right w:val="single" w:sz="4" w:space="0" w:color="auto"/>
                  </w:tcBorders>
                  <w:shd w:val="clear" w:color="auto" w:fill="E7E6E6" w:themeFill="background2"/>
                  <w:noWrap/>
                </w:tcPr>
                <w:p w14:paraId="4108B9D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NME</w:t>
                  </w:r>
                </w:p>
              </w:tc>
              <w:tc>
                <w:tcPr>
                  <w:tcW w:w="733" w:type="pct"/>
                  <w:tcBorders>
                    <w:top w:val="nil"/>
                    <w:left w:val="single" w:sz="4" w:space="0" w:color="auto"/>
                    <w:bottom w:val="single" w:sz="4" w:space="0" w:color="auto"/>
                  </w:tcBorders>
                  <w:shd w:val="clear" w:color="auto" w:fill="E7E6E6" w:themeFill="background2"/>
                  <w:noWrap/>
                </w:tcPr>
                <w:p w14:paraId="06CE738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58.24</w:t>
                  </w:r>
                </w:p>
              </w:tc>
              <w:tc>
                <w:tcPr>
                  <w:tcW w:w="1369" w:type="pct"/>
                  <w:tcBorders>
                    <w:top w:val="nil"/>
                    <w:bottom w:val="single" w:sz="4" w:space="0" w:color="auto"/>
                  </w:tcBorders>
                  <w:shd w:val="clear" w:color="auto" w:fill="E7E6E6" w:themeFill="background2"/>
                  <w:noWrap/>
                </w:tcPr>
                <w:p w14:paraId="3932D6A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56.56</w:t>
                  </w:r>
                </w:p>
              </w:tc>
              <w:tc>
                <w:tcPr>
                  <w:tcW w:w="825" w:type="pct"/>
                  <w:gridSpan w:val="2"/>
                  <w:tcBorders>
                    <w:top w:val="nil"/>
                    <w:bottom w:val="single" w:sz="4" w:space="0" w:color="auto"/>
                  </w:tcBorders>
                  <w:shd w:val="clear" w:color="auto" w:fill="E7E6E6" w:themeFill="background2"/>
                  <w:noWrap/>
                </w:tcPr>
                <w:p w14:paraId="6E6107D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55.91</w:t>
                  </w:r>
                </w:p>
              </w:tc>
              <w:tc>
                <w:tcPr>
                  <w:tcW w:w="1096" w:type="pct"/>
                  <w:tcBorders>
                    <w:top w:val="nil"/>
                    <w:bottom w:val="single" w:sz="4" w:space="0" w:color="auto"/>
                  </w:tcBorders>
                  <w:shd w:val="clear" w:color="auto" w:fill="E7E6E6" w:themeFill="background2"/>
                  <w:noWrap/>
                </w:tcPr>
                <w:p w14:paraId="1B7616FA"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53.54</w:t>
                  </w:r>
                </w:p>
              </w:tc>
            </w:tr>
            <w:tr w:rsidR="00FB0A6A" w:rsidRPr="00983057" w14:paraId="486C5706" w14:textId="77777777" w:rsidTr="00983057">
              <w:trPr>
                <w:trHeight w:val="309"/>
              </w:trPr>
              <w:tc>
                <w:tcPr>
                  <w:tcW w:w="514" w:type="pct"/>
                  <w:vMerge w:val="restart"/>
                  <w:tcBorders>
                    <w:top w:val="single" w:sz="4" w:space="0" w:color="auto"/>
                    <w:bottom w:val="nil"/>
                    <w:right w:val="single" w:sz="4" w:space="0" w:color="auto"/>
                  </w:tcBorders>
                  <w:shd w:val="clear" w:color="auto" w:fill="auto"/>
                  <w:noWrap/>
                  <w:hideMark/>
                </w:tcPr>
                <w:p w14:paraId="1699BC4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lastRenderedPageBreak/>
                    <w:t>JJA</w:t>
                  </w:r>
                </w:p>
              </w:tc>
              <w:tc>
                <w:tcPr>
                  <w:tcW w:w="463" w:type="pct"/>
                  <w:tcBorders>
                    <w:top w:val="single" w:sz="4" w:space="0" w:color="auto"/>
                    <w:left w:val="single" w:sz="4" w:space="0" w:color="auto"/>
                    <w:bottom w:val="nil"/>
                    <w:right w:val="single" w:sz="4" w:space="0" w:color="auto"/>
                  </w:tcBorders>
                  <w:shd w:val="clear" w:color="auto" w:fill="auto"/>
                  <w:noWrap/>
                  <w:hideMark/>
                </w:tcPr>
                <w:p w14:paraId="22D79BAC"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R</w:t>
                  </w:r>
                </w:p>
              </w:tc>
              <w:tc>
                <w:tcPr>
                  <w:tcW w:w="733" w:type="pct"/>
                  <w:tcBorders>
                    <w:top w:val="single" w:sz="4" w:space="0" w:color="auto"/>
                    <w:left w:val="single" w:sz="4" w:space="0" w:color="auto"/>
                    <w:bottom w:val="nil"/>
                  </w:tcBorders>
                  <w:shd w:val="clear" w:color="auto" w:fill="auto"/>
                  <w:noWrap/>
                  <w:hideMark/>
                </w:tcPr>
                <w:p w14:paraId="447BE6B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0.77</w:t>
                  </w:r>
                </w:p>
              </w:tc>
              <w:tc>
                <w:tcPr>
                  <w:tcW w:w="1369" w:type="pct"/>
                  <w:tcBorders>
                    <w:top w:val="single" w:sz="4" w:space="0" w:color="auto"/>
                    <w:bottom w:val="nil"/>
                  </w:tcBorders>
                  <w:shd w:val="clear" w:color="auto" w:fill="auto"/>
                  <w:noWrap/>
                  <w:hideMark/>
                </w:tcPr>
                <w:p w14:paraId="604E83B2"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0.78</w:t>
                  </w:r>
                </w:p>
              </w:tc>
              <w:tc>
                <w:tcPr>
                  <w:tcW w:w="825" w:type="pct"/>
                  <w:gridSpan w:val="2"/>
                  <w:tcBorders>
                    <w:top w:val="single" w:sz="4" w:space="0" w:color="auto"/>
                    <w:bottom w:val="nil"/>
                  </w:tcBorders>
                  <w:shd w:val="clear" w:color="auto" w:fill="auto"/>
                  <w:noWrap/>
                  <w:hideMark/>
                </w:tcPr>
                <w:p w14:paraId="3F1F2A9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0.77</w:t>
                  </w:r>
                </w:p>
              </w:tc>
              <w:tc>
                <w:tcPr>
                  <w:tcW w:w="1096" w:type="pct"/>
                  <w:tcBorders>
                    <w:top w:val="single" w:sz="4" w:space="0" w:color="auto"/>
                    <w:bottom w:val="nil"/>
                  </w:tcBorders>
                  <w:shd w:val="clear" w:color="auto" w:fill="auto"/>
                  <w:noWrap/>
                  <w:hideMark/>
                </w:tcPr>
                <w:p w14:paraId="29B2B8E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0.77</w:t>
                  </w:r>
                </w:p>
              </w:tc>
            </w:tr>
            <w:tr w:rsidR="00FB0A6A" w:rsidRPr="00983057" w14:paraId="052E9E62" w14:textId="77777777" w:rsidTr="00983057">
              <w:trPr>
                <w:trHeight w:val="309"/>
              </w:trPr>
              <w:tc>
                <w:tcPr>
                  <w:tcW w:w="514" w:type="pct"/>
                  <w:vMerge/>
                  <w:tcBorders>
                    <w:top w:val="nil"/>
                    <w:bottom w:val="nil"/>
                    <w:right w:val="single" w:sz="4" w:space="0" w:color="auto"/>
                  </w:tcBorders>
                  <w:shd w:val="clear" w:color="auto" w:fill="auto"/>
                  <w:noWrap/>
                  <w:hideMark/>
                </w:tcPr>
                <w:p w14:paraId="7F536A9A"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p>
              </w:tc>
              <w:tc>
                <w:tcPr>
                  <w:tcW w:w="463" w:type="pct"/>
                  <w:tcBorders>
                    <w:top w:val="nil"/>
                    <w:left w:val="single" w:sz="4" w:space="0" w:color="auto"/>
                    <w:bottom w:val="nil"/>
                    <w:right w:val="single" w:sz="4" w:space="0" w:color="auto"/>
                  </w:tcBorders>
                  <w:shd w:val="clear" w:color="auto" w:fill="auto"/>
                  <w:noWrap/>
                  <w:hideMark/>
                </w:tcPr>
                <w:p w14:paraId="3E2D859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NMB</w:t>
                  </w:r>
                </w:p>
              </w:tc>
              <w:tc>
                <w:tcPr>
                  <w:tcW w:w="733" w:type="pct"/>
                  <w:tcBorders>
                    <w:top w:val="nil"/>
                    <w:left w:val="single" w:sz="4" w:space="0" w:color="auto"/>
                    <w:bottom w:val="nil"/>
                  </w:tcBorders>
                  <w:shd w:val="clear" w:color="auto" w:fill="auto"/>
                  <w:noWrap/>
                  <w:hideMark/>
                </w:tcPr>
                <w:p w14:paraId="736ABE34"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-29.45</w:t>
                  </w:r>
                </w:p>
              </w:tc>
              <w:tc>
                <w:tcPr>
                  <w:tcW w:w="1369" w:type="pct"/>
                  <w:tcBorders>
                    <w:top w:val="nil"/>
                    <w:bottom w:val="nil"/>
                  </w:tcBorders>
                  <w:shd w:val="clear" w:color="auto" w:fill="auto"/>
                  <w:noWrap/>
                  <w:hideMark/>
                </w:tcPr>
                <w:p w14:paraId="610FD49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-19.71</w:t>
                  </w:r>
                </w:p>
              </w:tc>
              <w:tc>
                <w:tcPr>
                  <w:tcW w:w="825" w:type="pct"/>
                  <w:gridSpan w:val="2"/>
                  <w:tcBorders>
                    <w:top w:val="nil"/>
                    <w:bottom w:val="nil"/>
                  </w:tcBorders>
                  <w:shd w:val="clear" w:color="auto" w:fill="auto"/>
                  <w:noWrap/>
                  <w:hideMark/>
                </w:tcPr>
                <w:p w14:paraId="375C717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-9.20</w:t>
                  </w:r>
                </w:p>
              </w:tc>
              <w:tc>
                <w:tcPr>
                  <w:tcW w:w="1096" w:type="pct"/>
                  <w:tcBorders>
                    <w:top w:val="nil"/>
                    <w:bottom w:val="nil"/>
                  </w:tcBorders>
                  <w:shd w:val="clear" w:color="auto" w:fill="auto"/>
                  <w:noWrap/>
                  <w:hideMark/>
                </w:tcPr>
                <w:p w14:paraId="7079A151"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0.21</w:t>
                  </w:r>
                </w:p>
              </w:tc>
            </w:tr>
            <w:tr w:rsidR="00FB0A6A" w:rsidRPr="00983057" w14:paraId="73138613" w14:textId="77777777" w:rsidTr="00983057">
              <w:trPr>
                <w:trHeight w:val="309"/>
              </w:trPr>
              <w:tc>
                <w:tcPr>
                  <w:tcW w:w="514" w:type="pct"/>
                  <w:vMerge/>
                  <w:tcBorders>
                    <w:top w:val="nil"/>
                    <w:bottom w:val="single" w:sz="4" w:space="0" w:color="auto"/>
                    <w:right w:val="single" w:sz="4" w:space="0" w:color="auto"/>
                  </w:tcBorders>
                  <w:shd w:val="clear" w:color="auto" w:fill="auto"/>
                  <w:noWrap/>
                </w:tcPr>
                <w:p w14:paraId="687ED61D" w14:textId="77777777" w:rsidR="00FB0A6A" w:rsidRPr="00983057" w:rsidRDefault="00FB0A6A" w:rsidP="00983057">
                  <w:pPr>
                    <w:spacing w:after="0" w:line="240" w:lineRule="auto"/>
                    <w:jc w:val="center"/>
                    <w:rPr>
                      <w:rFonts w:ascii="Times New Roman" w:eastAsia="맑은 고딕" w:hAnsi="Times New Roman" w:cs="Times New Roman"/>
                      <w:color w:val="0000FF"/>
                      <w:sz w:val="14"/>
                      <w:szCs w:val="14"/>
                    </w:rPr>
                  </w:pPr>
                </w:p>
              </w:tc>
              <w:tc>
                <w:tcPr>
                  <w:tcW w:w="463" w:type="pct"/>
                  <w:tcBorders>
                    <w:top w:val="nil"/>
                    <w:left w:val="single" w:sz="4" w:space="0" w:color="auto"/>
                    <w:bottom w:val="single" w:sz="4" w:space="0" w:color="auto"/>
                    <w:right w:val="single" w:sz="4" w:space="0" w:color="auto"/>
                  </w:tcBorders>
                  <w:shd w:val="clear" w:color="auto" w:fill="E7E6E6" w:themeFill="background2"/>
                  <w:noWrap/>
                </w:tcPr>
                <w:p w14:paraId="64E8FF6F"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NME</w:t>
                  </w:r>
                </w:p>
              </w:tc>
              <w:tc>
                <w:tcPr>
                  <w:tcW w:w="733" w:type="pct"/>
                  <w:tcBorders>
                    <w:top w:val="nil"/>
                    <w:left w:val="single" w:sz="4" w:space="0" w:color="auto"/>
                    <w:bottom w:val="single" w:sz="4" w:space="0" w:color="auto"/>
                  </w:tcBorders>
                  <w:shd w:val="clear" w:color="auto" w:fill="E7E6E6" w:themeFill="background2"/>
                  <w:noWrap/>
                </w:tcPr>
                <w:p w14:paraId="599C2A8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54.52</w:t>
                  </w:r>
                </w:p>
              </w:tc>
              <w:tc>
                <w:tcPr>
                  <w:tcW w:w="1369" w:type="pct"/>
                  <w:tcBorders>
                    <w:top w:val="nil"/>
                    <w:bottom w:val="single" w:sz="4" w:space="0" w:color="auto"/>
                  </w:tcBorders>
                  <w:shd w:val="clear" w:color="auto" w:fill="E7E6E6" w:themeFill="background2"/>
                  <w:noWrap/>
                </w:tcPr>
                <w:p w14:paraId="57194C4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51.20</w:t>
                  </w:r>
                </w:p>
              </w:tc>
              <w:tc>
                <w:tcPr>
                  <w:tcW w:w="825" w:type="pct"/>
                  <w:gridSpan w:val="2"/>
                  <w:tcBorders>
                    <w:top w:val="nil"/>
                    <w:bottom w:val="single" w:sz="4" w:space="0" w:color="auto"/>
                  </w:tcBorders>
                  <w:shd w:val="clear" w:color="auto" w:fill="E7E6E6" w:themeFill="background2"/>
                  <w:noWrap/>
                </w:tcPr>
                <w:p w14:paraId="008FE63C"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49.07</w:t>
                  </w:r>
                </w:p>
              </w:tc>
              <w:tc>
                <w:tcPr>
                  <w:tcW w:w="1096" w:type="pct"/>
                  <w:tcBorders>
                    <w:top w:val="nil"/>
                    <w:bottom w:val="single" w:sz="4" w:space="0" w:color="auto"/>
                  </w:tcBorders>
                  <w:shd w:val="clear" w:color="auto" w:fill="E7E6E6" w:themeFill="background2"/>
                  <w:noWrap/>
                </w:tcPr>
                <w:p w14:paraId="2B80463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48.03</w:t>
                  </w:r>
                </w:p>
              </w:tc>
            </w:tr>
            <w:tr w:rsidR="00FB0A6A" w:rsidRPr="00983057" w14:paraId="434F73CF" w14:textId="77777777" w:rsidTr="00983057">
              <w:trPr>
                <w:trHeight w:val="309"/>
              </w:trPr>
              <w:tc>
                <w:tcPr>
                  <w:tcW w:w="514" w:type="pct"/>
                  <w:vMerge w:val="restart"/>
                  <w:tcBorders>
                    <w:top w:val="single" w:sz="4" w:space="0" w:color="auto"/>
                    <w:bottom w:val="nil"/>
                    <w:right w:val="single" w:sz="4" w:space="0" w:color="auto"/>
                  </w:tcBorders>
                  <w:shd w:val="clear" w:color="auto" w:fill="auto"/>
                  <w:noWrap/>
                  <w:hideMark/>
                </w:tcPr>
                <w:p w14:paraId="4F0B6C2B"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SON</w:t>
                  </w:r>
                </w:p>
              </w:tc>
              <w:tc>
                <w:tcPr>
                  <w:tcW w:w="463" w:type="pct"/>
                  <w:tcBorders>
                    <w:top w:val="single" w:sz="4" w:space="0" w:color="auto"/>
                    <w:left w:val="single" w:sz="4" w:space="0" w:color="auto"/>
                    <w:bottom w:val="nil"/>
                    <w:right w:val="single" w:sz="4" w:space="0" w:color="auto"/>
                  </w:tcBorders>
                  <w:shd w:val="clear" w:color="auto" w:fill="auto"/>
                  <w:noWrap/>
                  <w:hideMark/>
                </w:tcPr>
                <w:p w14:paraId="04418704"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R</w:t>
                  </w:r>
                </w:p>
              </w:tc>
              <w:tc>
                <w:tcPr>
                  <w:tcW w:w="733" w:type="pct"/>
                  <w:tcBorders>
                    <w:top w:val="single" w:sz="4" w:space="0" w:color="auto"/>
                    <w:left w:val="single" w:sz="4" w:space="0" w:color="auto"/>
                    <w:bottom w:val="nil"/>
                  </w:tcBorders>
                  <w:shd w:val="clear" w:color="auto" w:fill="auto"/>
                  <w:noWrap/>
                  <w:hideMark/>
                </w:tcPr>
                <w:p w14:paraId="60E54C5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0.57</w:t>
                  </w:r>
                </w:p>
              </w:tc>
              <w:tc>
                <w:tcPr>
                  <w:tcW w:w="1369" w:type="pct"/>
                  <w:tcBorders>
                    <w:top w:val="single" w:sz="4" w:space="0" w:color="auto"/>
                    <w:bottom w:val="nil"/>
                  </w:tcBorders>
                  <w:shd w:val="clear" w:color="auto" w:fill="auto"/>
                  <w:noWrap/>
                  <w:hideMark/>
                </w:tcPr>
                <w:p w14:paraId="57AD8B2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0.57</w:t>
                  </w:r>
                </w:p>
              </w:tc>
              <w:tc>
                <w:tcPr>
                  <w:tcW w:w="825" w:type="pct"/>
                  <w:gridSpan w:val="2"/>
                  <w:tcBorders>
                    <w:top w:val="single" w:sz="4" w:space="0" w:color="auto"/>
                    <w:bottom w:val="nil"/>
                  </w:tcBorders>
                  <w:shd w:val="clear" w:color="auto" w:fill="auto"/>
                  <w:noWrap/>
                  <w:hideMark/>
                </w:tcPr>
                <w:p w14:paraId="37C12FB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0.62</w:t>
                  </w:r>
                </w:p>
              </w:tc>
              <w:tc>
                <w:tcPr>
                  <w:tcW w:w="1096" w:type="pct"/>
                  <w:tcBorders>
                    <w:top w:val="single" w:sz="4" w:space="0" w:color="auto"/>
                    <w:bottom w:val="nil"/>
                  </w:tcBorders>
                  <w:shd w:val="clear" w:color="auto" w:fill="auto"/>
                  <w:noWrap/>
                  <w:hideMark/>
                </w:tcPr>
                <w:p w14:paraId="094F53D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0.62</w:t>
                  </w:r>
                </w:p>
              </w:tc>
            </w:tr>
            <w:tr w:rsidR="00FB0A6A" w:rsidRPr="00983057" w14:paraId="6DFD5692" w14:textId="77777777" w:rsidTr="00983057">
              <w:trPr>
                <w:trHeight w:val="309"/>
              </w:trPr>
              <w:tc>
                <w:tcPr>
                  <w:tcW w:w="514" w:type="pct"/>
                  <w:vMerge/>
                  <w:tcBorders>
                    <w:top w:val="nil"/>
                    <w:bottom w:val="nil"/>
                    <w:right w:val="single" w:sz="4" w:space="0" w:color="auto"/>
                  </w:tcBorders>
                  <w:shd w:val="clear" w:color="auto" w:fill="auto"/>
                  <w:noWrap/>
                  <w:hideMark/>
                </w:tcPr>
                <w:p w14:paraId="5A1AA1D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p>
              </w:tc>
              <w:tc>
                <w:tcPr>
                  <w:tcW w:w="463" w:type="pct"/>
                  <w:tcBorders>
                    <w:top w:val="nil"/>
                    <w:left w:val="single" w:sz="4" w:space="0" w:color="auto"/>
                    <w:bottom w:val="nil"/>
                    <w:right w:val="single" w:sz="4" w:space="0" w:color="auto"/>
                  </w:tcBorders>
                  <w:shd w:val="clear" w:color="auto" w:fill="auto"/>
                  <w:noWrap/>
                  <w:hideMark/>
                </w:tcPr>
                <w:p w14:paraId="4ABFA68C"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NMB</w:t>
                  </w:r>
                </w:p>
              </w:tc>
              <w:tc>
                <w:tcPr>
                  <w:tcW w:w="733" w:type="pct"/>
                  <w:tcBorders>
                    <w:top w:val="nil"/>
                    <w:left w:val="single" w:sz="4" w:space="0" w:color="auto"/>
                    <w:bottom w:val="nil"/>
                  </w:tcBorders>
                  <w:shd w:val="clear" w:color="auto" w:fill="auto"/>
                  <w:noWrap/>
                  <w:hideMark/>
                </w:tcPr>
                <w:p w14:paraId="356522D9"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-51.13</w:t>
                  </w:r>
                </w:p>
              </w:tc>
              <w:tc>
                <w:tcPr>
                  <w:tcW w:w="1369" w:type="pct"/>
                  <w:tcBorders>
                    <w:top w:val="nil"/>
                    <w:bottom w:val="nil"/>
                  </w:tcBorders>
                  <w:shd w:val="clear" w:color="auto" w:fill="auto"/>
                  <w:noWrap/>
                  <w:hideMark/>
                </w:tcPr>
                <w:p w14:paraId="03F6BE72"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-47.09</w:t>
                  </w:r>
                </w:p>
              </w:tc>
              <w:tc>
                <w:tcPr>
                  <w:tcW w:w="825" w:type="pct"/>
                  <w:gridSpan w:val="2"/>
                  <w:tcBorders>
                    <w:top w:val="nil"/>
                    <w:bottom w:val="nil"/>
                  </w:tcBorders>
                  <w:shd w:val="clear" w:color="auto" w:fill="auto"/>
                  <w:noWrap/>
                  <w:hideMark/>
                </w:tcPr>
                <w:p w14:paraId="2BF4C63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-38.03</w:t>
                  </w:r>
                </w:p>
              </w:tc>
              <w:tc>
                <w:tcPr>
                  <w:tcW w:w="1096" w:type="pct"/>
                  <w:tcBorders>
                    <w:top w:val="nil"/>
                    <w:bottom w:val="nil"/>
                  </w:tcBorders>
                  <w:shd w:val="clear" w:color="auto" w:fill="auto"/>
                  <w:noWrap/>
                  <w:hideMark/>
                </w:tcPr>
                <w:p w14:paraId="6864618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-39.70</w:t>
                  </w:r>
                </w:p>
              </w:tc>
            </w:tr>
            <w:tr w:rsidR="00FB0A6A" w:rsidRPr="00983057" w14:paraId="12B212EF" w14:textId="77777777" w:rsidTr="00983057">
              <w:trPr>
                <w:trHeight w:val="309"/>
              </w:trPr>
              <w:tc>
                <w:tcPr>
                  <w:tcW w:w="514" w:type="pct"/>
                  <w:vMerge/>
                  <w:tcBorders>
                    <w:top w:val="nil"/>
                    <w:bottom w:val="single" w:sz="4" w:space="0" w:color="auto"/>
                    <w:right w:val="single" w:sz="4" w:space="0" w:color="auto"/>
                  </w:tcBorders>
                  <w:shd w:val="clear" w:color="auto" w:fill="auto"/>
                  <w:noWrap/>
                </w:tcPr>
                <w:p w14:paraId="2AEF0E89" w14:textId="77777777" w:rsidR="00FB0A6A" w:rsidRPr="00983057" w:rsidRDefault="00FB0A6A" w:rsidP="00983057">
                  <w:pPr>
                    <w:spacing w:after="0" w:line="240" w:lineRule="auto"/>
                    <w:jc w:val="center"/>
                    <w:rPr>
                      <w:rFonts w:ascii="Times New Roman" w:eastAsia="맑은 고딕" w:hAnsi="Times New Roman" w:cs="Times New Roman"/>
                      <w:color w:val="0000FF"/>
                      <w:sz w:val="14"/>
                      <w:szCs w:val="14"/>
                    </w:rPr>
                  </w:pPr>
                </w:p>
              </w:tc>
              <w:tc>
                <w:tcPr>
                  <w:tcW w:w="463" w:type="pct"/>
                  <w:tcBorders>
                    <w:top w:val="nil"/>
                    <w:left w:val="single" w:sz="4" w:space="0" w:color="auto"/>
                    <w:bottom w:val="single" w:sz="4" w:space="0" w:color="auto"/>
                    <w:right w:val="single" w:sz="4" w:space="0" w:color="auto"/>
                  </w:tcBorders>
                  <w:shd w:val="clear" w:color="auto" w:fill="E7E6E6" w:themeFill="background2"/>
                  <w:noWrap/>
                </w:tcPr>
                <w:p w14:paraId="300D5C09"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NME</w:t>
                  </w:r>
                </w:p>
              </w:tc>
              <w:tc>
                <w:tcPr>
                  <w:tcW w:w="733" w:type="pct"/>
                  <w:tcBorders>
                    <w:top w:val="nil"/>
                    <w:left w:val="single" w:sz="4" w:space="0" w:color="auto"/>
                    <w:bottom w:val="single" w:sz="4" w:space="0" w:color="auto"/>
                  </w:tcBorders>
                  <w:shd w:val="clear" w:color="auto" w:fill="E7E6E6" w:themeFill="background2"/>
                  <w:noWrap/>
                </w:tcPr>
                <w:p w14:paraId="0B909CF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56.05</w:t>
                  </w:r>
                </w:p>
              </w:tc>
              <w:tc>
                <w:tcPr>
                  <w:tcW w:w="1369" w:type="pct"/>
                  <w:tcBorders>
                    <w:top w:val="nil"/>
                    <w:bottom w:val="single" w:sz="4" w:space="0" w:color="auto"/>
                  </w:tcBorders>
                  <w:shd w:val="clear" w:color="auto" w:fill="E7E6E6" w:themeFill="background2"/>
                  <w:noWrap/>
                </w:tcPr>
                <w:p w14:paraId="45E16A9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55.67</w:t>
                  </w:r>
                </w:p>
              </w:tc>
              <w:tc>
                <w:tcPr>
                  <w:tcW w:w="825" w:type="pct"/>
                  <w:gridSpan w:val="2"/>
                  <w:tcBorders>
                    <w:top w:val="nil"/>
                    <w:bottom w:val="single" w:sz="4" w:space="0" w:color="auto"/>
                  </w:tcBorders>
                  <w:shd w:val="clear" w:color="auto" w:fill="E7E6E6" w:themeFill="background2"/>
                  <w:noWrap/>
                </w:tcPr>
                <w:p w14:paraId="73C3270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54.30</w:t>
                  </w:r>
                </w:p>
              </w:tc>
              <w:tc>
                <w:tcPr>
                  <w:tcW w:w="1096" w:type="pct"/>
                  <w:tcBorders>
                    <w:top w:val="nil"/>
                    <w:bottom w:val="single" w:sz="4" w:space="0" w:color="auto"/>
                  </w:tcBorders>
                  <w:shd w:val="clear" w:color="auto" w:fill="E7E6E6" w:themeFill="background2"/>
                  <w:noWrap/>
                </w:tcPr>
                <w:p w14:paraId="20BD214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55.09</w:t>
                  </w:r>
                </w:p>
              </w:tc>
            </w:tr>
            <w:tr w:rsidR="00FB0A6A" w:rsidRPr="00983057" w14:paraId="5AF3C702" w14:textId="77777777" w:rsidTr="00983057">
              <w:trPr>
                <w:trHeight w:val="309"/>
              </w:trPr>
              <w:tc>
                <w:tcPr>
                  <w:tcW w:w="514" w:type="pct"/>
                  <w:vMerge w:val="restart"/>
                  <w:tcBorders>
                    <w:top w:val="single" w:sz="4" w:space="0" w:color="auto"/>
                    <w:bottom w:val="nil"/>
                    <w:right w:val="single" w:sz="4" w:space="0" w:color="auto"/>
                  </w:tcBorders>
                  <w:shd w:val="clear" w:color="auto" w:fill="auto"/>
                  <w:noWrap/>
                  <w:hideMark/>
                </w:tcPr>
                <w:p w14:paraId="548D1D82"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DJF</w:t>
                  </w:r>
                </w:p>
              </w:tc>
              <w:tc>
                <w:tcPr>
                  <w:tcW w:w="463" w:type="pct"/>
                  <w:tcBorders>
                    <w:top w:val="single" w:sz="4" w:space="0" w:color="auto"/>
                    <w:left w:val="single" w:sz="4" w:space="0" w:color="auto"/>
                    <w:bottom w:val="nil"/>
                    <w:right w:val="single" w:sz="4" w:space="0" w:color="auto"/>
                  </w:tcBorders>
                  <w:shd w:val="clear" w:color="auto" w:fill="auto"/>
                  <w:noWrap/>
                  <w:hideMark/>
                </w:tcPr>
                <w:p w14:paraId="44B1F764"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R</w:t>
                  </w:r>
                </w:p>
              </w:tc>
              <w:tc>
                <w:tcPr>
                  <w:tcW w:w="733" w:type="pct"/>
                  <w:tcBorders>
                    <w:top w:val="single" w:sz="4" w:space="0" w:color="auto"/>
                    <w:left w:val="single" w:sz="4" w:space="0" w:color="auto"/>
                    <w:bottom w:val="nil"/>
                  </w:tcBorders>
                  <w:shd w:val="clear" w:color="auto" w:fill="auto"/>
                  <w:noWrap/>
                  <w:hideMark/>
                </w:tcPr>
                <w:p w14:paraId="7A6C9822"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0.55</w:t>
                  </w:r>
                </w:p>
              </w:tc>
              <w:tc>
                <w:tcPr>
                  <w:tcW w:w="1369" w:type="pct"/>
                  <w:tcBorders>
                    <w:top w:val="single" w:sz="4" w:space="0" w:color="auto"/>
                    <w:bottom w:val="nil"/>
                  </w:tcBorders>
                  <w:shd w:val="clear" w:color="auto" w:fill="auto"/>
                  <w:noWrap/>
                  <w:hideMark/>
                </w:tcPr>
                <w:p w14:paraId="33154444"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0.48</w:t>
                  </w:r>
                </w:p>
              </w:tc>
              <w:tc>
                <w:tcPr>
                  <w:tcW w:w="825" w:type="pct"/>
                  <w:gridSpan w:val="2"/>
                  <w:tcBorders>
                    <w:top w:val="single" w:sz="4" w:space="0" w:color="auto"/>
                    <w:bottom w:val="nil"/>
                  </w:tcBorders>
                  <w:shd w:val="clear" w:color="auto" w:fill="auto"/>
                  <w:noWrap/>
                  <w:hideMark/>
                </w:tcPr>
                <w:p w14:paraId="51E8BE8B"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0.57</w:t>
                  </w:r>
                </w:p>
              </w:tc>
              <w:tc>
                <w:tcPr>
                  <w:tcW w:w="1096" w:type="pct"/>
                  <w:tcBorders>
                    <w:top w:val="single" w:sz="4" w:space="0" w:color="auto"/>
                    <w:bottom w:val="nil"/>
                  </w:tcBorders>
                  <w:shd w:val="clear" w:color="auto" w:fill="auto"/>
                  <w:noWrap/>
                  <w:hideMark/>
                </w:tcPr>
                <w:p w14:paraId="68E2AC2A"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0.57</w:t>
                  </w:r>
                </w:p>
              </w:tc>
            </w:tr>
            <w:tr w:rsidR="00FB0A6A" w:rsidRPr="00983057" w14:paraId="57655070" w14:textId="77777777" w:rsidTr="00983057">
              <w:trPr>
                <w:trHeight w:val="309"/>
              </w:trPr>
              <w:tc>
                <w:tcPr>
                  <w:tcW w:w="514" w:type="pct"/>
                  <w:vMerge/>
                  <w:tcBorders>
                    <w:top w:val="nil"/>
                    <w:bottom w:val="nil"/>
                    <w:right w:val="single" w:sz="4" w:space="0" w:color="auto"/>
                  </w:tcBorders>
                  <w:shd w:val="clear" w:color="auto" w:fill="auto"/>
                  <w:noWrap/>
                  <w:hideMark/>
                </w:tcPr>
                <w:p w14:paraId="55268C5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p>
              </w:tc>
              <w:tc>
                <w:tcPr>
                  <w:tcW w:w="463" w:type="pct"/>
                  <w:tcBorders>
                    <w:top w:val="nil"/>
                    <w:left w:val="single" w:sz="4" w:space="0" w:color="auto"/>
                    <w:bottom w:val="nil"/>
                    <w:right w:val="single" w:sz="4" w:space="0" w:color="auto"/>
                  </w:tcBorders>
                  <w:shd w:val="clear" w:color="auto" w:fill="auto"/>
                  <w:noWrap/>
                  <w:hideMark/>
                </w:tcPr>
                <w:p w14:paraId="42E1CB2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NMB</w:t>
                  </w:r>
                </w:p>
              </w:tc>
              <w:tc>
                <w:tcPr>
                  <w:tcW w:w="733" w:type="pct"/>
                  <w:tcBorders>
                    <w:top w:val="nil"/>
                    <w:left w:val="single" w:sz="4" w:space="0" w:color="auto"/>
                    <w:bottom w:val="nil"/>
                  </w:tcBorders>
                  <w:shd w:val="clear" w:color="auto" w:fill="auto"/>
                  <w:noWrap/>
                  <w:hideMark/>
                </w:tcPr>
                <w:p w14:paraId="6B3C6FB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-43.23</w:t>
                  </w:r>
                </w:p>
              </w:tc>
              <w:tc>
                <w:tcPr>
                  <w:tcW w:w="1369" w:type="pct"/>
                  <w:tcBorders>
                    <w:top w:val="nil"/>
                    <w:bottom w:val="nil"/>
                  </w:tcBorders>
                  <w:shd w:val="clear" w:color="auto" w:fill="auto"/>
                  <w:noWrap/>
                  <w:hideMark/>
                </w:tcPr>
                <w:p w14:paraId="089593D3"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-41.77</w:t>
                  </w:r>
                </w:p>
              </w:tc>
              <w:tc>
                <w:tcPr>
                  <w:tcW w:w="825" w:type="pct"/>
                  <w:gridSpan w:val="2"/>
                  <w:tcBorders>
                    <w:top w:val="nil"/>
                    <w:bottom w:val="nil"/>
                  </w:tcBorders>
                  <w:shd w:val="clear" w:color="auto" w:fill="auto"/>
                  <w:noWrap/>
                  <w:hideMark/>
                </w:tcPr>
                <w:p w14:paraId="6D54B3E1"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-28.65</w:t>
                  </w:r>
                </w:p>
              </w:tc>
              <w:tc>
                <w:tcPr>
                  <w:tcW w:w="1096" w:type="pct"/>
                  <w:tcBorders>
                    <w:top w:val="nil"/>
                    <w:bottom w:val="nil"/>
                  </w:tcBorders>
                  <w:shd w:val="clear" w:color="auto" w:fill="auto"/>
                  <w:noWrap/>
                  <w:hideMark/>
                </w:tcPr>
                <w:p w14:paraId="6585C1B6"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-23.36</w:t>
                  </w:r>
                </w:p>
              </w:tc>
            </w:tr>
            <w:tr w:rsidR="00FB0A6A" w:rsidRPr="00983057" w14:paraId="36797F84" w14:textId="77777777" w:rsidTr="00983057">
              <w:trPr>
                <w:trHeight w:val="309"/>
              </w:trPr>
              <w:tc>
                <w:tcPr>
                  <w:tcW w:w="514" w:type="pct"/>
                  <w:vMerge/>
                  <w:tcBorders>
                    <w:top w:val="nil"/>
                    <w:bottom w:val="single" w:sz="4" w:space="0" w:color="auto"/>
                    <w:right w:val="single" w:sz="4" w:space="0" w:color="auto"/>
                  </w:tcBorders>
                  <w:shd w:val="clear" w:color="auto" w:fill="auto"/>
                  <w:noWrap/>
                </w:tcPr>
                <w:p w14:paraId="64CBB30D" w14:textId="77777777" w:rsidR="00FB0A6A" w:rsidRPr="00983057" w:rsidRDefault="00FB0A6A" w:rsidP="00983057">
                  <w:pPr>
                    <w:spacing w:after="0" w:line="240" w:lineRule="auto"/>
                    <w:jc w:val="center"/>
                    <w:rPr>
                      <w:rFonts w:ascii="Times New Roman" w:eastAsia="맑은 고딕" w:hAnsi="Times New Roman" w:cs="Times New Roman"/>
                      <w:color w:val="0000FF"/>
                      <w:sz w:val="14"/>
                      <w:szCs w:val="14"/>
                    </w:rPr>
                  </w:pPr>
                </w:p>
              </w:tc>
              <w:tc>
                <w:tcPr>
                  <w:tcW w:w="463" w:type="pct"/>
                  <w:tcBorders>
                    <w:top w:val="nil"/>
                    <w:left w:val="single" w:sz="4" w:space="0" w:color="auto"/>
                    <w:bottom w:val="single" w:sz="4" w:space="0" w:color="auto"/>
                    <w:right w:val="single" w:sz="4" w:space="0" w:color="auto"/>
                  </w:tcBorders>
                  <w:shd w:val="clear" w:color="auto" w:fill="E7E6E6" w:themeFill="background2"/>
                  <w:noWrap/>
                </w:tcPr>
                <w:p w14:paraId="75A0D5C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NME</w:t>
                  </w:r>
                </w:p>
              </w:tc>
              <w:tc>
                <w:tcPr>
                  <w:tcW w:w="733" w:type="pct"/>
                  <w:tcBorders>
                    <w:top w:val="nil"/>
                    <w:left w:val="single" w:sz="4" w:space="0" w:color="auto"/>
                    <w:bottom w:val="single" w:sz="4" w:space="0" w:color="auto"/>
                  </w:tcBorders>
                  <w:shd w:val="clear" w:color="auto" w:fill="E7E6E6" w:themeFill="background2"/>
                  <w:noWrap/>
                </w:tcPr>
                <w:p w14:paraId="3637491B"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68.26</w:t>
                  </w:r>
                </w:p>
              </w:tc>
              <w:tc>
                <w:tcPr>
                  <w:tcW w:w="1369" w:type="pct"/>
                  <w:tcBorders>
                    <w:top w:val="nil"/>
                    <w:bottom w:val="single" w:sz="4" w:space="0" w:color="auto"/>
                  </w:tcBorders>
                  <w:shd w:val="clear" w:color="auto" w:fill="E7E6E6" w:themeFill="background2"/>
                  <w:noWrap/>
                </w:tcPr>
                <w:p w14:paraId="01FC61A9"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67.94</w:t>
                  </w:r>
                </w:p>
              </w:tc>
              <w:tc>
                <w:tcPr>
                  <w:tcW w:w="825" w:type="pct"/>
                  <w:gridSpan w:val="2"/>
                  <w:tcBorders>
                    <w:top w:val="nil"/>
                    <w:bottom w:val="single" w:sz="4" w:space="0" w:color="auto"/>
                  </w:tcBorders>
                  <w:shd w:val="clear" w:color="auto" w:fill="E7E6E6" w:themeFill="background2"/>
                  <w:noWrap/>
                </w:tcPr>
                <w:p w14:paraId="4A3B437F"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66.41</w:t>
                  </w:r>
                </w:p>
              </w:tc>
              <w:tc>
                <w:tcPr>
                  <w:tcW w:w="1096" w:type="pct"/>
                  <w:tcBorders>
                    <w:top w:val="nil"/>
                    <w:bottom w:val="single" w:sz="4" w:space="0" w:color="auto"/>
                  </w:tcBorders>
                  <w:shd w:val="clear" w:color="auto" w:fill="E7E6E6" w:themeFill="background2"/>
                  <w:noWrap/>
                </w:tcPr>
                <w:p w14:paraId="5E99345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62.90</w:t>
                  </w:r>
                </w:p>
              </w:tc>
            </w:tr>
            <w:tr w:rsidR="00FB0A6A" w:rsidRPr="00983057" w14:paraId="6D5218F2" w14:textId="77777777" w:rsidTr="00983057">
              <w:trPr>
                <w:trHeight w:val="309"/>
              </w:trPr>
              <w:tc>
                <w:tcPr>
                  <w:tcW w:w="514" w:type="pct"/>
                  <w:vMerge w:val="restart"/>
                  <w:tcBorders>
                    <w:top w:val="single" w:sz="4" w:space="0" w:color="auto"/>
                    <w:right w:val="single" w:sz="4" w:space="0" w:color="auto"/>
                  </w:tcBorders>
                  <w:shd w:val="clear" w:color="auto" w:fill="auto"/>
                  <w:noWrap/>
                  <w:hideMark/>
                </w:tcPr>
                <w:p w14:paraId="6E1DAE3C"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Yearly</w:t>
                  </w:r>
                </w:p>
              </w:tc>
              <w:tc>
                <w:tcPr>
                  <w:tcW w:w="463" w:type="pct"/>
                  <w:tcBorders>
                    <w:top w:val="single" w:sz="4" w:space="0" w:color="auto"/>
                    <w:left w:val="single" w:sz="4" w:space="0" w:color="auto"/>
                    <w:bottom w:val="nil"/>
                    <w:right w:val="single" w:sz="4" w:space="0" w:color="auto"/>
                  </w:tcBorders>
                  <w:shd w:val="clear" w:color="auto" w:fill="auto"/>
                  <w:noWrap/>
                  <w:hideMark/>
                </w:tcPr>
                <w:p w14:paraId="03B23859"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R</w:t>
                  </w:r>
                </w:p>
              </w:tc>
              <w:tc>
                <w:tcPr>
                  <w:tcW w:w="733" w:type="pct"/>
                  <w:tcBorders>
                    <w:top w:val="single" w:sz="4" w:space="0" w:color="auto"/>
                    <w:left w:val="single" w:sz="4" w:space="0" w:color="auto"/>
                    <w:bottom w:val="nil"/>
                  </w:tcBorders>
                  <w:shd w:val="clear" w:color="auto" w:fill="auto"/>
                  <w:noWrap/>
                  <w:hideMark/>
                </w:tcPr>
                <w:p w14:paraId="67286E3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0.53</w:t>
                  </w:r>
                </w:p>
              </w:tc>
              <w:tc>
                <w:tcPr>
                  <w:tcW w:w="1369" w:type="pct"/>
                  <w:tcBorders>
                    <w:top w:val="single" w:sz="4" w:space="0" w:color="auto"/>
                    <w:bottom w:val="nil"/>
                  </w:tcBorders>
                  <w:shd w:val="clear" w:color="auto" w:fill="auto"/>
                  <w:noWrap/>
                  <w:hideMark/>
                </w:tcPr>
                <w:p w14:paraId="151A3E68"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0.53</w:t>
                  </w:r>
                </w:p>
              </w:tc>
              <w:tc>
                <w:tcPr>
                  <w:tcW w:w="735" w:type="pct"/>
                  <w:tcBorders>
                    <w:top w:val="single" w:sz="4" w:space="0" w:color="auto"/>
                    <w:bottom w:val="nil"/>
                  </w:tcBorders>
                  <w:shd w:val="clear" w:color="auto" w:fill="auto"/>
                  <w:noWrap/>
                  <w:hideMark/>
                </w:tcPr>
                <w:p w14:paraId="2AD8D541"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0.54</w:t>
                  </w:r>
                </w:p>
              </w:tc>
              <w:tc>
                <w:tcPr>
                  <w:tcW w:w="1186" w:type="pct"/>
                  <w:gridSpan w:val="2"/>
                  <w:tcBorders>
                    <w:top w:val="single" w:sz="4" w:space="0" w:color="auto"/>
                    <w:bottom w:val="nil"/>
                  </w:tcBorders>
                  <w:shd w:val="clear" w:color="auto" w:fill="auto"/>
                  <w:noWrap/>
                  <w:hideMark/>
                </w:tcPr>
                <w:p w14:paraId="5B79DE4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0.54</w:t>
                  </w:r>
                </w:p>
              </w:tc>
            </w:tr>
            <w:tr w:rsidR="00FB0A6A" w:rsidRPr="00983057" w14:paraId="510BF15C" w14:textId="77777777" w:rsidTr="00983057">
              <w:trPr>
                <w:trHeight w:val="309"/>
              </w:trPr>
              <w:tc>
                <w:tcPr>
                  <w:tcW w:w="514" w:type="pct"/>
                  <w:vMerge/>
                  <w:tcBorders>
                    <w:right w:val="single" w:sz="4" w:space="0" w:color="auto"/>
                  </w:tcBorders>
                  <w:shd w:val="clear" w:color="auto" w:fill="auto"/>
                  <w:noWrap/>
                  <w:hideMark/>
                </w:tcPr>
                <w:p w14:paraId="0193E81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p>
              </w:tc>
              <w:tc>
                <w:tcPr>
                  <w:tcW w:w="463" w:type="pct"/>
                  <w:tcBorders>
                    <w:top w:val="nil"/>
                    <w:left w:val="single" w:sz="4" w:space="0" w:color="auto"/>
                    <w:bottom w:val="nil"/>
                    <w:right w:val="single" w:sz="4" w:space="0" w:color="auto"/>
                  </w:tcBorders>
                  <w:shd w:val="clear" w:color="auto" w:fill="auto"/>
                  <w:noWrap/>
                  <w:hideMark/>
                </w:tcPr>
                <w:p w14:paraId="223C5F1A"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NMB</w:t>
                  </w:r>
                </w:p>
              </w:tc>
              <w:tc>
                <w:tcPr>
                  <w:tcW w:w="733" w:type="pct"/>
                  <w:tcBorders>
                    <w:top w:val="nil"/>
                    <w:left w:val="single" w:sz="4" w:space="0" w:color="auto"/>
                    <w:bottom w:val="nil"/>
                  </w:tcBorders>
                  <w:shd w:val="clear" w:color="auto" w:fill="auto"/>
                  <w:noWrap/>
                  <w:hideMark/>
                </w:tcPr>
                <w:p w14:paraId="011935A0"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-50.73</w:t>
                  </w:r>
                </w:p>
              </w:tc>
              <w:tc>
                <w:tcPr>
                  <w:tcW w:w="1369" w:type="pct"/>
                  <w:tcBorders>
                    <w:top w:val="nil"/>
                    <w:bottom w:val="nil"/>
                  </w:tcBorders>
                  <w:shd w:val="clear" w:color="auto" w:fill="auto"/>
                  <w:noWrap/>
                  <w:hideMark/>
                </w:tcPr>
                <w:p w14:paraId="3F2AFD8D"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-42.52</w:t>
                  </w:r>
                </w:p>
              </w:tc>
              <w:tc>
                <w:tcPr>
                  <w:tcW w:w="735" w:type="pct"/>
                  <w:tcBorders>
                    <w:top w:val="nil"/>
                    <w:bottom w:val="nil"/>
                  </w:tcBorders>
                  <w:shd w:val="clear" w:color="auto" w:fill="auto"/>
                  <w:noWrap/>
                  <w:hideMark/>
                </w:tcPr>
                <w:p w14:paraId="6F4DD1D1"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-33.84</w:t>
                  </w:r>
                </w:p>
              </w:tc>
              <w:tc>
                <w:tcPr>
                  <w:tcW w:w="1186" w:type="pct"/>
                  <w:gridSpan w:val="2"/>
                  <w:tcBorders>
                    <w:top w:val="nil"/>
                    <w:bottom w:val="nil"/>
                  </w:tcBorders>
                  <w:shd w:val="clear" w:color="auto" w:fill="auto"/>
                  <w:noWrap/>
                  <w:hideMark/>
                </w:tcPr>
                <w:p w14:paraId="1777267B"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-19.60</w:t>
                  </w:r>
                </w:p>
              </w:tc>
            </w:tr>
            <w:tr w:rsidR="00FB0A6A" w:rsidRPr="00983057" w14:paraId="05881649" w14:textId="77777777" w:rsidTr="00983057">
              <w:trPr>
                <w:trHeight w:val="309"/>
              </w:trPr>
              <w:tc>
                <w:tcPr>
                  <w:tcW w:w="514" w:type="pct"/>
                  <w:vMerge/>
                  <w:tcBorders>
                    <w:bottom w:val="single" w:sz="4" w:space="0" w:color="auto"/>
                    <w:right w:val="single" w:sz="4" w:space="0" w:color="auto"/>
                  </w:tcBorders>
                  <w:shd w:val="clear" w:color="auto" w:fill="auto"/>
                  <w:noWrap/>
                </w:tcPr>
                <w:p w14:paraId="5237247F" w14:textId="77777777" w:rsidR="00FB0A6A" w:rsidRPr="00983057" w:rsidRDefault="00FB0A6A" w:rsidP="00983057">
                  <w:pPr>
                    <w:spacing w:after="0" w:line="240" w:lineRule="auto"/>
                    <w:jc w:val="center"/>
                    <w:rPr>
                      <w:rFonts w:ascii="Times New Roman" w:eastAsia="맑은 고딕" w:hAnsi="Times New Roman" w:cs="Times New Roman"/>
                      <w:color w:val="0000FF"/>
                      <w:sz w:val="14"/>
                      <w:szCs w:val="14"/>
                    </w:rPr>
                  </w:pPr>
                </w:p>
              </w:tc>
              <w:tc>
                <w:tcPr>
                  <w:tcW w:w="463" w:type="pct"/>
                  <w:tcBorders>
                    <w:top w:val="nil"/>
                    <w:left w:val="single" w:sz="4" w:space="0" w:color="auto"/>
                    <w:bottom w:val="single" w:sz="4" w:space="0" w:color="auto"/>
                    <w:right w:val="single" w:sz="4" w:space="0" w:color="auto"/>
                  </w:tcBorders>
                  <w:shd w:val="clear" w:color="auto" w:fill="E7E6E6" w:themeFill="background2"/>
                  <w:noWrap/>
                </w:tcPr>
                <w:p w14:paraId="28800051"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NME</w:t>
                  </w:r>
                </w:p>
              </w:tc>
              <w:tc>
                <w:tcPr>
                  <w:tcW w:w="733" w:type="pct"/>
                  <w:tcBorders>
                    <w:top w:val="nil"/>
                    <w:left w:val="single" w:sz="4" w:space="0" w:color="auto"/>
                    <w:bottom w:val="single" w:sz="4" w:space="0" w:color="auto"/>
                  </w:tcBorders>
                  <w:shd w:val="clear" w:color="auto" w:fill="E7E6E6" w:themeFill="background2"/>
                  <w:noWrap/>
                </w:tcPr>
                <w:p w14:paraId="5198F7A5"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64.33</w:t>
                  </w:r>
                </w:p>
              </w:tc>
              <w:tc>
                <w:tcPr>
                  <w:tcW w:w="1369" w:type="pct"/>
                  <w:tcBorders>
                    <w:top w:val="nil"/>
                    <w:bottom w:val="single" w:sz="4" w:space="0" w:color="auto"/>
                  </w:tcBorders>
                  <w:shd w:val="clear" w:color="auto" w:fill="E7E6E6" w:themeFill="background2"/>
                  <w:noWrap/>
                </w:tcPr>
                <w:p w14:paraId="74615512"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63.77</w:t>
                  </w:r>
                </w:p>
              </w:tc>
              <w:tc>
                <w:tcPr>
                  <w:tcW w:w="735" w:type="pct"/>
                  <w:tcBorders>
                    <w:top w:val="nil"/>
                    <w:bottom w:val="single" w:sz="4" w:space="0" w:color="auto"/>
                  </w:tcBorders>
                  <w:shd w:val="clear" w:color="auto" w:fill="E7E6E6" w:themeFill="background2"/>
                  <w:noWrap/>
                </w:tcPr>
                <w:p w14:paraId="55099577"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63.44</w:t>
                  </w:r>
                </w:p>
              </w:tc>
              <w:tc>
                <w:tcPr>
                  <w:tcW w:w="1186" w:type="pct"/>
                  <w:gridSpan w:val="2"/>
                  <w:tcBorders>
                    <w:top w:val="nil"/>
                    <w:bottom w:val="single" w:sz="4" w:space="0" w:color="auto"/>
                  </w:tcBorders>
                  <w:shd w:val="clear" w:color="auto" w:fill="E7E6E6" w:themeFill="background2"/>
                  <w:noWrap/>
                </w:tcPr>
                <w:p w14:paraId="6BB7CEDE" w14:textId="77777777" w:rsidR="00FB0A6A" w:rsidRPr="00983057" w:rsidRDefault="00FB0A6A" w:rsidP="00983057">
                  <w:pPr>
                    <w:spacing w:after="0" w:line="240" w:lineRule="auto"/>
                    <w:jc w:val="center"/>
                    <w:rPr>
                      <w:rFonts w:ascii="Times New Roman" w:eastAsia="맑은 고딕" w:hAnsi="Times New Roman" w:cs="Times New Roman"/>
                      <w:sz w:val="14"/>
                      <w:szCs w:val="14"/>
                    </w:rPr>
                  </w:pPr>
                  <w:r w:rsidRPr="00983057">
                    <w:rPr>
                      <w:rFonts w:ascii="Times New Roman" w:eastAsia="맑은 고딕" w:hAnsi="Times New Roman" w:cs="Times New Roman"/>
                      <w:sz w:val="14"/>
                      <w:szCs w:val="14"/>
                    </w:rPr>
                    <w:t>61.78</w:t>
                  </w:r>
                </w:p>
              </w:tc>
            </w:tr>
          </w:tbl>
          <w:p w14:paraId="3AE30C81" w14:textId="77777777" w:rsidR="00FB0A6A" w:rsidRDefault="00FB0A6A" w:rsidP="0043755B">
            <w:pPr>
              <w:spacing w:line="276" w:lineRule="auto"/>
              <w:rPr>
                <w:rFonts w:ascii="Times New Roman" w:hAnsi="Times New Roman" w:cs="Times New Roman"/>
                <w:sz w:val="24"/>
                <w:szCs w:val="24"/>
              </w:rPr>
            </w:pPr>
          </w:p>
          <w:p w14:paraId="33732BF8" w14:textId="02BB350B" w:rsidR="0025504E" w:rsidRPr="00B90858" w:rsidRDefault="00FB0A6A" w:rsidP="0043755B">
            <w:pPr>
              <w:spacing w:line="276" w:lineRule="auto"/>
              <w:rPr>
                <w:rFonts w:ascii="Times New Roman" w:hAnsi="Times New Roman" w:cs="Times New Roman"/>
                <w:sz w:val="24"/>
                <w:szCs w:val="24"/>
              </w:rPr>
            </w:pPr>
            <w:r>
              <w:rPr>
                <w:rFonts w:ascii="Times New Roman" w:hAnsi="Times New Roman" w:cs="Times New Roman"/>
                <w:sz w:val="24"/>
                <w:szCs w:val="24"/>
              </w:rPr>
              <w:t xml:space="preserve">Accordingly, we have enhanced the discussions corresponding to the results shown in </w:t>
            </w:r>
            <w:r>
              <w:rPr>
                <w:rFonts w:ascii="Times New Roman" w:hAnsi="Times New Roman" w:cs="Times New Roman" w:hint="eastAsia"/>
                <w:sz w:val="24"/>
                <w:szCs w:val="24"/>
              </w:rPr>
              <w:t>T</w:t>
            </w:r>
            <w:r>
              <w:rPr>
                <w:rFonts w:ascii="Times New Roman" w:hAnsi="Times New Roman" w:cs="Times New Roman"/>
                <w:sz w:val="24"/>
                <w:szCs w:val="24"/>
              </w:rPr>
              <w:t>able 1 as below.</w:t>
            </w:r>
          </w:p>
        </w:tc>
      </w:tr>
      <w:tr w:rsidR="005D76EF" w:rsidRPr="00EB62C8" w14:paraId="515B05E6" w14:textId="77777777" w:rsidTr="00522257">
        <w:tc>
          <w:tcPr>
            <w:tcW w:w="1276" w:type="dxa"/>
          </w:tcPr>
          <w:p w14:paraId="694A2462" w14:textId="77777777"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C</w:t>
            </w:r>
            <w:r w:rsidRPr="00EB62C8">
              <w:rPr>
                <w:rFonts w:ascii="Times New Roman" w:hAnsi="Times New Roman" w:cs="Times New Roman"/>
                <w:sz w:val="24"/>
                <w:szCs w:val="24"/>
              </w:rPr>
              <w:t>hanges in manuscript</w:t>
            </w:r>
          </w:p>
        </w:tc>
        <w:tc>
          <w:tcPr>
            <w:tcW w:w="6894" w:type="dxa"/>
          </w:tcPr>
          <w:p w14:paraId="5C62B232" w14:textId="2B944A48" w:rsidR="00D005F0" w:rsidRPr="00774D98" w:rsidRDefault="00FB0A6A" w:rsidP="00774D98">
            <w:pPr>
              <w:pStyle w:val="ListParagraph"/>
              <w:numPr>
                <w:ilvl w:val="0"/>
                <w:numId w:val="10"/>
              </w:numPr>
              <w:spacing w:line="276" w:lineRule="auto"/>
              <w:ind w:leftChars="0" w:left="312" w:hanging="258"/>
              <w:rPr>
                <w:rFonts w:ascii="Times New Roman" w:hAnsi="Times New Roman" w:cs="Times New Roman"/>
                <w:sz w:val="24"/>
                <w:szCs w:val="24"/>
              </w:rPr>
            </w:pPr>
            <w:r w:rsidRPr="00774D98">
              <w:rPr>
                <w:rFonts w:ascii="Times New Roman" w:hAnsi="Times New Roman" w:cs="Times New Roman" w:hint="eastAsia"/>
                <w:sz w:val="24"/>
                <w:szCs w:val="24"/>
              </w:rPr>
              <w:t>L</w:t>
            </w:r>
            <w:r w:rsidRPr="00774D98">
              <w:rPr>
                <w:rFonts w:ascii="Times New Roman" w:hAnsi="Times New Roman" w:cs="Times New Roman"/>
                <w:sz w:val="24"/>
                <w:szCs w:val="24"/>
              </w:rPr>
              <w:t xml:space="preserve">ines </w:t>
            </w:r>
            <w:r w:rsidR="00B42C74" w:rsidRPr="00774D98">
              <w:rPr>
                <w:rFonts w:ascii="Times New Roman" w:hAnsi="Times New Roman" w:cs="Times New Roman"/>
                <w:sz w:val="24"/>
                <w:szCs w:val="24"/>
              </w:rPr>
              <w:t>4</w:t>
            </w:r>
            <w:r w:rsidR="005A7A18">
              <w:rPr>
                <w:rFonts w:ascii="Times New Roman" w:hAnsi="Times New Roman" w:cs="Times New Roman"/>
                <w:sz w:val="24"/>
                <w:szCs w:val="24"/>
              </w:rPr>
              <w:t>40</w:t>
            </w:r>
            <w:r w:rsidRPr="00774D98">
              <w:rPr>
                <w:rFonts w:ascii="Times New Roman" w:hAnsi="Times New Roman" w:cs="Times New Roman"/>
                <w:sz w:val="24"/>
                <w:szCs w:val="24"/>
              </w:rPr>
              <w:t>-</w:t>
            </w:r>
            <w:r w:rsidR="00B42C74" w:rsidRPr="00774D98">
              <w:rPr>
                <w:rFonts w:ascii="Times New Roman" w:hAnsi="Times New Roman" w:cs="Times New Roman"/>
                <w:sz w:val="24"/>
                <w:szCs w:val="24"/>
              </w:rPr>
              <w:t>4</w:t>
            </w:r>
            <w:r w:rsidR="005A7A18">
              <w:rPr>
                <w:rFonts w:ascii="Times New Roman" w:hAnsi="Times New Roman" w:cs="Times New Roman"/>
                <w:sz w:val="24"/>
                <w:szCs w:val="24"/>
              </w:rPr>
              <w:t>50</w:t>
            </w:r>
            <w:r w:rsidRPr="00774D98">
              <w:rPr>
                <w:rFonts w:ascii="Times New Roman" w:hAnsi="Times New Roman" w:cs="Times New Roman"/>
                <w:sz w:val="24"/>
                <w:szCs w:val="24"/>
              </w:rPr>
              <w:t xml:space="preserve">: </w:t>
            </w:r>
            <w:r w:rsidR="00B42C74" w:rsidRPr="00774D98">
              <w:rPr>
                <w:rFonts w:ascii="Times New Roman" w:hAnsi="Times New Roman" w:cs="Times New Roman"/>
                <w:sz w:val="24"/>
                <w:szCs w:val="24"/>
              </w:rPr>
              <w:t>“For example, in MAM 2019, the use of the emissions constrained based on GOCI-AHI AOD more effectively … better capture the high AOD peaks across the southeast China in a spatiotemporally more frequent and continuous manner, was more effective in resolving the model’s initial AOD underestimation.”</w:t>
            </w:r>
          </w:p>
        </w:tc>
      </w:tr>
    </w:tbl>
    <w:p w14:paraId="74D47F4C" w14:textId="77777777" w:rsidR="00B33985" w:rsidRDefault="00B33985" w:rsidP="00B33985">
      <w:pPr>
        <w:pStyle w:val="ListParagraph"/>
        <w:spacing w:line="276" w:lineRule="auto"/>
        <w:ind w:leftChars="0" w:left="760"/>
        <w:rPr>
          <w:rFonts w:ascii="Times New Roman" w:hAnsi="Times New Roman" w:cs="Times New Roman"/>
          <w:sz w:val="24"/>
          <w:szCs w:val="24"/>
        </w:rPr>
      </w:pPr>
    </w:p>
    <w:p w14:paraId="64F8FCC9" w14:textId="41FF28FE" w:rsidR="005D76EF" w:rsidRPr="00EB62C8" w:rsidRDefault="00B339C9" w:rsidP="00B339C9">
      <w:pPr>
        <w:pStyle w:val="ListParagraph"/>
        <w:numPr>
          <w:ilvl w:val="0"/>
          <w:numId w:val="2"/>
        </w:numPr>
        <w:spacing w:line="276" w:lineRule="auto"/>
        <w:ind w:leftChars="0"/>
        <w:rPr>
          <w:rFonts w:ascii="Times New Roman" w:hAnsi="Times New Roman" w:cs="Times New Roman"/>
          <w:sz w:val="24"/>
          <w:szCs w:val="24"/>
        </w:rPr>
      </w:pPr>
      <w:r w:rsidRPr="00EB62C8">
        <w:rPr>
          <w:rFonts w:ascii="Times New Roman" w:hAnsi="Times New Roman" w:cs="Times New Roman"/>
          <w:sz w:val="24"/>
          <w:szCs w:val="24"/>
        </w:rPr>
        <w:t>Lines 370-374: I know what the author is trying to explain, but these sentences seem to need to be supplemented. Other gas-phase substances, SO2, and NH3 have not been adjusted, so it may be difficult to accurately understand the impact of gas-phase substance emission adjustment. Also, this paper does not accurately define the primary PM emission, so the explanation needs to be more specific.</w:t>
      </w:r>
    </w:p>
    <w:tbl>
      <w:tblPr>
        <w:tblStyle w:val="TableGrid"/>
        <w:tblW w:w="0" w:type="auto"/>
        <w:tblInd w:w="846" w:type="dxa"/>
        <w:tblLook w:val="04A0" w:firstRow="1" w:lastRow="0" w:firstColumn="1" w:lastColumn="0" w:noHBand="0" w:noVBand="1"/>
      </w:tblPr>
      <w:tblGrid>
        <w:gridCol w:w="1283"/>
        <w:gridCol w:w="6887"/>
      </w:tblGrid>
      <w:tr w:rsidR="00C55A84" w:rsidRPr="00EB62C8" w14:paraId="4EE2816D" w14:textId="77777777" w:rsidTr="00D84C71">
        <w:tc>
          <w:tcPr>
            <w:tcW w:w="1283" w:type="dxa"/>
          </w:tcPr>
          <w:p w14:paraId="3F068FF3" w14:textId="1E93EE86"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A</w:t>
            </w:r>
            <w:r w:rsidRPr="00EB62C8">
              <w:rPr>
                <w:rFonts w:ascii="Times New Roman" w:hAnsi="Times New Roman" w:cs="Times New Roman"/>
                <w:sz w:val="24"/>
                <w:szCs w:val="24"/>
              </w:rPr>
              <w:t>uthors</w:t>
            </w:r>
            <w:r w:rsidR="00963164">
              <w:rPr>
                <w:rFonts w:ascii="Times New Roman" w:hAnsi="Times New Roman" w:cs="Times New Roman"/>
                <w:sz w:val="24"/>
                <w:szCs w:val="24"/>
              </w:rPr>
              <w:t>’</w:t>
            </w:r>
            <w:r w:rsidRPr="00EB62C8">
              <w:rPr>
                <w:rFonts w:ascii="Times New Roman" w:hAnsi="Times New Roman" w:cs="Times New Roman"/>
                <w:sz w:val="24"/>
                <w:szCs w:val="24"/>
              </w:rPr>
              <w:t xml:space="preserve"> response</w:t>
            </w:r>
          </w:p>
        </w:tc>
        <w:tc>
          <w:tcPr>
            <w:tcW w:w="6887" w:type="dxa"/>
          </w:tcPr>
          <w:p w14:paraId="79CD2A73" w14:textId="466F01E6" w:rsidR="00392289" w:rsidRPr="00EB62C8" w:rsidRDefault="00D84C71" w:rsidP="006760F9">
            <w:pPr>
              <w:spacing w:line="276" w:lineRule="auto"/>
              <w:rPr>
                <w:rFonts w:ascii="Times New Roman" w:hAnsi="Times New Roman" w:cs="Times New Roman"/>
                <w:sz w:val="24"/>
                <w:szCs w:val="24"/>
              </w:rPr>
            </w:pPr>
            <w:r>
              <w:rPr>
                <w:rFonts w:ascii="Times New Roman" w:hAnsi="Times New Roman" w:cs="Times New Roman"/>
                <w:sz w:val="24"/>
                <w:szCs w:val="24"/>
              </w:rPr>
              <w:t>We a</w:t>
            </w:r>
            <w:r w:rsidR="00370E6C">
              <w:rPr>
                <w:rFonts w:ascii="Times New Roman" w:hAnsi="Times New Roman" w:cs="Times New Roman"/>
                <w:sz w:val="24"/>
                <w:szCs w:val="24"/>
              </w:rPr>
              <w:t xml:space="preserve">gree </w:t>
            </w:r>
            <w:r>
              <w:rPr>
                <w:rFonts w:ascii="Times New Roman" w:hAnsi="Times New Roman" w:cs="Times New Roman"/>
                <w:sz w:val="24"/>
                <w:szCs w:val="24"/>
              </w:rPr>
              <w:t xml:space="preserve">that </w:t>
            </w:r>
            <w:r w:rsidR="00774D98">
              <w:rPr>
                <w:rFonts w:ascii="Times New Roman" w:hAnsi="Times New Roman" w:cs="Times New Roman"/>
                <w:sz w:val="24"/>
                <w:szCs w:val="24"/>
              </w:rPr>
              <w:t xml:space="preserve">those </w:t>
            </w:r>
            <w:r>
              <w:rPr>
                <w:rFonts w:ascii="Times New Roman" w:hAnsi="Times New Roman" w:cs="Times New Roman"/>
                <w:sz w:val="24"/>
                <w:szCs w:val="24"/>
              </w:rPr>
              <w:t>lines need an enhancement. We</w:t>
            </w:r>
            <w:r w:rsidR="00DA4737">
              <w:rPr>
                <w:rFonts w:ascii="Times New Roman" w:hAnsi="Times New Roman" w:cs="Times New Roman"/>
                <w:sz w:val="24"/>
                <w:szCs w:val="24"/>
              </w:rPr>
              <w:t xml:space="preserve"> first</w:t>
            </w:r>
            <w:r>
              <w:rPr>
                <w:rFonts w:ascii="Times New Roman" w:hAnsi="Times New Roman" w:cs="Times New Roman"/>
                <w:sz w:val="24"/>
                <w:szCs w:val="24"/>
              </w:rPr>
              <w:t xml:space="preserve"> </w:t>
            </w:r>
            <w:r w:rsidR="00DA4737">
              <w:rPr>
                <w:rFonts w:ascii="Times New Roman" w:hAnsi="Times New Roman" w:cs="Times New Roman"/>
                <w:sz w:val="24"/>
                <w:szCs w:val="24"/>
              </w:rPr>
              <w:t xml:space="preserve">updated Table </w:t>
            </w:r>
            <w:r w:rsidR="00774D98">
              <w:rPr>
                <w:rFonts w:ascii="Times New Roman" w:hAnsi="Times New Roman" w:cs="Times New Roman"/>
                <w:sz w:val="24"/>
                <w:szCs w:val="24"/>
              </w:rPr>
              <w:t xml:space="preserve">S2 (the name list of the primary PM emissions) to </w:t>
            </w:r>
            <w:r>
              <w:rPr>
                <w:rFonts w:ascii="Times New Roman" w:hAnsi="Times New Roman" w:cs="Times New Roman"/>
                <w:sz w:val="24"/>
                <w:szCs w:val="24"/>
              </w:rPr>
              <w:t>clarif</w:t>
            </w:r>
            <w:r w:rsidR="00774D98">
              <w:rPr>
                <w:rFonts w:ascii="Times New Roman" w:hAnsi="Times New Roman" w:cs="Times New Roman"/>
                <w:sz w:val="24"/>
                <w:szCs w:val="24"/>
              </w:rPr>
              <w:t>y</w:t>
            </w:r>
            <w:r>
              <w:rPr>
                <w:rFonts w:ascii="Times New Roman" w:hAnsi="Times New Roman" w:cs="Times New Roman"/>
                <w:sz w:val="24"/>
                <w:szCs w:val="24"/>
              </w:rPr>
              <w:t xml:space="preserve"> the </w:t>
            </w:r>
            <w:r w:rsidR="00EA35A4">
              <w:rPr>
                <w:rFonts w:ascii="Times New Roman" w:hAnsi="Times New Roman" w:cs="Times New Roman"/>
                <w:sz w:val="24"/>
                <w:szCs w:val="24"/>
              </w:rPr>
              <w:t xml:space="preserve">definitions for the </w:t>
            </w:r>
            <w:r>
              <w:rPr>
                <w:rFonts w:ascii="Times New Roman" w:hAnsi="Times New Roman" w:cs="Times New Roman"/>
                <w:sz w:val="24"/>
                <w:szCs w:val="24"/>
              </w:rPr>
              <w:t xml:space="preserve">sets of the primary PM emissions (one defined to be the target of the emissions adjustment, and the other measured at </w:t>
            </w:r>
            <w:r w:rsidR="00983057">
              <w:rPr>
                <w:rFonts w:ascii="Times New Roman" w:hAnsi="Times New Roman" w:cs="Times New Roman"/>
                <w:sz w:val="24"/>
                <w:szCs w:val="24"/>
              </w:rPr>
              <w:t xml:space="preserve">the </w:t>
            </w:r>
            <w:r>
              <w:rPr>
                <w:rFonts w:ascii="Times New Roman" w:hAnsi="Times New Roman" w:cs="Times New Roman"/>
                <w:sz w:val="24"/>
                <w:szCs w:val="24"/>
              </w:rPr>
              <w:t>Korean supersites)</w:t>
            </w:r>
            <w:r w:rsidR="00774D98">
              <w:rPr>
                <w:rFonts w:ascii="Times New Roman" w:hAnsi="Times New Roman" w:cs="Times New Roman"/>
                <w:sz w:val="24"/>
                <w:szCs w:val="24"/>
              </w:rPr>
              <w:t xml:space="preserve"> and corresponding pollutants. And then, we made changes in </w:t>
            </w:r>
            <w:r w:rsidR="00376F22">
              <w:rPr>
                <w:rFonts w:ascii="Times New Roman" w:hAnsi="Times New Roman" w:cs="Times New Roman"/>
                <w:sz w:val="24"/>
                <w:szCs w:val="24"/>
              </w:rPr>
              <w:t xml:space="preserve">Table 2 and </w:t>
            </w:r>
            <w:r w:rsidR="00774D98">
              <w:rPr>
                <w:rFonts w:ascii="Times New Roman" w:hAnsi="Times New Roman" w:cs="Times New Roman"/>
                <w:sz w:val="24"/>
                <w:szCs w:val="24"/>
              </w:rPr>
              <w:t>the lines mentioned above accordingly.</w:t>
            </w:r>
          </w:p>
        </w:tc>
      </w:tr>
      <w:tr w:rsidR="00C55A84" w:rsidRPr="00EB62C8" w14:paraId="72E39CB8" w14:textId="77777777" w:rsidTr="00D84C71">
        <w:tc>
          <w:tcPr>
            <w:tcW w:w="1283" w:type="dxa"/>
          </w:tcPr>
          <w:p w14:paraId="628C11FB" w14:textId="77777777" w:rsidR="005D76EF" w:rsidRPr="00EB62C8" w:rsidRDefault="005D76EF" w:rsidP="005A6259">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C</w:t>
            </w:r>
            <w:r w:rsidRPr="00EB62C8">
              <w:rPr>
                <w:rFonts w:ascii="Times New Roman" w:hAnsi="Times New Roman" w:cs="Times New Roman"/>
                <w:sz w:val="24"/>
                <w:szCs w:val="24"/>
              </w:rPr>
              <w:t>hanges in manuscript</w:t>
            </w:r>
          </w:p>
        </w:tc>
        <w:tc>
          <w:tcPr>
            <w:tcW w:w="6887" w:type="dxa"/>
          </w:tcPr>
          <w:p w14:paraId="07768F68" w14:textId="3D9BABC6" w:rsidR="00983057" w:rsidRPr="00AC26CB" w:rsidRDefault="00774D98" w:rsidP="00AC26CB">
            <w:pPr>
              <w:pStyle w:val="ListParagraph"/>
              <w:numPr>
                <w:ilvl w:val="0"/>
                <w:numId w:val="24"/>
              </w:numPr>
              <w:spacing w:line="276" w:lineRule="auto"/>
              <w:ind w:leftChars="0" w:left="312" w:hanging="284"/>
              <w:rPr>
                <w:rFonts w:ascii="Times New Roman" w:hAnsi="Times New Roman" w:cs="Times New Roman"/>
                <w:sz w:val="24"/>
                <w:szCs w:val="24"/>
              </w:rPr>
            </w:pPr>
            <w:r w:rsidRPr="00774D98">
              <w:rPr>
                <w:rFonts w:ascii="Times New Roman" w:hAnsi="Times New Roman" w:cs="Times New Roman" w:hint="eastAsia"/>
                <w:sz w:val="24"/>
                <w:szCs w:val="24"/>
              </w:rPr>
              <w:t>T</w:t>
            </w:r>
            <w:r w:rsidRPr="00774D98">
              <w:rPr>
                <w:rFonts w:ascii="Times New Roman" w:hAnsi="Times New Roman" w:cs="Times New Roman"/>
                <w:sz w:val="24"/>
                <w:szCs w:val="24"/>
              </w:rPr>
              <w:t>able S2</w:t>
            </w:r>
            <w:r w:rsidR="00983057">
              <w:rPr>
                <w:rFonts w:ascii="Times New Roman" w:hAnsi="Times New Roman" w:cs="Times New Roman"/>
                <w:sz w:val="24"/>
                <w:szCs w:val="24"/>
              </w:rPr>
              <w:t xml:space="preserve"> and caption</w:t>
            </w:r>
            <w:r>
              <w:rPr>
                <w:rFonts w:ascii="Times New Roman" w:hAnsi="Times New Roman" w:cs="Times New Roman"/>
                <w:sz w:val="24"/>
                <w:szCs w:val="24"/>
              </w:rPr>
              <w:t xml:space="preserve">: </w:t>
            </w:r>
            <w:r w:rsidR="00983057">
              <w:rPr>
                <w:rFonts w:ascii="Times New Roman" w:hAnsi="Times New Roman" w:cs="Times New Roman"/>
                <w:sz w:val="24"/>
                <w:szCs w:val="24"/>
              </w:rPr>
              <w:t>“</w:t>
            </w:r>
            <w:r w:rsidR="00AC26CB" w:rsidRPr="00AC26CB">
              <w:rPr>
                <w:rFonts w:ascii="Times New Roman" w:hAnsi="Times New Roman" w:cs="Times New Roman"/>
                <w:sz w:val="24"/>
                <w:szCs w:val="24"/>
              </w:rPr>
              <w:t xml:space="preserve">The list of the primary PM species included the KORUS-AQ emission </w:t>
            </w:r>
            <w:r w:rsidR="00A91FD0" w:rsidRPr="00AC26CB">
              <w:rPr>
                <w:rFonts w:ascii="Times New Roman" w:hAnsi="Times New Roman" w:cs="Times New Roman"/>
                <w:sz w:val="24"/>
                <w:szCs w:val="24"/>
              </w:rPr>
              <w:t>inventory,</w:t>
            </w:r>
            <w:r w:rsidR="00AC26CB" w:rsidRPr="00AC26CB">
              <w:rPr>
                <w:rFonts w:ascii="Times New Roman" w:hAnsi="Times New Roman" w:cs="Times New Roman"/>
                <w:sz w:val="24"/>
                <w:szCs w:val="24"/>
              </w:rPr>
              <w:t xml:space="preserve"> and the corresponding pollutants simulated in CMAQ version 5.2 and measured at the Korean supersites.</w:t>
            </w:r>
            <w:r w:rsidR="00AC26CB">
              <w:rPr>
                <w:rFonts w:ascii="Times New Roman" w:hAnsi="Times New Roman" w:cs="Times New Roman"/>
                <w:sz w:val="24"/>
                <w:szCs w:val="24"/>
              </w:rPr>
              <w:t>”</w:t>
            </w:r>
          </w:p>
          <w:p w14:paraId="003A35C0" w14:textId="28B49CF7" w:rsidR="00376F22" w:rsidRDefault="00376F22" w:rsidP="00774D98">
            <w:pPr>
              <w:pStyle w:val="ListParagraph"/>
              <w:numPr>
                <w:ilvl w:val="0"/>
                <w:numId w:val="24"/>
              </w:numPr>
              <w:spacing w:line="276" w:lineRule="auto"/>
              <w:ind w:leftChars="0" w:left="312" w:hanging="284"/>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able 2 and caption: “</w:t>
            </w:r>
            <w:r w:rsidRPr="00376F22">
              <w:rPr>
                <w:rFonts w:ascii="Times New Roman" w:hAnsi="Times New Roman" w:cs="Times New Roman"/>
                <w:sz w:val="24"/>
                <w:szCs w:val="24"/>
              </w:rPr>
              <w:t>Concentrations (μg/m</w:t>
            </w:r>
            <w:r w:rsidRPr="00376F22">
              <w:rPr>
                <w:rFonts w:ascii="Times New Roman" w:hAnsi="Times New Roman" w:cs="Times New Roman"/>
                <w:sz w:val="24"/>
                <w:szCs w:val="24"/>
                <w:vertAlign w:val="superscript"/>
              </w:rPr>
              <w:t>3</w:t>
            </w:r>
            <w:r w:rsidRPr="00376F22">
              <w:rPr>
                <w:rFonts w:ascii="Times New Roman" w:hAnsi="Times New Roman" w:cs="Times New Roman"/>
                <w:sz w:val="24"/>
                <w:szCs w:val="24"/>
              </w:rPr>
              <w:t>) and compositions (%) of surface PM</w:t>
            </w:r>
            <w:r w:rsidRPr="00376F22">
              <w:rPr>
                <w:rFonts w:ascii="Times New Roman" w:hAnsi="Times New Roman" w:cs="Times New Roman"/>
                <w:sz w:val="24"/>
                <w:szCs w:val="24"/>
                <w:vertAlign w:val="subscript"/>
              </w:rPr>
              <w:t>2.5</w:t>
            </w:r>
            <w:r w:rsidRPr="00376F22">
              <w:rPr>
                <w:rFonts w:ascii="Times New Roman" w:hAnsi="Times New Roman" w:cs="Times New Roman"/>
                <w:sz w:val="24"/>
                <w:szCs w:val="24"/>
              </w:rPr>
              <w:t xml:space="preserve"> and its components in Korea </w:t>
            </w:r>
            <w:r>
              <w:rPr>
                <w:rFonts w:ascii="Times New Roman" w:hAnsi="Times New Roman" w:cs="Times New Roman"/>
                <w:sz w:val="24"/>
                <w:szCs w:val="24"/>
              </w:rPr>
              <w:t xml:space="preserve">… </w:t>
            </w:r>
            <w:r w:rsidRPr="00376F22">
              <w:rPr>
                <w:rFonts w:ascii="Times New Roman" w:hAnsi="Times New Roman" w:cs="Times New Roman"/>
                <w:sz w:val="24"/>
                <w:szCs w:val="24"/>
              </w:rPr>
              <w:t>Others: the summation of unknown</w:t>
            </w:r>
            <w:r>
              <w:rPr>
                <w:rFonts w:ascii="Times New Roman" w:hAnsi="Times New Roman" w:cs="Times New Roman"/>
                <w:sz w:val="24"/>
                <w:szCs w:val="24"/>
              </w:rPr>
              <w:t xml:space="preserve"> (undefined)</w:t>
            </w:r>
            <w:r w:rsidRPr="00376F22">
              <w:rPr>
                <w:rFonts w:ascii="Times New Roman" w:hAnsi="Times New Roman" w:cs="Times New Roman"/>
                <w:sz w:val="24"/>
                <w:szCs w:val="24"/>
              </w:rPr>
              <w:t xml:space="preserve"> PM</w:t>
            </w:r>
            <w:r w:rsidRPr="00376F22">
              <w:rPr>
                <w:rFonts w:ascii="Times New Roman" w:hAnsi="Times New Roman" w:cs="Times New Roman"/>
                <w:sz w:val="24"/>
                <w:szCs w:val="24"/>
                <w:vertAlign w:val="subscript"/>
              </w:rPr>
              <w:t>2.5</w:t>
            </w:r>
            <w:r w:rsidRPr="00376F22">
              <w:rPr>
                <w:rFonts w:ascii="Times New Roman" w:hAnsi="Times New Roman" w:cs="Times New Roman"/>
                <w:sz w:val="24"/>
                <w:szCs w:val="24"/>
              </w:rPr>
              <w:t xml:space="preserve"> species.</w:t>
            </w:r>
            <w:r>
              <w:rPr>
                <w:rFonts w:ascii="Times New Roman" w:hAnsi="Times New Roman" w:cs="Times New Roman"/>
                <w:sz w:val="24"/>
                <w:szCs w:val="24"/>
              </w:rPr>
              <w:t>”</w:t>
            </w:r>
          </w:p>
          <w:p w14:paraId="329AACCA" w14:textId="2AFDC4B3" w:rsidR="005D76EF" w:rsidRPr="00774D98" w:rsidRDefault="00217EDA" w:rsidP="00774D98">
            <w:pPr>
              <w:pStyle w:val="ListParagraph"/>
              <w:numPr>
                <w:ilvl w:val="0"/>
                <w:numId w:val="24"/>
              </w:numPr>
              <w:spacing w:line="276" w:lineRule="auto"/>
              <w:ind w:leftChars="0" w:left="312" w:hanging="284"/>
              <w:rPr>
                <w:rFonts w:ascii="Times New Roman" w:hAnsi="Times New Roman" w:cs="Times New Roman"/>
                <w:sz w:val="24"/>
                <w:szCs w:val="24"/>
              </w:rPr>
            </w:pPr>
            <w:r w:rsidRPr="00774D98">
              <w:rPr>
                <w:rFonts w:ascii="Times New Roman" w:hAnsi="Times New Roman" w:cs="Times New Roman" w:hint="eastAsia"/>
                <w:sz w:val="24"/>
                <w:szCs w:val="24"/>
              </w:rPr>
              <w:t>L</w:t>
            </w:r>
            <w:r w:rsidRPr="00774D98">
              <w:rPr>
                <w:rFonts w:ascii="Times New Roman" w:hAnsi="Times New Roman" w:cs="Times New Roman"/>
                <w:sz w:val="24"/>
                <w:szCs w:val="24"/>
              </w:rPr>
              <w:t xml:space="preserve">ines </w:t>
            </w:r>
            <w:r w:rsidR="00122E60">
              <w:rPr>
                <w:rFonts w:ascii="Times New Roman" w:hAnsi="Times New Roman" w:cs="Times New Roman"/>
                <w:sz w:val="24"/>
                <w:szCs w:val="24"/>
              </w:rPr>
              <w:t>404</w:t>
            </w:r>
            <w:r w:rsidRPr="00774D98">
              <w:rPr>
                <w:rFonts w:ascii="Times New Roman" w:hAnsi="Times New Roman" w:cs="Times New Roman"/>
                <w:sz w:val="24"/>
                <w:szCs w:val="24"/>
              </w:rPr>
              <w:t>-</w:t>
            </w:r>
            <w:r w:rsidR="00122E60">
              <w:rPr>
                <w:rFonts w:ascii="Times New Roman" w:hAnsi="Times New Roman" w:cs="Times New Roman"/>
                <w:sz w:val="24"/>
                <w:szCs w:val="24"/>
              </w:rPr>
              <w:t>415</w:t>
            </w:r>
            <w:r w:rsidRPr="00774D98">
              <w:rPr>
                <w:rFonts w:ascii="Times New Roman" w:hAnsi="Times New Roman" w:cs="Times New Roman"/>
                <w:sz w:val="24"/>
                <w:szCs w:val="24"/>
              </w:rPr>
              <w:t xml:space="preserve">: </w:t>
            </w:r>
            <w:r w:rsidR="00405EAF">
              <w:rPr>
                <w:rFonts w:ascii="Times New Roman" w:hAnsi="Times New Roman" w:cs="Times New Roman"/>
                <w:sz w:val="24"/>
                <w:szCs w:val="24"/>
              </w:rPr>
              <w:t>“</w:t>
            </w:r>
            <w:r w:rsidR="00A11467">
              <w:rPr>
                <w:rFonts w:ascii="Times New Roman" w:hAnsi="Times New Roman" w:cs="Times New Roman"/>
                <w:sz w:val="24"/>
                <w:szCs w:val="24"/>
              </w:rPr>
              <w:t>…</w:t>
            </w:r>
            <w:r w:rsidR="00A11467" w:rsidRPr="00A11467">
              <w:rPr>
                <w:rFonts w:ascii="Times New Roman" w:hAnsi="Times New Roman" w:cs="Times New Roman"/>
                <w:sz w:val="24"/>
                <w:szCs w:val="24"/>
              </w:rPr>
              <w:t xml:space="preserve">the remaining portion (46.74% on average) was mostly comprised of primary PM (36.32% on average) and some </w:t>
            </w:r>
            <w:r w:rsidR="00A11467" w:rsidRPr="00A11467">
              <w:rPr>
                <w:rFonts w:ascii="Times New Roman" w:hAnsi="Times New Roman" w:cs="Times New Roman"/>
                <w:sz w:val="24"/>
                <w:szCs w:val="24"/>
              </w:rPr>
              <w:lastRenderedPageBreak/>
              <w:t>unknown (undefined) aerosols (Table 2)</w:t>
            </w:r>
            <w:r w:rsidR="00A11467">
              <w:rPr>
                <w:rFonts w:ascii="Times New Roman" w:hAnsi="Times New Roman" w:cs="Times New Roman"/>
                <w:sz w:val="24"/>
                <w:szCs w:val="24"/>
              </w:rPr>
              <w:t xml:space="preserve">. </w:t>
            </w:r>
            <w:r w:rsidR="00405EAF" w:rsidRPr="00405EAF">
              <w:rPr>
                <w:rFonts w:ascii="Times New Roman" w:hAnsi="Times New Roman" w:cs="Times New Roman"/>
                <w:sz w:val="24"/>
                <w:szCs w:val="24"/>
              </w:rPr>
              <w:t xml:space="preserve">As both the contributions of primary and secondary aerosols to aerosol loadings were significant, we considered </w:t>
            </w:r>
            <w:r w:rsidR="00405EAF">
              <w:rPr>
                <w:rFonts w:ascii="Times New Roman" w:hAnsi="Times New Roman" w:cs="Times New Roman"/>
                <w:sz w:val="24"/>
                <w:szCs w:val="24"/>
              </w:rPr>
              <w:t>…</w:t>
            </w:r>
            <w:r w:rsidR="00405EAF" w:rsidRPr="00405EAF">
              <w:rPr>
                <w:rFonts w:ascii="Times New Roman" w:hAnsi="Times New Roman" w:cs="Times New Roman"/>
                <w:sz w:val="24"/>
                <w:szCs w:val="24"/>
              </w:rPr>
              <w:t xml:space="preserve"> that employs more comprehensive sets of top-down constraints (e.g., observational references for SO</w:t>
            </w:r>
            <w:r w:rsidR="00405EAF" w:rsidRPr="00A91FD0">
              <w:rPr>
                <w:rFonts w:ascii="Times New Roman" w:hAnsi="Times New Roman" w:cs="Times New Roman"/>
                <w:sz w:val="24"/>
                <w:szCs w:val="24"/>
                <w:vertAlign w:val="subscript"/>
              </w:rPr>
              <w:t>2</w:t>
            </w:r>
            <w:r w:rsidR="00405EAF" w:rsidRPr="00405EAF">
              <w:rPr>
                <w:rFonts w:ascii="Times New Roman" w:hAnsi="Times New Roman" w:cs="Times New Roman"/>
                <w:sz w:val="24"/>
                <w:szCs w:val="24"/>
              </w:rPr>
              <w:t xml:space="preserve"> and ammonia loadings in the troposphere).</w:t>
            </w:r>
            <w:r w:rsidR="00405EAF">
              <w:rPr>
                <w:rFonts w:ascii="Times New Roman" w:hAnsi="Times New Roman" w:cs="Times New Roman"/>
                <w:sz w:val="24"/>
                <w:szCs w:val="24"/>
              </w:rPr>
              <w:t>”</w:t>
            </w:r>
          </w:p>
        </w:tc>
      </w:tr>
    </w:tbl>
    <w:p w14:paraId="2FB88413" w14:textId="77777777" w:rsidR="00B339C9" w:rsidRPr="00EB62C8" w:rsidRDefault="00B339C9" w:rsidP="00B339C9">
      <w:pPr>
        <w:widowControl/>
        <w:wordWrap/>
        <w:autoSpaceDE/>
        <w:autoSpaceDN/>
        <w:rPr>
          <w:rFonts w:ascii="Times New Roman" w:hAnsi="Times New Roman" w:cs="Times New Roman"/>
          <w:sz w:val="24"/>
          <w:szCs w:val="24"/>
        </w:rPr>
      </w:pPr>
    </w:p>
    <w:p w14:paraId="0D13389F" w14:textId="0388DE46" w:rsidR="00B339C9" w:rsidRPr="00EB62C8" w:rsidRDefault="00B339C9" w:rsidP="00B339C9">
      <w:pPr>
        <w:pStyle w:val="ListParagraph"/>
        <w:numPr>
          <w:ilvl w:val="0"/>
          <w:numId w:val="2"/>
        </w:numPr>
        <w:spacing w:line="276" w:lineRule="auto"/>
        <w:ind w:leftChars="0"/>
        <w:rPr>
          <w:rFonts w:ascii="Times New Roman" w:hAnsi="Times New Roman" w:cs="Times New Roman"/>
          <w:sz w:val="24"/>
          <w:szCs w:val="24"/>
        </w:rPr>
      </w:pPr>
      <w:r w:rsidRPr="00EB62C8">
        <w:rPr>
          <w:rFonts w:ascii="Times New Roman" w:hAnsi="Times New Roman" w:cs="Times New Roman"/>
          <w:sz w:val="24"/>
          <w:szCs w:val="24"/>
        </w:rPr>
        <w:t>The manuscript does not show the accuracy comparison between the constrained results using GEMS-AMI-GOCI2 AOD and GOCI-AHI AOD. Is the reason why this result is not shown because there is no period during which all satellite data exist at the same time? For me, it looks that the adjusted result using GEMS-AMI-GOCI2 AOD shows the highest accuracy. I think the main reason why the GEMS-AMI-GOCI2 AOD showed the best results is the number of AOD records increased in the mixed data. Am I right? And is there any other reason? It would be nice to add a more detailed explanation of the main reason for improved results.</w:t>
      </w:r>
    </w:p>
    <w:tbl>
      <w:tblPr>
        <w:tblStyle w:val="TableGrid"/>
        <w:tblW w:w="0" w:type="auto"/>
        <w:tblInd w:w="846" w:type="dxa"/>
        <w:tblLook w:val="04A0" w:firstRow="1" w:lastRow="0" w:firstColumn="1" w:lastColumn="0" w:noHBand="0" w:noVBand="1"/>
      </w:tblPr>
      <w:tblGrid>
        <w:gridCol w:w="1283"/>
        <w:gridCol w:w="6887"/>
      </w:tblGrid>
      <w:tr w:rsidR="00B339C9" w:rsidRPr="00EB62C8" w14:paraId="6A4EA4D7" w14:textId="77777777" w:rsidTr="00BF0CC3">
        <w:tc>
          <w:tcPr>
            <w:tcW w:w="437" w:type="dxa"/>
          </w:tcPr>
          <w:p w14:paraId="356FF51E" w14:textId="165D89F1" w:rsidR="00B339C9" w:rsidRPr="00EB62C8" w:rsidRDefault="00B339C9" w:rsidP="00BF0CC3">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A</w:t>
            </w:r>
            <w:r w:rsidRPr="00EB62C8">
              <w:rPr>
                <w:rFonts w:ascii="Times New Roman" w:hAnsi="Times New Roman" w:cs="Times New Roman"/>
                <w:sz w:val="24"/>
                <w:szCs w:val="24"/>
              </w:rPr>
              <w:t>uthors</w:t>
            </w:r>
            <w:r w:rsidR="00963164">
              <w:rPr>
                <w:rFonts w:ascii="Times New Roman" w:hAnsi="Times New Roman" w:cs="Times New Roman"/>
                <w:sz w:val="24"/>
                <w:szCs w:val="24"/>
              </w:rPr>
              <w:t>’</w:t>
            </w:r>
            <w:r w:rsidRPr="00EB62C8">
              <w:rPr>
                <w:rFonts w:ascii="Times New Roman" w:hAnsi="Times New Roman" w:cs="Times New Roman"/>
                <w:sz w:val="24"/>
                <w:szCs w:val="24"/>
              </w:rPr>
              <w:t xml:space="preserve"> response</w:t>
            </w:r>
          </w:p>
        </w:tc>
        <w:tc>
          <w:tcPr>
            <w:tcW w:w="7733" w:type="dxa"/>
          </w:tcPr>
          <w:p w14:paraId="48267037" w14:textId="11246F51" w:rsidR="002F7251" w:rsidRDefault="00BB6A6E" w:rsidP="00BF0CC3">
            <w:pPr>
              <w:spacing w:line="276" w:lineRule="auto"/>
              <w:rPr>
                <w:rFonts w:ascii="Times New Roman" w:hAnsi="Times New Roman" w:cs="Times New Roman"/>
                <w:sz w:val="24"/>
                <w:szCs w:val="24"/>
              </w:rPr>
            </w:pPr>
            <w:r>
              <w:rPr>
                <w:rFonts w:ascii="Times New Roman" w:hAnsi="Times New Roman" w:cs="Times New Roman" w:hint="eastAsia"/>
                <w:sz w:val="24"/>
                <w:szCs w:val="24"/>
              </w:rPr>
              <w:t>Y</w:t>
            </w:r>
            <w:r>
              <w:rPr>
                <w:rFonts w:ascii="Times New Roman" w:hAnsi="Times New Roman" w:cs="Times New Roman"/>
                <w:sz w:val="24"/>
                <w:szCs w:val="24"/>
              </w:rPr>
              <w:t>es, as you have mentioned above, the use of GEMS-AMI-GOCI-2 AOD seemed most effective in reducing the model bias</w:t>
            </w:r>
            <w:r w:rsidR="002F7251">
              <w:rPr>
                <w:rFonts w:ascii="Times New Roman" w:hAnsi="Times New Roman" w:cs="Times New Roman"/>
                <w:sz w:val="24"/>
                <w:szCs w:val="24"/>
              </w:rPr>
              <w:t>,</w:t>
            </w:r>
            <w:r>
              <w:rPr>
                <w:rFonts w:ascii="Times New Roman" w:hAnsi="Times New Roman" w:cs="Times New Roman"/>
                <w:sz w:val="24"/>
                <w:szCs w:val="24"/>
              </w:rPr>
              <w:t xml:space="preserve"> and this was considered to be caused by the </w:t>
            </w:r>
            <w:r w:rsidR="002F7251">
              <w:rPr>
                <w:rFonts w:ascii="Times New Roman" w:hAnsi="Times New Roman" w:cs="Times New Roman"/>
                <w:sz w:val="24"/>
                <w:szCs w:val="24"/>
              </w:rPr>
              <w:t>more information available for use (i.e., the number of AOD records).</w:t>
            </w:r>
          </w:p>
          <w:p w14:paraId="5F0826C4" w14:textId="4FD15C55" w:rsidR="002F7251" w:rsidRDefault="002F7251" w:rsidP="00BF0CC3">
            <w:pPr>
              <w:spacing w:line="276" w:lineRule="auto"/>
              <w:rPr>
                <w:rFonts w:ascii="Times New Roman" w:hAnsi="Times New Roman" w:cs="Times New Roman"/>
                <w:sz w:val="24"/>
                <w:szCs w:val="24"/>
              </w:rPr>
            </w:pPr>
          </w:p>
          <w:p w14:paraId="690EDAA4" w14:textId="51EF2DF4" w:rsidR="000E1EF4" w:rsidRDefault="002F7251" w:rsidP="00BF0CC3">
            <w:pPr>
              <w:spacing w:line="276" w:lineRule="auto"/>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 xml:space="preserve">o better support this reasoning, it was desirable to </w:t>
            </w:r>
            <w:r w:rsidR="000E1EF4">
              <w:rPr>
                <w:rFonts w:ascii="Times New Roman" w:hAnsi="Times New Roman" w:cs="Times New Roman"/>
                <w:sz w:val="24"/>
                <w:szCs w:val="24"/>
              </w:rPr>
              <w:t xml:space="preserve">either 1) </w:t>
            </w:r>
            <w:r>
              <w:rPr>
                <w:rFonts w:ascii="Times New Roman" w:hAnsi="Times New Roman" w:cs="Times New Roman"/>
                <w:sz w:val="24"/>
                <w:szCs w:val="24"/>
              </w:rPr>
              <w:t xml:space="preserve">compare the amount of information (i.e., the number of AOD records) afforded by </w:t>
            </w:r>
            <w:r w:rsidR="000E1EF4">
              <w:rPr>
                <w:rFonts w:ascii="Times New Roman" w:hAnsi="Times New Roman" w:cs="Times New Roman"/>
                <w:sz w:val="24"/>
                <w:szCs w:val="24"/>
              </w:rPr>
              <w:t xml:space="preserve">2022 </w:t>
            </w:r>
            <w:r>
              <w:rPr>
                <w:rFonts w:ascii="Times New Roman" w:hAnsi="Times New Roman" w:cs="Times New Roman"/>
                <w:sz w:val="24"/>
                <w:szCs w:val="24"/>
              </w:rPr>
              <w:t>GEMS AOD (</w:t>
            </w:r>
            <w:r w:rsidR="000E1EF4">
              <w:rPr>
                <w:rFonts w:ascii="Times New Roman" w:hAnsi="Times New Roman" w:cs="Times New Roman"/>
                <w:sz w:val="24"/>
                <w:szCs w:val="24"/>
              </w:rPr>
              <w:t xml:space="preserve">2019 </w:t>
            </w:r>
            <w:r>
              <w:rPr>
                <w:rFonts w:ascii="Times New Roman" w:hAnsi="Times New Roman" w:cs="Times New Roman"/>
                <w:sz w:val="24"/>
                <w:szCs w:val="24"/>
              </w:rPr>
              <w:t xml:space="preserve">AHI AOD was the proxy of it earlier) versus that afforded by </w:t>
            </w:r>
            <w:r w:rsidR="000E1EF4">
              <w:rPr>
                <w:rFonts w:ascii="Times New Roman" w:hAnsi="Times New Roman" w:cs="Times New Roman"/>
                <w:sz w:val="24"/>
                <w:szCs w:val="24"/>
              </w:rPr>
              <w:t xml:space="preserve">2022 </w:t>
            </w:r>
            <w:r>
              <w:rPr>
                <w:rFonts w:ascii="Times New Roman" w:hAnsi="Times New Roman" w:cs="Times New Roman"/>
                <w:sz w:val="24"/>
                <w:szCs w:val="24"/>
              </w:rPr>
              <w:t>GEMS-AMI-GOCI-2 AOD (</w:t>
            </w:r>
            <w:r w:rsidR="000E1EF4">
              <w:rPr>
                <w:rFonts w:ascii="Times New Roman" w:hAnsi="Times New Roman" w:cs="Times New Roman"/>
                <w:sz w:val="24"/>
                <w:szCs w:val="24"/>
              </w:rPr>
              <w:t xml:space="preserve">2019 </w:t>
            </w:r>
            <w:r>
              <w:rPr>
                <w:rFonts w:ascii="Times New Roman" w:hAnsi="Times New Roman" w:cs="Times New Roman"/>
                <w:sz w:val="24"/>
                <w:szCs w:val="24"/>
              </w:rPr>
              <w:t>GOCI-AHI AOD was the proxy)</w:t>
            </w:r>
            <w:r w:rsidR="000E1EF4">
              <w:rPr>
                <w:rFonts w:ascii="Times New Roman" w:hAnsi="Times New Roman" w:cs="Times New Roman"/>
                <w:sz w:val="24"/>
                <w:szCs w:val="24"/>
              </w:rPr>
              <w:t>, or 2) compare those afforded by 2019 GOCI-AHI AOD and 2022 GEMS-AMI-GOCI-2 AOD each other.</w:t>
            </w:r>
          </w:p>
          <w:p w14:paraId="21BF6D7C" w14:textId="77777777" w:rsidR="000E1EF4" w:rsidRDefault="000E1EF4" w:rsidP="00BF0CC3">
            <w:pPr>
              <w:spacing w:line="276" w:lineRule="auto"/>
              <w:rPr>
                <w:rFonts w:ascii="Times New Roman" w:hAnsi="Times New Roman" w:cs="Times New Roman"/>
                <w:sz w:val="24"/>
                <w:szCs w:val="24"/>
              </w:rPr>
            </w:pPr>
          </w:p>
          <w:p w14:paraId="231B5312" w14:textId="68AB2633" w:rsidR="000E1EF4" w:rsidRPr="00EB62C8" w:rsidRDefault="002F7251" w:rsidP="00235270">
            <w:pPr>
              <w:spacing w:line="276" w:lineRule="auto"/>
              <w:rPr>
                <w:rFonts w:ascii="Times New Roman" w:hAnsi="Times New Roman" w:cs="Times New Roman"/>
                <w:sz w:val="24"/>
                <w:szCs w:val="24"/>
              </w:rPr>
            </w:pPr>
            <w:r>
              <w:rPr>
                <w:rFonts w:ascii="Times New Roman" w:hAnsi="Times New Roman" w:cs="Times New Roman"/>
                <w:sz w:val="24"/>
                <w:szCs w:val="24"/>
              </w:rPr>
              <w:t>Unfortunately</w:t>
            </w:r>
            <w:r>
              <w:rPr>
                <w:rFonts w:ascii="Times New Roman" w:hAnsi="Times New Roman" w:cs="Times New Roman" w:hint="eastAsia"/>
                <w:sz w:val="24"/>
                <w:szCs w:val="24"/>
              </w:rPr>
              <w:t>,</w:t>
            </w:r>
            <w:r>
              <w:rPr>
                <w:rFonts w:ascii="Times New Roman" w:hAnsi="Times New Roman" w:cs="Times New Roman"/>
                <w:sz w:val="24"/>
                <w:szCs w:val="24"/>
              </w:rPr>
              <w:t xml:space="preserve"> </w:t>
            </w:r>
            <w:r w:rsidR="00AC418D">
              <w:rPr>
                <w:rFonts w:ascii="Times New Roman" w:hAnsi="Times New Roman" w:cs="Times New Roman"/>
                <w:sz w:val="24"/>
                <w:szCs w:val="24"/>
              </w:rPr>
              <w:t>n</w:t>
            </w:r>
            <w:r w:rsidR="000E1EF4">
              <w:rPr>
                <w:rFonts w:ascii="Times New Roman" w:hAnsi="Times New Roman" w:cs="Times New Roman"/>
                <w:sz w:val="24"/>
                <w:szCs w:val="24"/>
              </w:rPr>
              <w:t xml:space="preserve">either approach was available </w:t>
            </w:r>
            <w:r w:rsidR="00AC418D">
              <w:rPr>
                <w:rFonts w:ascii="Times New Roman" w:hAnsi="Times New Roman" w:cs="Times New Roman"/>
                <w:sz w:val="24"/>
                <w:szCs w:val="24"/>
              </w:rPr>
              <w:t>for this study.</w:t>
            </w:r>
            <w:r w:rsidR="00AC418D">
              <w:rPr>
                <w:rFonts w:ascii="Times New Roman" w:hAnsi="Times New Roman" w:cs="Times New Roman" w:hint="eastAsia"/>
                <w:sz w:val="24"/>
                <w:szCs w:val="24"/>
              </w:rPr>
              <w:t xml:space="preserve"> </w:t>
            </w:r>
            <w:r w:rsidR="00AC418D">
              <w:rPr>
                <w:rFonts w:ascii="Times New Roman" w:hAnsi="Times New Roman" w:cs="Times New Roman"/>
                <w:sz w:val="24"/>
                <w:szCs w:val="24"/>
              </w:rPr>
              <w:t xml:space="preserve">The 2019 </w:t>
            </w:r>
            <w:r w:rsidR="00BB6A6E" w:rsidRPr="00BB6A6E">
              <w:rPr>
                <w:rFonts w:ascii="Times New Roman" w:hAnsi="Times New Roman" w:cs="Times New Roman"/>
                <w:sz w:val="24"/>
                <w:szCs w:val="24"/>
              </w:rPr>
              <w:t xml:space="preserve">GOCI-AHI AOD product used earlier was served as a prototype for the development of the </w:t>
            </w:r>
            <w:r w:rsidR="00AC418D">
              <w:rPr>
                <w:rFonts w:ascii="Times New Roman" w:hAnsi="Times New Roman" w:cs="Times New Roman"/>
                <w:sz w:val="24"/>
                <w:szCs w:val="24"/>
              </w:rPr>
              <w:t xml:space="preserve">2022 </w:t>
            </w:r>
            <w:r w:rsidR="00BB6A6E" w:rsidRPr="00BB6A6E">
              <w:rPr>
                <w:rFonts w:ascii="Times New Roman" w:hAnsi="Times New Roman" w:cs="Times New Roman"/>
                <w:sz w:val="24"/>
                <w:szCs w:val="24"/>
              </w:rPr>
              <w:t>GEMS-AMI-GOCI-2 AOD product</w:t>
            </w:r>
            <w:r w:rsidR="00AC418D">
              <w:rPr>
                <w:rFonts w:ascii="Times New Roman" w:hAnsi="Times New Roman" w:cs="Times New Roman"/>
                <w:sz w:val="24"/>
                <w:szCs w:val="24"/>
              </w:rPr>
              <w:t xml:space="preserve"> (t</w:t>
            </w:r>
            <w:r w:rsidR="00BB6A6E" w:rsidRPr="00BB6A6E">
              <w:rPr>
                <w:rFonts w:ascii="Times New Roman" w:hAnsi="Times New Roman" w:cs="Times New Roman"/>
                <w:sz w:val="24"/>
                <w:szCs w:val="24"/>
              </w:rPr>
              <w:t>he production of the GOCI-AHI AOD product has been discontinued, and it is currently only available for research purposes for the year 2019</w:t>
            </w:r>
            <w:r w:rsidR="00AC418D">
              <w:rPr>
                <w:rFonts w:ascii="Times New Roman" w:hAnsi="Times New Roman" w:cs="Times New Roman"/>
                <w:sz w:val="24"/>
                <w:szCs w:val="24"/>
              </w:rPr>
              <w:t>)</w:t>
            </w:r>
            <w:r w:rsidR="00BB6A6E" w:rsidRPr="00BB6A6E">
              <w:rPr>
                <w:rFonts w:ascii="Times New Roman" w:hAnsi="Times New Roman" w:cs="Times New Roman"/>
                <w:sz w:val="24"/>
                <w:szCs w:val="24"/>
              </w:rPr>
              <w:t>.</w:t>
            </w:r>
            <w:r w:rsidR="000E1EF4">
              <w:rPr>
                <w:rFonts w:ascii="Times New Roman" w:hAnsi="Times New Roman" w:cs="Times New Roman"/>
                <w:sz w:val="24"/>
                <w:szCs w:val="24"/>
              </w:rPr>
              <w:t xml:space="preserve"> Also, the GEMS AOD product </w:t>
            </w:r>
            <w:r w:rsidR="00C2168E">
              <w:rPr>
                <w:rFonts w:ascii="Times New Roman" w:hAnsi="Times New Roman" w:cs="Times New Roman"/>
                <w:sz w:val="24"/>
                <w:szCs w:val="24"/>
              </w:rPr>
              <w:t xml:space="preserve">and its </w:t>
            </w:r>
            <w:r w:rsidR="000E1EF4">
              <w:rPr>
                <w:rFonts w:ascii="Times New Roman" w:hAnsi="Times New Roman" w:cs="Times New Roman"/>
                <w:sz w:val="24"/>
                <w:szCs w:val="24"/>
              </w:rPr>
              <w:t xml:space="preserve">algorithms </w:t>
            </w:r>
            <w:r w:rsidR="00C2168E">
              <w:rPr>
                <w:rFonts w:ascii="Times New Roman" w:hAnsi="Times New Roman" w:cs="Times New Roman"/>
                <w:sz w:val="24"/>
                <w:szCs w:val="24"/>
              </w:rPr>
              <w:t xml:space="preserve">are </w:t>
            </w:r>
            <w:r w:rsidR="000E1EF4">
              <w:rPr>
                <w:rFonts w:ascii="Times New Roman" w:hAnsi="Times New Roman" w:cs="Times New Roman"/>
                <w:sz w:val="24"/>
                <w:szCs w:val="24"/>
              </w:rPr>
              <w:t xml:space="preserve">currently </w:t>
            </w:r>
            <w:r w:rsidR="00C2168E">
              <w:rPr>
                <w:rFonts w:ascii="Times New Roman" w:hAnsi="Times New Roman" w:cs="Times New Roman"/>
                <w:sz w:val="24"/>
                <w:szCs w:val="24"/>
              </w:rPr>
              <w:t xml:space="preserve">on their </w:t>
            </w:r>
            <w:r w:rsidR="000E1EF4">
              <w:rPr>
                <w:rFonts w:ascii="Times New Roman" w:hAnsi="Times New Roman" w:cs="Times New Roman"/>
                <w:sz w:val="24"/>
                <w:szCs w:val="24"/>
              </w:rPr>
              <w:t>development</w:t>
            </w:r>
            <w:r w:rsidR="00C2168E">
              <w:rPr>
                <w:rFonts w:ascii="Times New Roman" w:hAnsi="Times New Roman" w:cs="Times New Roman"/>
                <w:sz w:val="24"/>
                <w:szCs w:val="24"/>
              </w:rPr>
              <w:t xml:space="preserve"> stages (2-D rendered products are available for the general public) according to the </w:t>
            </w:r>
            <w:r w:rsidR="000E1EF4">
              <w:rPr>
                <w:rFonts w:ascii="Times New Roman" w:hAnsi="Times New Roman" w:cs="Times New Roman"/>
                <w:sz w:val="24"/>
                <w:szCs w:val="24"/>
              </w:rPr>
              <w:t>data provider (NIER)</w:t>
            </w:r>
            <w:r w:rsidR="00235270">
              <w:rPr>
                <w:rFonts w:ascii="Times New Roman" w:hAnsi="Times New Roman" w:cs="Times New Roman"/>
                <w:sz w:val="24"/>
                <w:szCs w:val="24"/>
              </w:rPr>
              <w:t>.</w:t>
            </w:r>
          </w:p>
        </w:tc>
      </w:tr>
      <w:tr w:rsidR="00B339C9" w:rsidRPr="00EB62C8" w14:paraId="4AF8BD28" w14:textId="77777777" w:rsidTr="00BF0CC3">
        <w:tc>
          <w:tcPr>
            <w:tcW w:w="437" w:type="dxa"/>
          </w:tcPr>
          <w:p w14:paraId="6616BAFF" w14:textId="77777777" w:rsidR="00B339C9" w:rsidRPr="00EB62C8" w:rsidRDefault="00B339C9" w:rsidP="00BF0CC3">
            <w:pPr>
              <w:spacing w:line="276" w:lineRule="auto"/>
              <w:rPr>
                <w:rFonts w:ascii="Times New Roman" w:hAnsi="Times New Roman" w:cs="Times New Roman"/>
                <w:sz w:val="24"/>
                <w:szCs w:val="24"/>
              </w:rPr>
            </w:pPr>
            <w:r w:rsidRPr="00EB62C8">
              <w:rPr>
                <w:rFonts w:ascii="Times New Roman" w:hAnsi="Times New Roman" w:cs="Times New Roman" w:hint="eastAsia"/>
                <w:sz w:val="24"/>
                <w:szCs w:val="24"/>
              </w:rPr>
              <w:t>C</w:t>
            </w:r>
            <w:r w:rsidRPr="00EB62C8">
              <w:rPr>
                <w:rFonts w:ascii="Times New Roman" w:hAnsi="Times New Roman" w:cs="Times New Roman"/>
                <w:sz w:val="24"/>
                <w:szCs w:val="24"/>
              </w:rPr>
              <w:t>hanges in manuscript</w:t>
            </w:r>
          </w:p>
        </w:tc>
        <w:tc>
          <w:tcPr>
            <w:tcW w:w="7733" w:type="dxa"/>
          </w:tcPr>
          <w:p w14:paraId="1110C240" w14:textId="7610137F" w:rsidR="00B339C9" w:rsidRPr="00EB62C8" w:rsidRDefault="00235270" w:rsidP="00BF0CC3">
            <w:pPr>
              <w:pStyle w:val="ListParagraph"/>
              <w:numPr>
                <w:ilvl w:val="0"/>
                <w:numId w:val="22"/>
              </w:numPr>
              <w:spacing w:line="276" w:lineRule="auto"/>
              <w:ind w:leftChars="0" w:left="305" w:hanging="258"/>
              <w:rPr>
                <w:rFonts w:ascii="Times New Roman" w:hAnsi="Times New Roman" w:cs="Times New Roman"/>
                <w:sz w:val="24"/>
                <w:szCs w:val="24"/>
              </w:rPr>
            </w:pPr>
            <w:r>
              <w:rPr>
                <w:rFonts w:ascii="Times New Roman" w:hAnsi="Times New Roman" w:cs="Times New Roman"/>
                <w:sz w:val="24"/>
                <w:szCs w:val="24"/>
              </w:rPr>
              <w:t>Lines 4</w:t>
            </w:r>
            <w:r w:rsidR="00122E60">
              <w:rPr>
                <w:rFonts w:ascii="Times New Roman" w:hAnsi="Times New Roman" w:cs="Times New Roman"/>
                <w:sz w:val="24"/>
                <w:szCs w:val="24"/>
              </w:rPr>
              <w:t>63</w:t>
            </w:r>
            <w:r>
              <w:rPr>
                <w:rFonts w:ascii="Times New Roman" w:hAnsi="Times New Roman" w:cs="Times New Roman"/>
                <w:sz w:val="24"/>
                <w:szCs w:val="24"/>
              </w:rPr>
              <w:t>-4</w:t>
            </w:r>
            <w:r w:rsidR="00122E60">
              <w:rPr>
                <w:rFonts w:ascii="Times New Roman" w:hAnsi="Times New Roman" w:cs="Times New Roman"/>
                <w:sz w:val="24"/>
                <w:szCs w:val="24"/>
              </w:rPr>
              <w:t>65</w:t>
            </w:r>
            <w:r>
              <w:rPr>
                <w:rFonts w:ascii="Times New Roman" w:hAnsi="Times New Roman" w:cs="Times New Roman"/>
                <w:sz w:val="24"/>
                <w:szCs w:val="24"/>
              </w:rPr>
              <w:t>: “</w:t>
            </w:r>
            <w:r w:rsidRPr="00235270">
              <w:rPr>
                <w:rFonts w:ascii="Times New Roman" w:hAnsi="Times New Roman" w:cs="Times New Roman"/>
                <w:sz w:val="24"/>
                <w:szCs w:val="24"/>
              </w:rPr>
              <w:t xml:space="preserve">Note that the GOCI-AHI AOD product used earlier was served as a prototype </w:t>
            </w:r>
            <w:r>
              <w:rPr>
                <w:rFonts w:ascii="Times New Roman" w:hAnsi="Times New Roman" w:cs="Times New Roman"/>
                <w:sz w:val="24"/>
                <w:szCs w:val="24"/>
              </w:rPr>
              <w:t>…</w:t>
            </w:r>
            <w:r w:rsidRPr="00235270">
              <w:rPr>
                <w:rFonts w:ascii="Times New Roman" w:hAnsi="Times New Roman" w:cs="Times New Roman"/>
                <w:sz w:val="24"/>
                <w:szCs w:val="24"/>
              </w:rPr>
              <w:t xml:space="preserve"> discontinued, and it is currently only available for research purposes for the year 2019.</w:t>
            </w:r>
            <w:r>
              <w:rPr>
                <w:rFonts w:ascii="Times New Roman" w:hAnsi="Times New Roman" w:cs="Times New Roman"/>
                <w:sz w:val="24"/>
                <w:szCs w:val="24"/>
              </w:rPr>
              <w:t>”</w:t>
            </w:r>
          </w:p>
        </w:tc>
      </w:tr>
    </w:tbl>
    <w:p w14:paraId="608E2D16" w14:textId="77777777" w:rsidR="00B42C74" w:rsidRDefault="00B42C74" w:rsidP="00B339C9">
      <w:pPr>
        <w:widowControl/>
        <w:wordWrap/>
        <w:autoSpaceDE/>
        <w:autoSpaceDN/>
        <w:rPr>
          <w:rFonts w:ascii="Times New Roman" w:hAnsi="Times New Roman" w:cs="Times New Roman"/>
          <w:b/>
          <w:bCs/>
          <w:sz w:val="24"/>
          <w:szCs w:val="24"/>
        </w:rPr>
      </w:pPr>
    </w:p>
    <w:p w14:paraId="3025FA42" w14:textId="77777777" w:rsidR="00B42C74" w:rsidRDefault="00B42C74">
      <w:pPr>
        <w:widowControl/>
        <w:wordWrap/>
        <w:autoSpaceDE/>
        <w:autoSpaceDN/>
        <w:rPr>
          <w:rFonts w:ascii="Times New Roman" w:hAnsi="Times New Roman" w:cs="Times New Roman"/>
          <w:b/>
          <w:bCs/>
          <w:sz w:val="24"/>
          <w:szCs w:val="24"/>
        </w:rPr>
      </w:pPr>
      <w:r>
        <w:rPr>
          <w:rFonts w:ascii="Times New Roman" w:hAnsi="Times New Roman" w:cs="Times New Roman"/>
          <w:b/>
          <w:bCs/>
          <w:sz w:val="24"/>
          <w:szCs w:val="24"/>
        </w:rPr>
        <w:br w:type="page"/>
      </w:r>
    </w:p>
    <w:p w14:paraId="586454B4" w14:textId="496483ED" w:rsidR="00B339C9" w:rsidRPr="001D07AA" w:rsidRDefault="001D07AA" w:rsidP="00B339C9">
      <w:pPr>
        <w:widowControl/>
        <w:wordWrap/>
        <w:autoSpaceDE/>
        <w:autoSpaceDN/>
        <w:rPr>
          <w:rFonts w:ascii="Times New Roman" w:hAnsi="Times New Roman" w:cs="Times New Roman"/>
          <w:b/>
          <w:bCs/>
          <w:sz w:val="24"/>
          <w:szCs w:val="24"/>
        </w:rPr>
      </w:pPr>
      <w:r w:rsidRPr="001D07AA">
        <w:rPr>
          <w:rFonts w:ascii="Times New Roman" w:hAnsi="Times New Roman" w:cs="Times New Roman" w:hint="eastAsia"/>
          <w:b/>
          <w:bCs/>
          <w:sz w:val="24"/>
          <w:szCs w:val="24"/>
        </w:rPr>
        <w:lastRenderedPageBreak/>
        <w:t>R</w:t>
      </w:r>
      <w:r w:rsidRPr="001D07AA">
        <w:rPr>
          <w:rFonts w:ascii="Times New Roman" w:hAnsi="Times New Roman" w:cs="Times New Roman"/>
          <w:b/>
          <w:bCs/>
          <w:sz w:val="24"/>
          <w:szCs w:val="24"/>
        </w:rPr>
        <w:t>eferences</w:t>
      </w:r>
    </w:p>
    <w:p w14:paraId="0D5F9947" w14:textId="77777777" w:rsidR="000C5FA8" w:rsidRDefault="001D07AA" w:rsidP="000C5FA8">
      <w:pPr>
        <w:widowControl/>
        <w:wordWrap/>
        <w:autoSpaceDE/>
        <w:autoSpaceDN/>
        <w:ind w:left="425" w:hangingChars="177" w:hanging="425"/>
        <w:rPr>
          <w:rFonts w:ascii="Times New Roman" w:hAnsi="Times New Roman" w:cs="Times New Roman"/>
          <w:sz w:val="24"/>
          <w:szCs w:val="24"/>
        </w:rPr>
      </w:pPr>
      <w:r w:rsidRPr="001D07AA">
        <w:rPr>
          <w:rFonts w:ascii="Times New Roman" w:hAnsi="Times New Roman" w:cs="Times New Roman"/>
          <w:sz w:val="24"/>
          <w:szCs w:val="24"/>
        </w:rPr>
        <w:t xml:space="preserve">Malm, W. C., J. F. Sisler, D. Huffman, R. A. Eldred, </w:t>
      </w:r>
      <w:r w:rsidR="002B0B86">
        <w:rPr>
          <w:rFonts w:ascii="Times New Roman" w:hAnsi="Times New Roman" w:cs="Times New Roman"/>
          <w:sz w:val="24"/>
          <w:szCs w:val="24"/>
        </w:rPr>
        <w:t xml:space="preserve">&amp; </w:t>
      </w:r>
      <w:r w:rsidRPr="001D07AA">
        <w:rPr>
          <w:rFonts w:ascii="Times New Roman" w:hAnsi="Times New Roman" w:cs="Times New Roman"/>
          <w:sz w:val="24"/>
          <w:szCs w:val="24"/>
        </w:rPr>
        <w:t xml:space="preserve"> T. A. Cahill</w:t>
      </w:r>
      <w:r w:rsidR="002B0B86">
        <w:rPr>
          <w:rFonts w:ascii="Times New Roman" w:hAnsi="Times New Roman" w:cs="Times New Roman"/>
          <w:sz w:val="24"/>
          <w:szCs w:val="24"/>
        </w:rPr>
        <w:t>. (1994).</w:t>
      </w:r>
      <w:r>
        <w:rPr>
          <w:rFonts w:ascii="Times New Roman" w:hAnsi="Times New Roman" w:cs="Times New Roman" w:hint="eastAsia"/>
          <w:sz w:val="24"/>
          <w:szCs w:val="24"/>
        </w:rPr>
        <w:t xml:space="preserve"> </w:t>
      </w:r>
      <w:r w:rsidRPr="001D07AA">
        <w:rPr>
          <w:rFonts w:ascii="Times New Roman" w:hAnsi="Times New Roman" w:cs="Times New Roman"/>
          <w:sz w:val="24"/>
          <w:szCs w:val="24"/>
        </w:rPr>
        <w:t>Spatial and seasonal trends in particle concentration and optical extinction</w:t>
      </w:r>
      <w:r>
        <w:rPr>
          <w:rFonts w:ascii="Times New Roman" w:hAnsi="Times New Roman" w:cs="Times New Roman" w:hint="eastAsia"/>
          <w:sz w:val="24"/>
          <w:szCs w:val="24"/>
        </w:rPr>
        <w:t xml:space="preserve"> </w:t>
      </w:r>
      <w:r w:rsidRPr="001D07AA">
        <w:rPr>
          <w:rFonts w:ascii="Times New Roman" w:hAnsi="Times New Roman" w:cs="Times New Roman"/>
          <w:sz w:val="24"/>
          <w:szCs w:val="24"/>
        </w:rPr>
        <w:t xml:space="preserve">in the United States, </w:t>
      </w:r>
      <w:r w:rsidRPr="001D07AA">
        <w:rPr>
          <w:rFonts w:ascii="Times New Roman" w:hAnsi="Times New Roman" w:cs="Times New Roman"/>
          <w:i/>
          <w:iCs/>
          <w:sz w:val="24"/>
          <w:szCs w:val="24"/>
        </w:rPr>
        <w:t>J. Geophys. Res.</w:t>
      </w:r>
      <w:r w:rsidRPr="001D07AA">
        <w:rPr>
          <w:rFonts w:ascii="Times New Roman" w:hAnsi="Times New Roman" w:cs="Times New Roman"/>
          <w:sz w:val="24"/>
          <w:szCs w:val="24"/>
        </w:rPr>
        <w:t>, 99, 1347–1370</w:t>
      </w:r>
    </w:p>
    <w:p w14:paraId="2DAD94EF" w14:textId="4EB9FCE7" w:rsidR="000C5FA8" w:rsidRDefault="002B0B86" w:rsidP="000C5FA8">
      <w:pPr>
        <w:widowControl/>
        <w:wordWrap/>
        <w:autoSpaceDE/>
        <w:autoSpaceDN/>
        <w:ind w:left="425" w:hangingChars="177" w:hanging="425"/>
        <w:rPr>
          <w:rFonts w:ascii="Times New Roman" w:hAnsi="Times New Roman" w:cs="Times New Roman"/>
          <w:sz w:val="24"/>
          <w:szCs w:val="24"/>
        </w:rPr>
      </w:pPr>
      <w:r w:rsidRPr="002B0B86">
        <w:rPr>
          <w:rFonts w:ascii="Times New Roman" w:hAnsi="Times New Roman" w:cs="Times New Roman"/>
          <w:sz w:val="24"/>
          <w:szCs w:val="24"/>
        </w:rPr>
        <w:t xml:space="preserve">Binkowski, F. S., &amp; Roselle, S. J. (2003). Models-3 Community Multiscale Air Quality (CMAQ) model aerosol component 1. Model description. Journal of Geophysical Research: Atmospheres, 108(D6). </w:t>
      </w:r>
      <w:hyperlink r:id="rId7" w:history="1">
        <w:r w:rsidR="000C5FA8" w:rsidRPr="006218A4">
          <w:rPr>
            <w:rStyle w:val="Hyperlink"/>
            <w:rFonts w:ascii="Times New Roman" w:hAnsi="Times New Roman" w:cs="Times New Roman"/>
            <w:sz w:val="24"/>
            <w:szCs w:val="24"/>
          </w:rPr>
          <w:t>https://doi.org/10.1029/2001JD001409</w:t>
        </w:r>
      </w:hyperlink>
    </w:p>
    <w:p w14:paraId="4A76670A" w14:textId="2748C4AB" w:rsidR="002B0B86" w:rsidRDefault="00322626" w:rsidP="000C5FA8">
      <w:pPr>
        <w:widowControl/>
        <w:wordWrap/>
        <w:autoSpaceDE/>
        <w:autoSpaceDN/>
        <w:ind w:left="425" w:hangingChars="177" w:hanging="425"/>
        <w:rPr>
          <w:rFonts w:ascii="Times New Roman" w:hAnsi="Times New Roman" w:cs="Times New Roman"/>
          <w:sz w:val="24"/>
          <w:szCs w:val="24"/>
        </w:rPr>
      </w:pPr>
      <w:r w:rsidRPr="00322626">
        <w:rPr>
          <w:rFonts w:ascii="Times New Roman" w:hAnsi="Times New Roman" w:cs="Times New Roman"/>
          <w:sz w:val="24"/>
          <w:szCs w:val="24"/>
        </w:rPr>
        <w:t>Crippa, M., Janssens-Maenhout, G., Guizzardi, D., Van Dingenen, R., &amp; Dentener, F. (2019). Contribution and uncertainty of sectorial and regional emissions to regional and global PM2.5 health impacts. Atmospheric Chemistry and Physics, 19(7), 5165–5186. https://doi.org/10.5194/acp-19-5165-2019</w:t>
      </w:r>
    </w:p>
    <w:p w14:paraId="64B0F991" w14:textId="77777777" w:rsidR="00322626" w:rsidRPr="00EB62C8" w:rsidRDefault="00322626" w:rsidP="001D07AA">
      <w:pPr>
        <w:widowControl/>
        <w:wordWrap/>
        <w:autoSpaceDE/>
        <w:autoSpaceDN/>
        <w:rPr>
          <w:rFonts w:ascii="Times New Roman" w:hAnsi="Times New Roman" w:cs="Times New Roman"/>
          <w:sz w:val="24"/>
          <w:szCs w:val="24"/>
        </w:rPr>
      </w:pPr>
    </w:p>
    <w:sectPr w:rsidR="00322626" w:rsidRPr="00EB62C8" w:rsidSect="008E3184">
      <w:pgSz w:w="11906" w:h="16838"/>
      <w:pgMar w:top="1440"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56C8" w14:textId="77777777" w:rsidR="00CD782E" w:rsidRDefault="00CD782E" w:rsidP="005D76EF">
      <w:pPr>
        <w:spacing w:after="0" w:line="240" w:lineRule="auto"/>
      </w:pPr>
      <w:r>
        <w:separator/>
      </w:r>
    </w:p>
  </w:endnote>
  <w:endnote w:type="continuationSeparator" w:id="0">
    <w:p w14:paraId="6B2B698C" w14:textId="77777777" w:rsidR="00CD782E" w:rsidRDefault="00CD782E" w:rsidP="005D7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3E72C" w14:textId="77777777" w:rsidR="00CD782E" w:rsidRDefault="00CD782E" w:rsidP="005D76EF">
      <w:pPr>
        <w:spacing w:after="0" w:line="240" w:lineRule="auto"/>
      </w:pPr>
      <w:r>
        <w:separator/>
      </w:r>
    </w:p>
  </w:footnote>
  <w:footnote w:type="continuationSeparator" w:id="0">
    <w:p w14:paraId="4BDC102B" w14:textId="77777777" w:rsidR="00CD782E" w:rsidRDefault="00CD782E" w:rsidP="005D7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16261A"/>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9E28EB"/>
    <w:multiLevelType w:val="hybridMultilevel"/>
    <w:tmpl w:val="D0BC755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0106462"/>
    <w:multiLevelType w:val="hybridMultilevel"/>
    <w:tmpl w:val="07E09AC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15771B9"/>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29230B9"/>
    <w:multiLevelType w:val="hybridMultilevel"/>
    <w:tmpl w:val="DF101DB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B681735"/>
    <w:multiLevelType w:val="hybridMultilevel"/>
    <w:tmpl w:val="230CE80C"/>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E2B1227"/>
    <w:multiLevelType w:val="hybridMultilevel"/>
    <w:tmpl w:val="3634B99E"/>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27563D84"/>
    <w:multiLevelType w:val="hybridMultilevel"/>
    <w:tmpl w:val="499A0ADE"/>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A1517AF"/>
    <w:multiLevelType w:val="hybridMultilevel"/>
    <w:tmpl w:val="AED80F4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06A54A2"/>
    <w:multiLevelType w:val="hybridMultilevel"/>
    <w:tmpl w:val="184699F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8646F87"/>
    <w:multiLevelType w:val="hybridMultilevel"/>
    <w:tmpl w:val="E02A6B80"/>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BDC0282"/>
    <w:multiLevelType w:val="hybridMultilevel"/>
    <w:tmpl w:val="BE44B5E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425647F"/>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59BB2A71"/>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CE91891"/>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5E790A4A"/>
    <w:multiLevelType w:val="hybridMultilevel"/>
    <w:tmpl w:val="8314350A"/>
    <w:lvl w:ilvl="0" w:tplc="F4786A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3F15203"/>
    <w:multiLevelType w:val="hybridMultilevel"/>
    <w:tmpl w:val="29BA3AF8"/>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65594F14"/>
    <w:multiLevelType w:val="hybridMultilevel"/>
    <w:tmpl w:val="7EB08F6E"/>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66174987"/>
    <w:multiLevelType w:val="hybridMultilevel"/>
    <w:tmpl w:val="E2624FA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7946CDD"/>
    <w:multiLevelType w:val="hybridMultilevel"/>
    <w:tmpl w:val="5734E79C"/>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686B27F5"/>
    <w:multiLevelType w:val="hybridMultilevel"/>
    <w:tmpl w:val="593E3614"/>
    <w:lvl w:ilvl="0" w:tplc="91D64ADC">
      <w:start w:val="10"/>
      <w:numFmt w:val="bullet"/>
      <w:lvlText w:val=""/>
      <w:lvlJc w:val="left"/>
      <w:pPr>
        <w:ind w:left="1120" w:hanging="360"/>
      </w:pPr>
      <w:rPr>
        <w:rFonts w:ascii="Wingdings" w:eastAsiaTheme="minorEastAsia" w:hAnsi="Wingdings"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1" w15:restartNumberingAfterBreak="0">
    <w:nsid w:val="6BF27630"/>
    <w:multiLevelType w:val="hybridMultilevel"/>
    <w:tmpl w:val="CB7E32A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C07066D"/>
    <w:multiLevelType w:val="hybridMultilevel"/>
    <w:tmpl w:val="8B5CBA8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2951C5C"/>
    <w:multiLevelType w:val="hybridMultilevel"/>
    <w:tmpl w:val="74F2F8A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D0D3195"/>
    <w:multiLevelType w:val="hybridMultilevel"/>
    <w:tmpl w:val="97DEAF8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633563497">
    <w:abstractNumId w:val="0"/>
  </w:num>
  <w:num w:numId="2" w16cid:durableId="63455016">
    <w:abstractNumId w:val="15"/>
  </w:num>
  <w:num w:numId="3" w16cid:durableId="1483346073">
    <w:abstractNumId w:val="12"/>
  </w:num>
  <w:num w:numId="4" w16cid:durableId="1802383200">
    <w:abstractNumId w:val="14"/>
  </w:num>
  <w:num w:numId="5" w16cid:durableId="939723659">
    <w:abstractNumId w:val="20"/>
  </w:num>
  <w:num w:numId="6" w16cid:durableId="768505562">
    <w:abstractNumId w:val="13"/>
  </w:num>
  <w:num w:numId="7" w16cid:durableId="1939482454">
    <w:abstractNumId w:val="3"/>
  </w:num>
  <w:num w:numId="8" w16cid:durableId="2115590381">
    <w:abstractNumId w:val="7"/>
  </w:num>
  <w:num w:numId="9" w16cid:durableId="155070177">
    <w:abstractNumId w:val="2"/>
  </w:num>
  <w:num w:numId="10" w16cid:durableId="1333600765">
    <w:abstractNumId w:val="17"/>
  </w:num>
  <w:num w:numId="11" w16cid:durableId="1288851685">
    <w:abstractNumId w:val="18"/>
  </w:num>
  <w:num w:numId="12" w16cid:durableId="1219703112">
    <w:abstractNumId w:val="6"/>
  </w:num>
  <w:num w:numId="13" w16cid:durableId="1315450865">
    <w:abstractNumId w:val="23"/>
  </w:num>
  <w:num w:numId="14" w16cid:durableId="895822297">
    <w:abstractNumId w:val="8"/>
  </w:num>
  <w:num w:numId="15" w16cid:durableId="1167403423">
    <w:abstractNumId w:val="1"/>
  </w:num>
  <w:num w:numId="16" w16cid:durableId="1895461637">
    <w:abstractNumId w:val="21"/>
  </w:num>
  <w:num w:numId="17" w16cid:durableId="926767024">
    <w:abstractNumId w:val="24"/>
  </w:num>
  <w:num w:numId="18" w16cid:durableId="2124498822">
    <w:abstractNumId w:val="11"/>
  </w:num>
  <w:num w:numId="19" w16cid:durableId="602495039">
    <w:abstractNumId w:val="5"/>
  </w:num>
  <w:num w:numId="20" w16cid:durableId="270741745">
    <w:abstractNumId w:val="22"/>
  </w:num>
  <w:num w:numId="21" w16cid:durableId="1216577060">
    <w:abstractNumId w:val="19"/>
  </w:num>
  <w:num w:numId="22" w16cid:durableId="1328050741">
    <w:abstractNumId w:val="10"/>
  </w:num>
  <w:num w:numId="23" w16cid:durableId="500051108">
    <w:abstractNumId w:val="9"/>
  </w:num>
  <w:num w:numId="24" w16cid:durableId="785924886">
    <w:abstractNumId w:val="16"/>
  </w:num>
  <w:num w:numId="25" w16cid:durableId="12128846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0A"/>
    <w:rsid w:val="0000161E"/>
    <w:rsid w:val="00012167"/>
    <w:rsid w:val="000174E7"/>
    <w:rsid w:val="00017C93"/>
    <w:rsid w:val="000218BF"/>
    <w:rsid w:val="00025E17"/>
    <w:rsid w:val="00027AE5"/>
    <w:rsid w:val="0003067B"/>
    <w:rsid w:val="00031CBD"/>
    <w:rsid w:val="00032862"/>
    <w:rsid w:val="00042080"/>
    <w:rsid w:val="00051C8E"/>
    <w:rsid w:val="000578C0"/>
    <w:rsid w:val="00064C40"/>
    <w:rsid w:val="00076A76"/>
    <w:rsid w:val="00092E81"/>
    <w:rsid w:val="00095BF8"/>
    <w:rsid w:val="00095CC0"/>
    <w:rsid w:val="000A0144"/>
    <w:rsid w:val="000A2E49"/>
    <w:rsid w:val="000A3534"/>
    <w:rsid w:val="000A6FED"/>
    <w:rsid w:val="000B27CF"/>
    <w:rsid w:val="000B66B3"/>
    <w:rsid w:val="000C5FA8"/>
    <w:rsid w:val="000C6828"/>
    <w:rsid w:val="000D0D35"/>
    <w:rsid w:val="000E1EF4"/>
    <w:rsid w:val="000E5A04"/>
    <w:rsid w:val="000E617E"/>
    <w:rsid w:val="000F4755"/>
    <w:rsid w:val="000F69FA"/>
    <w:rsid w:val="00105B8A"/>
    <w:rsid w:val="00115600"/>
    <w:rsid w:val="0012176D"/>
    <w:rsid w:val="00122E60"/>
    <w:rsid w:val="001276F3"/>
    <w:rsid w:val="00133BEB"/>
    <w:rsid w:val="00147BF3"/>
    <w:rsid w:val="001532B2"/>
    <w:rsid w:val="00162557"/>
    <w:rsid w:val="0016765B"/>
    <w:rsid w:val="00167C0F"/>
    <w:rsid w:val="001713AF"/>
    <w:rsid w:val="0017422E"/>
    <w:rsid w:val="00174E94"/>
    <w:rsid w:val="00176770"/>
    <w:rsid w:val="0018359C"/>
    <w:rsid w:val="001A18CB"/>
    <w:rsid w:val="001B0668"/>
    <w:rsid w:val="001B42AD"/>
    <w:rsid w:val="001C02EF"/>
    <w:rsid w:val="001C0CBD"/>
    <w:rsid w:val="001C7C24"/>
    <w:rsid w:val="001D07AA"/>
    <w:rsid w:val="001D36C5"/>
    <w:rsid w:val="001D75AD"/>
    <w:rsid w:val="001E00E6"/>
    <w:rsid w:val="001E0123"/>
    <w:rsid w:val="001E0862"/>
    <w:rsid w:val="002014F2"/>
    <w:rsid w:val="00202162"/>
    <w:rsid w:val="002110D0"/>
    <w:rsid w:val="00217EDA"/>
    <w:rsid w:val="00221312"/>
    <w:rsid w:val="00235270"/>
    <w:rsid w:val="00236022"/>
    <w:rsid w:val="0024305C"/>
    <w:rsid w:val="00244858"/>
    <w:rsid w:val="002464B5"/>
    <w:rsid w:val="0025504E"/>
    <w:rsid w:val="00264C16"/>
    <w:rsid w:val="00267A92"/>
    <w:rsid w:val="00270E45"/>
    <w:rsid w:val="00283758"/>
    <w:rsid w:val="00285726"/>
    <w:rsid w:val="00290782"/>
    <w:rsid w:val="002A611A"/>
    <w:rsid w:val="002B0B86"/>
    <w:rsid w:val="002B6641"/>
    <w:rsid w:val="002C60DF"/>
    <w:rsid w:val="002E79A9"/>
    <w:rsid w:val="002F0076"/>
    <w:rsid w:val="002F470D"/>
    <w:rsid w:val="002F6719"/>
    <w:rsid w:val="002F7251"/>
    <w:rsid w:val="00306178"/>
    <w:rsid w:val="00310880"/>
    <w:rsid w:val="00317BE4"/>
    <w:rsid w:val="00322626"/>
    <w:rsid w:val="00326B27"/>
    <w:rsid w:val="00331644"/>
    <w:rsid w:val="00334395"/>
    <w:rsid w:val="0035482D"/>
    <w:rsid w:val="00357487"/>
    <w:rsid w:val="00357FD4"/>
    <w:rsid w:val="003605CE"/>
    <w:rsid w:val="00370E6C"/>
    <w:rsid w:val="00372608"/>
    <w:rsid w:val="00376F22"/>
    <w:rsid w:val="00383DF8"/>
    <w:rsid w:val="003848D3"/>
    <w:rsid w:val="0038505A"/>
    <w:rsid w:val="00385D9A"/>
    <w:rsid w:val="00390E29"/>
    <w:rsid w:val="00391D9E"/>
    <w:rsid w:val="00392289"/>
    <w:rsid w:val="003A16EC"/>
    <w:rsid w:val="003A54BF"/>
    <w:rsid w:val="003A5B26"/>
    <w:rsid w:val="003B578F"/>
    <w:rsid w:val="003C0449"/>
    <w:rsid w:val="003D0FE2"/>
    <w:rsid w:val="003E0FFC"/>
    <w:rsid w:val="003E6710"/>
    <w:rsid w:val="003F0CBE"/>
    <w:rsid w:val="00400A1B"/>
    <w:rsid w:val="00405EAF"/>
    <w:rsid w:val="004168B0"/>
    <w:rsid w:val="00420409"/>
    <w:rsid w:val="004230C4"/>
    <w:rsid w:val="004230FE"/>
    <w:rsid w:val="00430992"/>
    <w:rsid w:val="0043755B"/>
    <w:rsid w:val="004403AC"/>
    <w:rsid w:val="00441CF4"/>
    <w:rsid w:val="00442F3B"/>
    <w:rsid w:val="00443B39"/>
    <w:rsid w:val="00446A5A"/>
    <w:rsid w:val="004551F3"/>
    <w:rsid w:val="00455470"/>
    <w:rsid w:val="0045552B"/>
    <w:rsid w:val="004634C9"/>
    <w:rsid w:val="00467FE1"/>
    <w:rsid w:val="00496B27"/>
    <w:rsid w:val="004A47F1"/>
    <w:rsid w:val="004A72BC"/>
    <w:rsid w:val="004B12D4"/>
    <w:rsid w:val="004B426C"/>
    <w:rsid w:val="004B583B"/>
    <w:rsid w:val="004C262C"/>
    <w:rsid w:val="004C33A2"/>
    <w:rsid w:val="004C6F36"/>
    <w:rsid w:val="004E1197"/>
    <w:rsid w:val="004E2975"/>
    <w:rsid w:val="004E55B8"/>
    <w:rsid w:val="004E684E"/>
    <w:rsid w:val="004F0C50"/>
    <w:rsid w:val="004F12F1"/>
    <w:rsid w:val="004F275C"/>
    <w:rsid w:val="00501065"/>
    <w:rsid w:val="00502702"/>
    <w:rsid w:val="00515199"/>
    <w:rsid w:val="00522257"/>
    <w:rsid w:val="00522B12"/>
    <w:rsid w:val="00523BE8"/>
    <w:rsid w:val="0052498D"/>
    <w:rsid w:val="00541307"/>
    <w:rsid w:val="00573979"/>
    <w:rsid w:val="0057752F"/>
    <w:rsid w:val="005852BC"/>
    <w:rsid w:val="00595173"/>
    <w:rsid w:val="00597C50"/>
    <w:rsid w:val="005A4820"/>
    <w:rsid w:val="005A4C84"/>
    <w:rsid w:val="005A6259"/>
    <w:rsid w:val="005A65AF"/>
    <w:rsid w:val="005A7A18"/>
    <w:rsid w:val="005C4494"/>
    <w:rsid w:val="005C4E5C"/>
    <w:rsid w:val="005C51DE"/>
    <w:rsid w:val="005C5C76"/>
    <w:rsid w:val="005D278E"/>
    <w:rsid w:val="005D327E"/>
    <w:rsid w:val="005D3C38"/>
    <w:rsid w:val="005D6D98"/>
    <w:rsid w:val="005D76EF"/>
    <w:rsid w:val="005E109E"/>
    <w:rsid w:val="005E4C2E"/>
    <w:rsid w:val="005E704D"/>
    <w:rsid w:val="00602D1E"/>
    <w:rsid w:val="00624E4C"/>
    <w:rsid w:val="00633A40"/>
    <w:rsid w:val="00634662"/>
    <w:rsid w:val="00634F6B"/>
    <w:rsid w:val="00642EAE"/>
    <w:rsid w:val="006472E7"/>
    <w:rsid w:val="006539E7"/>
    <w:rsid w:val="006576DD"/>
    <w:rsid w:val="00671156"/>
    <w:rsid w:val="006713C5"/>
    <w:rsid w:val="006760F9"/>
    <w:rsid w:val="006952C2"/>
    <w:rsid w:val="00695676"/>
    <w:rsid w:val="00695D2E"/>
    <w:rsid w:val="006967BE"/>
    <w:rsid w:val="006A0D7E"/>
    <w:rsid w:val="006A15CF"/>
    <w:rsid w:val="006B4423"/>
    <w:rsid w:val="006C48F6"/>
    <w:rsid w:val="006D7BD7"/>
    <w:rsid w:val="006E3619"/>
    <w:rsid w:val="006E3F7E"/>
    <w:rsid w:val="00703935"/>
    <w:rsid w:val="0071221B"/>
    <w:rsid w:val="00723CC7"/>
    <w:rsid w:val="007357AF"/>
    <w:rsid w:val="00736F71"/>
    <w:rsid w:val="00740BDD"/>
    <w:rsid w:val="00746F8D"/>
    <w:rsid w:val="00751E6B"/>
    <w:rsid w:val="007616B9"/>
    <w:rsid w:val="007619F7"/>
    <w:rsid w:val="0076427F"/>
    <w:rsid w:val="00771FF8"/>
    <w:rsid w:val="00773E2D"/>
    <w:rsid w:val="00774D98"/>
    <w:rsid w:val="00786B03"/>
    <w:rsid w:val="00791ACD"/>
    <w:rsid w:val="00791EA7"/>
    <w:rsid w:val="007967E7"/>
    <w:rsid w:val="007B3F6E"/>
    <w:rsid w:val="007B7A02"/>
    <w:rsid w:val="007C46C0"/>
    <w:rsid w:val="007D1FF3"/>
    <w:rsid w:val="007D25CF"/>
    <w:rsid w:val="007E6E3F"/>
    <w:rsid w:val="007E6FE2"/>
    <w:rsid w:val="007F2C86"/>
    <w:rsid w:val="007F4483"/>
    <w:rsid w:val="007F7275"/>
    <w:rsid w:val="007F7BD5"/>
    <w:rsid w:val="00802AA3"/>
    <w:rsid w:val="008059DA"/>
    <w:rsid w:val="0080737A"/>
    <w:rsid w:val="008131A1"/>
    <w:rsid w:val="008231CD"/>
    <w:rsid w:val="00830B89"/>
    <w:rsid w:val="00832485"/>
    <w:rsid w:val="00834045"/>
    <w:rsid w:val="00835D5E"/>
    <w:rsid w:val="00855B0D"/>
    <w:rsid w:val="008571D0"/>
    <w:rsid w:val="00862738"/>
    <w:rsid w:val="008638AC"/>
    <w:rsid w:val="00863CDA"/>
    <w:rsid w:val="00864400"/>
    <w:rsid w:val="00873C45"/>
    <w:rsid w:val="00890760"/>
    <w:rsid w:val="00892D8A"/>
    <w:rsid w:val="00896028"/>
    <w:rsid w:val="008A15FA"/>
    <w:rsid w:val="008C657F"/>
    <w:rsid w:val="008C7B43"/>
    <w:rsid w:val="008D1F90"/>
    <w:rsid w:val="008E3184"/>
    <w:rsid w:val="008F0658"/>
    <w:rsid w:val="008F16A6"/>
    <w:rsid w:val="008F4A2C"/>
    <w:rsid w:val="008F64AA"/>
    <w:rsid w:val="0091085E"/>
    <w:rsid w:val="009114CE"/>
    <w:rsid w:val="00912E3D"/>
    <w:rsid w:val="009145AE"/>
    <w:rsid w:val="00916824"/>
    <w:rsid w:val="00920DBD"/>
    <w:rsid w:val="00921043"/>
    <w:rsid w:val="00923D9B"/>
    <w:rsid w:val="00926040"/>
    <w:rsid w:val="00945232"/>
    <w:rsid w:val="00950A81"/>
    <w:rsid w:val="00950C6C"/>
    <w:rsid w:val="00950DC0"/>
    <w:rsid w:val="009544CF"/>
    <w:rsid w:val="00963164"/>
    <w:rsid w:val="00970406"/>
    <w:rsid w:val="009815FA"/>
    <w:rsid w:val="00983057"/>
    <w:rsid w:val="009879C3"/>
    <w:rsid w:val="00991C47"/>
    <w:rsid w:val="00994D84"/>
    <w:rsid w:val="00995701"/>
    <w:rsid w:val="009A2EC5"/>
    <w:rsid w:val="009B15FC"/>
    <w:rsid w:val="009B6603"/>
    <w:rsid w:val="009B7162"/>
    <w:rsid w:val="009C3F78"/>
    <w:rsid w:val="009C6CE9"/>
    <w:rsid w:val="009D48F7"/>
    <w:rsid w:val="009E0E09"/>
    <w:rsid w:val="009E5B7A"/>
    <w:rsid w:val="009F0633"/>
    <w:rsid w:val="009F0A4A"/>
    <w:rsid w:val="00A10953"/>
    <w:rsid w:val="00A11467"/>
    <w:rsid w:val="00A1397C"/>
    <w:rsid w:val="00A3101B"/>
    <w:rsid w:val="00A44CB5"/>
    <w:rsid w:val="00A466D3"/>
    <w:rsid w:val="00A50C85"/>
    <w:rsid w:val="00A5189C"/>
    <w:rsid w:val="00A561A4"/>
    <w:rsid w:val="00A723E0"/>
    <w:rsid w:val="00A8649E"/>
    <w:rsid w:val="00A91FD0"/>
    <w:rsid w:val="00A92807"/>
    <w:rsid w:val="00AA4EDB"/>
    <w:rsid w:val="00AB06D3"/>
    <w:rsid w:val="00AC26CB"/>
    <w:rsid w:val="00AC3093"/>
    <w:rsid w:val="00AC418D"/>
    <w:rsid w:val="00AE4EA0"/>
    <w:rsid w:val="00AE5BC2"/>
    <w:rsid w:val="00AE629F"/>
    <w:rsid w:val="00AE641F"/>
    <w:rsid w:val="00AF2083"/>
    <w:rsid w:val="00AF2D61"/>
    <w:rsid w:val="00AF3ACE"/>
    <w:rsid w:val="00AF4AFC"/>
    <w:rsid w:val="00AF79CE"/>
    <w:rsid w:val="00B0483B"/>
    <w:rsid w:val="00B20FE8"/>
    <w:rsid w:val="00B226C4"/>
    <w:rsid w:val="00B25781"/>
    <w:rsid w:val="00B33985"/>
    <w:rsid w:val="00B339C9"/>
    <w:rsid w:val="00B376E9"/>
    <w:rsid w:val="00B40271"/>
    <w:rsid w:val="00B42C74"/>
    <w:rsid w:val="00B526A7"/>
    <w:rsid w:val="00B53C0C"/>
    <w:rsid w:val="00B62F12"/>
    <w:rsid w:val="00B64403"/>
    <w:rsid w:val="00B729DA"/>
    <w:rsid w:val="00B87195"/>
    <w:rsid w:val="00B90858"/>
    <w:rsid w:val="00B90E85"/>
    <w:rsid w:val="00B93EAF"/>
    <w:rsid w:val="00B953CD"/>
    <w:rsid w:val="00B95636"/>
    <w:rsid w:val="00BA2E63"/>
    <w:rsid w:val="00BA6A3B"/>
    <w:rsid w:val="00BB6A6E"/>
    <w:rsid w:val="00BC7817"/>
    <w:rsid w:val="00BE4B1F"/>
    <w:rsid w:val="00BE506A"/>
    <w:rsid w:val="00BE768A"/>
    <w:rsid w:val="00BF203D"/>
    <w:rsid w:val="00C20EF8"/>
    <w:rsid w:val="00C2168E"/>
    <w:rsid w:val="00C24B15"/>
    <w:rsid w:val="00C30D63"/>
    <w:rsid w:val="00C316E1"/>
    <w:rsid w:val="00C33949"/>
    <w:rsid w:val="00C36CE7"/>
    <w:rsid w:val="00C410BB"/>
    <w:rsid w:val="00C42D2A"/>
    <w:rsid w:val="00C47862"/>
    <w:rsid w:val="00C50E79"/>
    <w:rsid w:val="00C55A84"/>
    <w:rsid w:val="00C60AE4"/>
    <w:rsid w:val="00C617EB"/>
    <w:rsid w:val="00C70BA1"/>
    <w:rsid w:val="00C71586"/>
    <w:rsid w:val="00C746A9"/>
    <w:rsid w:val="00C75D1D"/>
    <w:rsid w:val="00C80E29"/>
    <w:rsid w:val="00C81AEC"/>
    <w:rsid w:val="00C87E42"/>
    <w:rsid w:val="00C903E2"/>
    <w:rsid w:val="00C903F9"/>
    <w:rsid w:val="00C93910"/>
    <w:rsid w:val="00C9496C"/>
    <w:rsid w:val="00CA5987"/>
    <w:rsid w:val="00CB0EBD"/>
    <w:rsid w:val="00CB2B0B"/>
    <w:rsid w:val="00CB4AAD"/>
    <w:rsid w:val="00CC07EF"/>
    <w:rsid w:val="00CC2C4A"/>
    <w:rsid w:val="00CC5357"/>
    <w:rsid w:val="00CC755F"/>
    <w:rsid w:val="00CD5438"/>
    <w:rsid w:val="00CD782E"/>
    <w:rsid w:val="00CD7D83"/>
    <w:rsid w:val="00CE4AF8"/>
    <w:rsid w:val="00D005F0"/>
    <w:rsid w:val="00D011F8"/>
    <w:rsid w:val="00D17713"/>
    <w:rsid w:val="00D27220"/>
    <w:rsid w:val="00D3118B"/>
    <w:rsid w:val="00D321EA"/>
    <w:rsid w:val="00D33245"/>
    <w:rsid w:val="00D4201C"/>
    <w:rsid w:val="00D42B0B"/>
    <w:rsid w:val="00D42DEA"/>
    <w:rsid w:val="00D5153D"/>
    <w:rsid w:val="00D521AA"/>
    <w:rsid w:val="00D53DF7"/>
    <w:rsid w:val="00D67652"/>
    <w:rsid w:val="00D8116D"/>
    <w:rsid w:val="00D84C71"/>
    <w:rsid w:val="00D8746E"/>
    <w:rsid w:val="00DA37AA"/>
    <w:rsid w:val="00DA4737"/>
    <w:rsid w:val="00DB1432"/>
    <w:rsid w:val="00DB6CA8"/>
    <w:rsid w:val="00DB76DD"/>
    <w:rsid w:val="00DC4F29"/>
    <w:rsid w:val="00DD4243"/>
    <w:rsid w:val="00DD4355"/>
    <w:rsid w:val="00DF32AF"/>
    <w:rsid w:val="00DF67CA"/>
    <w:rsid w:val="00E01666"/>
    <w:rsid w:val="00E042FB"/>
    <w:rsid w:val="00E04F64"/>
    <w:rsid w:val="00E111C6"/>
    <w:rsid w:val="00E17ABF"/>
    <w:rsid w:val="00E20353"/>
    <w:rsid w:val="00E224A6"/>
    <w:rsid w:val="00E227C0"/>
    <w:rsid w:val="00E243C7"/>
    <w:rsid w:val="00E32A88"/>
    <w:rsid w:val="00E336B3"/>
    <w:rsid w:val="00E43071"/>
    <w:rsid w:val="00E5100A"/>
    <w:rsid w:val="00E5159D"/>
    <w:rsid w:val="00E516CA"/>
    <w:rsid w:val="00E522A8"/>
    <w:rsid w:val="00E639D7"/>
    <w:rsid w:val="00E7610C"/>
    <w:rsid w:val="00E80BF2"/>
    <w:rsid w:val="00E83EA9"/>
    <w:rsid w:val="00E861A6"/>
    <w:rsid w:val="00E86F32"/>
    <w:rsid w:val="00E9047A"/>
    <w:rsid w:val="00E97085"/>
    <w:rsid w:val="00E970FB"/>
    <w:rsid w:val="00EA35A4"/>
    <w:rsid w:val="00EB0493"/>
    <w:rsid w:val="00EB62C8"/>
    <w:rsid w:val="00EC299F"/>
    <w:rsid w:val="00ED18E5"/>
    <w:rsid w:val="00ED20E2"/>
    <w:rsid w:val="00EF09E6"/>
    <w:rsid w:val="00EF5E99"/>
    <w:rsid w:val="00EF75C6"/>
    <w:rsid w:val="00F007E1"/>
    <w:rsid w:val="00F46203"/>
    <w:rsid w:val="00F51670"/>
    <w:rsid w:val="00F6277E"/>
    <w:rsid w:val="00F66EDF"/>
    <w:rsid w:val="00F74514"/>
    <w:rsid w:val="00F74605"/>
    <w:rsid w:val="00F809ED"/>
    <w:rsid w:val="00F82C85"/>
    <w:rsid w:val="00F85FD9"/>
    <w:rsid w:val="00F86530"/>
    <w:rsid w:val="00F921D8"/>
    <w:rsid w:val="00FA0FF1"/>
    <w:rsid w:val="00FA4370"/>
    <w:rsid w:val="00FB0A6A"/>
    <w:rsid w:val="00FC0750"/>
    <w:rsid w:val="00FC2F50"/>
    <w:rsid w:val="00FD4F9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9F388"/>
  <w15:chartTrackingRefBased/>
  <w15:docId w15:val="{6FE8D542-A8C9-49CE-9D16-60EB778B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3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76EF"/>
    <w:pPr>
      <w:tabs>
        <w:tab w:val="center" w:pos="4513"/>
        <w:tab w:val="right" w:pos="9026"/>
      </w:tabs>
      <w:snapToGrid w:val="0"/>
    </w:pPr>
  </w:style>
  <w:style w:type="character" w:customStyle="1" w:styleId="HeaderChar">
    <w:name w:val="Header Char"/>
    <w:basedOn w:val="DefaultParagraphFont"/>
    <w:link w:val="Header"/>
    <w:uiPriority w:val="99"/>
    <w:rsid w:val="005D76EF"/>
  </w:style>
  <w:style w:type="paragraph" w:styleId="Footer">
    <w:name w:val="footer"/>
    <w:basedOn w:val="Normal"/>
    <w:link w:val="FooterChar"/>
    <w:uiPriority w:val="99"/>
    <w:unhideWhenUsed/>
    <w:rsid w:val="005D76EF"/>
    <w:pPr>
      <w:tabs>
        <w:tab w:val="center" w:pos="4513"/>
        <w:tab w:val="right" w:pos="9026"/>
      </w:tabs>
      <w:snapToGrid w:val="0"/>
    </w:pPr>
  </w:style>
  <w:style w:type="character" w:customStyle="1" w:styleId="FooterChar">
    <w:name w:val="Footer Char"/>
    <w:basedOn w:val="DefaultParagraphFont"/>
    <w:link w:val="Footer"/>
    <w:uiPriority w:val="99"/>
    <w:rsid w:val="005D76EF"/>
  </w:style>
  <w:style w:type="paragraph" w:styleId="ListBullet">
    <w:name w:val="List Bullet"/>
    <w:basedOn w:val="Normal"/>
    <w:uiPriority w:val="99"/>
    <w:unhideWhenUsed/>
    <w:rsid w:val="005D76EF"/>
    <w:pPr>
      <w:numPr>
        <w:numId w:val="1"/>
      </w:numPr>
      <w:contextualSpacing/>
    </w:pPr>
  </w:style>
  <w:style w:type="paragraph" w:styleId="ListParagraph">
    <w:name w:val="List Paragraph"/>
    <w:basedOn w:val="Normal"/>
    <w:uiPriority w:val="34"/>
    <w:qFormat/>
    <w:rsid w:val="005D76EF"/>
    <w:pPr>
      <w:ind w:leftChars="400" w:left="800"/>
    </w:pPr>
  </w:style>
  <w:style w:type="character" w:styleId="Hyperlink">
    <w:name w:val="Hyperlink"/>
    <w:basedOn w:val="DefaultParagraphFont"/>
    <w:uiPriority w:val="99"/>
    <w:unhideWhenUsed/>
    <w:rsid w:val="00B25781"/>
    <w:rPr>
      <w:color w:val="0563C1" w:themeColor="hyperlink"/>
      <w:u w:val="single"/>
    </w:rPr>
  </w:style>
  <w:style w:type="character" w:styleId="UnresolvedMention">
    <w:name w:val="Unresolved Mention"/>
    <w:basedOn w:val="DefaultParagraphFont"/>
    <w:uiPriority w:val="99"/>
    <w:semiHidden/>
    <w:unhideWhenUsed/>
    <w:rsid w:val="00B25781"/>
    <w:rPr>
      <w:color w:val="605E5C"/>
      <w:shd w:val="clear" w:color="auto" w:fill="E1DFDD"/>
    </w:rPr>
  </w:style>
  <w:style w:type="character" w:styleId="CommentReference">
    <w:name w:val="annotation reference"/>
    <w:basedOn w:val="DefaultParagraphFont"/>
    <w:uiPriority w:val="99"/>
    <w:semiHidden/>
    <w:unhideWhenUsed/>
    <w:rsid w:val="00290782"/>
    <w:rPr>
      <w:sz w:val="18"/>
      <w:szCs w:val="18"/>
    </w:rPr>
  </w:style>
  <w:style w:type="paragraph" w:styleId="CommentText">
    <w:name w:val="annotation text"/>
    <w:basedOn w:val="Normal"/>
    <w:link w:val="CommentTextChar"/>
    <w:uiPriority w:val="99"/>
    <w:unhideWhenUsed/>
    <w:rsid w:val="00290782"/>
    <w:pPr>
      <w:jc w:val="left"/>
    </w:pPr>
  </w:style>
  <w:style w:type="character" w:customStyle="1" w:styleId="CommentTextChar">
    <w:name w:val="Comment Text Char"/>
    <w:basedOn w:val="DefaultParagraphFont"/>
    <w:link w:val="CommentText"/>
    <w:uiPriority w:val="99"/>
    <w:rsid w:val="00290782"/>
  </w:style>
  <w:style w:type="paragraph" w:styleId="CommentSubject">
    <w:name w:val="annotation subject"/>
    <w:basedOn w:val="CommentText"/>
    <w:next w:val="CommentText"/>
    <w:link w:val="CommentSubjectChar"/>
    <w:uiPriority w:val="99"/>
    <w:semiHidden/>
    <w:unhideWhenUsed/>
    <w:rsid w:val="00290782"/>
    <w:rPr>
      <w:b/>
      <w:bCs/>
    </w:rPr>
  </w:style>
  <w:style w:type="character" w:customStyle="1" w:styleId="CommentSubjectChar">
    <w:name w:val="Comment Subject Char"/>
    <w:basedOn w:val="CommentTextChar"/>
    <w:link w:val="CommentSubject"/>
    <w:uiPriority w:val="99"/>
    <w:semiHidden/>
    <w:rsid w:val="002907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05094">
      <w:bodyDiv w:val="1"/>
      <w:marLeft w:val="0"/>
      <w:marRight w:val="0"/>
      <w:marTop w:val="0"/>
      <w:marBottom w:val="0"/>
      <w:divBdr>
        <w:top w:val="none" w:sz="0" w:space="0" w:color="auto"/>
        <w:left w:val="none" w:sz="0" w:space="0" w:color="auto"/>
        <w:bottom w:val="none" w:sz="0" w:space="0" w:color="auto"/>
        <w:right w:val="none" w:sz="0" w:space="0" w:color="auto"/>
      </w:divBdr>
      <w:divsChild>
        <w:div w:id="1056201905">
          <w:marLeft w:val="480"/>
          <w:marRight w:val="0"/>
          <w:marTop w:val="0"/>
          <w:marBottom w:val="0"/>
          <w:divBdr>
            <w:top w:val="none" w:sz="0" w:space="0" w:color="auto"/>
            <w:left w:val="none" w:sz="0" w:space="0" w:color="auto"/>
            <w:bottom w:val="none" w:sz="0" w:space="0" w:color="auto"/>
            <w:right w:val="none" w:sz="0" w:space="0" w:color="auto"/>
          </w:divBdr>
          <w:divsChild>
            <w:div w:id="16132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54292">
      <w:bodyDiv w:val="1"/>
      <w:marLeft w:val="0"/>
      <w:marRight w:val="0"/>
      <w:marTop w:val="0"/>
      <w:marBottom w:val="0"/>
      <w:divBdr>
        <w:top w:val="none" w:sz="0" w:space="0" w:color="auto"/>
        <w:left w:val="none" w:sz="0" w:space="0" w:color="auto"/>
        <w:bottom w:val="none" w:sz="0" w:space="0" w:color="auto"/>
        <w:right w:val="none" w:sz="0" w:space="0" w:color="auto"/>
      </w:divBdr>
    </w:div>
    <w:div w:id="1830369598">
      <w:bodyDiv w:val="1"/>
      <w:marLeft w:val="0"/>
      <w:marRight w:val="0"/>
      <w:marTop w:val="0"/>
      <w:marBottom w:val="0"/>
      <w:divBdr>
        <w:top w:val="none" w:sz="0" w:space="0" w:color="auto"/>
        <w:left w:val="none" w:sz="0" w:space="0" w:color="auto"/>
        <w:bottom w:val="none" w:sz="0" w:space="0" w:color="auto"/>
        <w:right w:val="none" w:sz="0" w:space="0" w:color="auto"/>
      </w:divBdr>
      <w:divsChild>
        <w:div w:id="666978619">
          <w:marLeft w:val="480"/>
          <w:marRight w:val="0"/>
          <w:marTop w:val="0"/>
          <w:marBottom w:val="0"/>
          <w:divBdr>
            <w:top w:val="none" w:sz="0" w:space="0" w:color="auto"/>
            <w:left w:val="none" w:sz="0" w:space="0" w:color="auto"/>
            <w:bottom w:val="none" w:sz="0" w:space="0" w:color="auto"/>
            <w:right w:val="none" w:sz="0" w:space="0" w:color="auto"/>
          </w:divBdr>
          <w:divsChild>
            <w:div w:id="17385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63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29/2001JD0014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2681</TotalTime>
  <Pages>6</Pages>
  <Words>1969</Words>
  <Characters>11225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Jincheol</dc:creator>
  <cp:keywords/>
  <dc:description/>
  <cp:lastModifiedBy>Park, Jincheol</cp:lastModifiedBy>
  <cp:revision>373</cp:revision>
  <dcterms:created xsi:type="dcterms:W3CDTF">2022-03-03T21:14:00Z</dcterms:created>
  <dcterms:modified xsi:type="dcterms:W3CDTF">2023-04-04T05:25:00Z</dcterms:modified>
</cp:coreProperties>
</file>