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F999C" w14:textId="77777777" w:rsidR="00F63744" w:rsidRDefault="00F63744" w:rsidP="00F63744">
      <w:pPr>
        <w:spacing w:after="40"/>
        <w:jc w:val="both"/>
        <w:rPr>
          <w:rFonts w:ascii="Times New Roman" w:hAnsi="Times New Roman" w:cs="Times New Roman"/>
          <w:sz w:val="20"/>
          <w:szCs w:val="20"/>
        </w:rPr>
      </w:pPr>
      <w:r w:rsidRPr="00353F97">
        <w:rPr>
          <w:rFonts w:ascii="Times New Roman" w:hAnsi="Times New Roman" w:cs="Times New Roman"/>
          <w:b/>
          <w:bCs/>
          <w:sz w:val="20"/>
          <w:szCs w:val="20"/>
        </w:rPr>
        <w:t>AC</w:t>
      </w:r>
      <w:r>
        <w:rPr>
          <w:rFonts w:ascii="Times New Roman" w:hAnsi="Times New Roman" w:cs="Times New Roman"/>
          <w:b/>
          <w:bCs/>
          <w:sz w:val="20"/>
          <w:szCs w:val="20"/>
        </w:rPr>
        <w:t>4</w:t>
      </w:r>
      <w:r w:rsidRPr="00353F97">
        <w:rPr>
          <w:rFonts w:ascii="Times New Roman" w:hAnsi="Times New Roman" w:cs="Times New Roman"/>
          <w:sz w:val="20"/>
          <w:szCs w:val="20"/>
        </w:rPr>
        <w:t xml:space="preserve">: We </w:t>
      </w:r>
      <w:r>
        <w:rPr>
          <w:rFonts w:ascii="Times New Roman" w:hAnsi="Times New Roman" w:cs="Times New Roman"/>
          <w:sz w:val="20"/>
          <w:szCs w:val="20"/>
        </w:rPr>
        <w:t>have identified a minor error in our Excel spreadsheet used to compute the contrail cirrus GWP</w:t>
      </w:r>
      <w:r w:rsidRPr="002E4E31">
        <w:rPr>
          <w:rFonts w:ascii="Times New Roman" w:hAnsi="Times New Roman" w:cs="Times New Roman"/>
          <w:sz w:val="20"/>
          <w:szCs w:val="20"/>
          <w:vertAlign w:val="subscript"/>
        </w:rPr>
        <w:t>20</w:t>
      </w:r>
      <w:r>
        <w:rPr>
          <w:rFonts w:ascii="Times New Roman" w:hAnsi="Times New Roman" w:cs="Times New Roman"/>
          <w:sz w:val="20"/>
          <w:szCs w:val="20"/>
        </w:rPr>
        <w:t xml:space="preserve"> and GWP</w:t>
      </w:r>
      <w:r w:rsidRPr="002E4E31">
        <w:rPr>
          <w:rFonts w:ascii="Times New Roman" w:hAnsi="Times New Roman" w:cs="Times New Roman"/>
          <w:sz w:val="20"/>
          <w:szCs w:val="20"/>
          <w:vertAlign w:val="subscript"/>
        </w:rPr>
        <w:t>100</w:t>
      </w:r>
      <w:r w:rsidRPr="002E4E31">
        <w:rPr>
          <w:rFonts w:ascii="Times New Roman" w:hAnsi="Times New Roman" w:cs="Times New Roman"/>
          <w:sz w:val="20"/>
          <w:szCs w:val="20"/>
        </w:rPr>
        <w:t>,</w:t>
      </w:r>
      <w:r>
        <w:rPr>
          <w:rFonts w:ascii="Times New Roman" w:hAnsi="Times New Roman" w:cs="Times New Roman"/>
          <w:sz w:val="20"/>
          <w:szCs w:val="20"/>
        </w:rPr>
        <w:t xml:space="preserve"> and propose the following changes</w:t>
      </w:r>
      <w:r w:rsidRPr="00353F97">
        <w:rPr>
          <w:rFonts w:ascii="Times New Roman" w:hAnsi="Times New Roman" w:cs="Times New Roman"/>
          <w:sz w:val="20"/>
          <w:szCs w:val="20"/>
        </w:rPr>
        <w:t xml:space="preserve">: </w:t>
      </w:r>
    </w:p>
    <w:p w14:paraId="0764D37C" w14:textId="77777777" w:rsidR="00F63744" w:rsidRPr="00A15058" w:rsidRDefault="00F63744" w:rsidP="00F63744">
      <w:pPr>
        <w:pStyle w:val="ListParagraph"/>
        <w:numPr>
          <w:ilvl w:val="0"/>
          <w:numId w:val="7"/>
        </w:numPr>
        <w:spacing w:after="40"/>
        <w:jc w:val="both"/>
        <w:rPr>
          <w:rFonts w:ascii="Times New Roman" w:hAnsi="Times New Roman" w:cs="Times New Roman"/>
          <w:color w:val="0070C0"/>
          <w:sz w:val="20"/>
          <w:szCs w:val="20"/>
        </w:rPr>
      </w:pPr>
      <w:r w:rsidRPr="00A15058">
        <w:rPr>
          <w:rFonts w:ascii="Times New Roman" w:hAnsi="Times New Roman" w:cs="Times New Roman"/>
          <w:color w:val="0070C0"/>
          <w:sz w:val="20"/>
          <w:szCs w:val="20"/>
        </w:rPr>
        <w:t>Table 1:</w:t>
      </w:r>
    </w:p>
    <w:tbl>
      <w:tblPr>
        <w:tblStyle w:val="PlainTable2"/>
        <w:tblW w:w="9035" w:type="dxa"/>
        <w:tblLook w:val="04A0" w:firstRow="1" w:lastRow="0" w:firstColumn="1" w:lastColumn="0" w:noHBand="0" w:noVBand="1"/>
      </w:tblPr>
      <w:tblGrid>
        <w:gridCol w:w="3234"/>
        <w:gridCol w:w="811"/>
        <w:gridCol w:w="1070"/>
        <w:gridCol w:w="1070"/>
        <w:gridCol w:w="1070"/>
        <w:gridCol w:w="890"/>
        <w:gridCol w:w="890"/>
      </w:tblGrid>
      <w:tr w:rsidR="00F63744" w:rsidRPr="00A15058" w14:paraId="304E612C" w14:textId="77777777" w:rsidTr="00B05B3E">
        <w:trPr>
          <w:cnfStyle w:val="100000000000" w:firstRow="1" w:lastRow="0" w:firstColumn="0" w:lastColumn="0" w:oddVBand="0" w:evenVBand="0" w:oddHBand="0"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3234" w:type="dxa"/>
            <w:noWrap/>
            <w:vAlign w:val="center"/>
            <w:hideMark/>
          </w:tcPr>
          <w:p w14:paraId="4211FF68" w14:textId="77777777" w:rsidR="00F63744" w:rsidRPr="00A15058" w:rsidRDefault="00F63744" w:rsidP="00B05B3E">
            <w:pPr>
              <w:rPr>
                <w:rFonts w:ascii="Times New Roman" w:hAnsi="Times New Roman" w:cs="Times New Roman"/>
                <w:color w:val="0070C0"/>
                <w:sz w:val="16"/>
                <w:szCs w:val="16"/>
                <w:lang w:eastAsia="en-GB"/>
              </w:rPr>
            </w:pPr>
            <w:r w:rsidRPr="00A15058">
              <w:rPr>
                <w:rFonts w:ascii="Times New Roman" w:hAnsi="Times New Roman" w:cs="Times New Roman"/>
                <w:color w:val="0070C0"/>
                <w:sz w:val="16"/>
                <w:szCs w:val="16"/>
                <w:lang w:eastAsia="en-GB"/>
              </w:rPr>
              <w:t>Annual statistics</w:t>
            </w:r>
          </w:p>
        </w:tc>
        <w:tc>
          <w:tcPr>
            <w:tcW w:w="811" w:type="dxa"/>
            <w:noWrap/>
            <w:vAlign w:val="center"/>
            <w:hideMark/>
          </w:tcPr>
          <w:p w14:paraId="47801DEF" w14:textId="77777777" w:rsidR="00F63744" w:rsidRPr="00A15058" w:rsidRDefault="00F63744" w:rsidP="00B05B3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color w:val="0070C0"/>
                <w:sz w:val="16"/>
                <w:szCs w:val="16"/>
                <w:lang w:eastAsia="en-GB"/>
              </w:rPr>
              <w:t>Units</w:t>
            </w:r>
          </w:p>
        </w:tc>
        <w:tc>
          <w:tcPr>
            <w:tcW w:w="1070" w:type="dxa"/>
            <w:vAlign w:val="center"/>
            <w:hideMark/>
          </w:tcPr>
          <w:p w14:paraId="19093BE8" w14:textId="77777777" w:rsidR="00F63744" w:rsidRPr="00A15058" w:rsidRDefault="00F63744" w:rsidP="00B05B3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color w:val="0070C0"/>
                <w:sz w:val="16"/>
                <w:szCs w:val="16"/>
                <w:lang w:eastAsia="en-GB"/>
              </w:rPr>
              <w:t>2019</w:t>
            </w:r>
          </w:p>
        </w:tc>
        <w:tc>
          <w:tcPr>
            <w:tcW w:w="1070" w:type="dxa"/>
            <w:vAlign w:val="center"/>
            <w:hideMark/>
          </w:tcPr>
          <w:p w14:paraId="124C0435" w14:textId="77777777" w:rsidR="00F63744" w:rsidRPr="00A15058" w:rsidRDefault="00F63744" w:rsidP="00B05B3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color w:val="0070C0"/>
                <w:sz w:val="16"/>
                <w:szCs w:val="16"/>
                <w:lang w:eastAsia="en-GB"/>
              </w:rPr>
              <w:t>2020</w:t>
            </w:r>
          </w:p>
        </w:tc>
        <w:tc>
          <w:tcPr>
            <w:tcW w:w="1070" w:type="dxa"/>
            <w:vAlign w:val="center"/>
            <w:hideMark/>
          </w:tcPr>
          <w:p w14:paraId="094A1F54" w14:textId="77777777" w:rsidR="00F63744" w:rsidRPr="00A15058" w:rsidRDefault="00F63744" w:rsidP="00B05B3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color w:val="0070C0"/>
                <w:sz w:val="16"/>
                <w:szCs w:val="16"/>
                <w:lang w:eastAsia="en-GB"/>
              </w:rPr>
              <w:t>2021</w:t>
            </w:r>
          </w:p>
        </w:tc>
        <w:tc>
          <w:tcPr>
            <w:tcW w:w="890" w:type="dxa"/>
            <w:vAlign w:val="center"/>
            <w:hideMark/>
          </w:tcPr>
          <w:p w14:paraId="7BA08439" w14:textId="77777777" w:rsidR="00F63744" w:rsidRPr="00A15058" w:rsidRDefault="00F63744" w:rsidP="00B05B3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color w:val="0070C0"/>
                <w:sz w:val="16"/>
                <w:szCs w:val="16"/>
                <w:lang w:eastAsia="en-GB"/>
              </w:rPr>
              <w:t>2019 vs. 2020</w:t>
            </w:r>
          </w:p>
        </w:tc>
        <w:tc>
          <w:tcPr>
            <w:tcW w:w="890" w:type="dxa"/>
            <w:vAlign w:val="center"/>
            <w:hideMark/>
          </w:tcPr>
          <w:p w14:paraId="57FD6D13" w14:textId="77777777" w:rsidR="00F63744" w:rsidRPr="00A15058" w:rsidRDefault="00F63744" w:rsidP="00B05B3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color w:val="0070C0"/>
                <w:sz w:val="16"/>
                <w:szCs w:val="16"/>
                <w:lang w:eastAsia="en-GB"/>
              </w:rPr>
              <w:t>2019 vs. 2021</w:t>
            </w:r>
          </w:p>
        </w:tc>
      </w:tr>
      <w:tr w:rsidR="00F63744" w:rsidRPr="00A15058" w14:paraId="7E957008" w14:textId="77777777" w:rsidTr="00B05B3E">
        <w:trPr>
          <w:cnfStyle w:val="000000100000" w:firstRow="0" w:lastRow="0" w:firstColumn="0" w:lastColumn="0" w:oddVBand="0" w:evenVBand="0" w:oddHBand="1" w:evenHBand="0" w:firstRowFirstColumn="0" w:firstRowLastColumn="0" w:lastRowFirstColumn="0" w:lastRowLastColumn="0"/>
          <w:trHeight w:val="212"/>
        </w:trPr>
        <w:tc>
          <w:tcPr>
            <w:cnfStyle w:val="001000000000" w:firstRow="0" w:lastRow="0" w:firstColumn="1" w:lastColumn="0" w:oddVBand="0" w:evenVBand="0" w:oddHBand="0" w:evenHBand="0" w:firstRowFirstColumn="0" w:firstRowLastColumn="0" w:lastRowFirstColumn="0" w:lastRowLastColumn="0"/>
            <w:tcW w:w="3234" w:type="dxa"/>
            <w:tcBorders>
              <w:top w:val="single" w:sz="4" w:space="0" w:color="auto"/>
              <w:bottom w:val="nil"/>
            </w:tcBorders>
            <w:noWrap/>
            <w:vAlign w:val="center"/>
          </w:tcPr>
          <w:p w14:paraId="49F2A4B5" w14:textId="77777777" w:rsidR="00F63744" w:rsidRPr="00A15058" w:rsidRDefault="00F63744" w:rsidP="00B05B3E">
            <w:pPr>
              <w:rPr>
                <w:rFonts w:ascii="Times New Roman" w:hAnsi="Times New Roman" w:cs="Times New Roman"/>
                <w:b w:val="0"/>
                <w:bCs w:val="0"/>
                <w:color w:val="0070C0"/>
                <w:sz w:val="16"/>
                <w:szCs w:val="16"/>
                <w:lang w:eastAsia="en-GB"/>
              </w:rPr>
            </w:pPr>
            <w:r w:rsidRPr="00A15058">
              <w:rPr>
                <w:rFonts w:ascii="Times New Roman" w:hAnsi="Times New Roman" w:cs="Times New Roman"/>
                <w:b w:val="0"/>
                <w:bCs w:val="0"/>
                <w:color w:val="0070C0"/>
                <w:sz w:val="16"/>
                <w:szCs w:val="16"/>
                <w:lang w:eastAsia="en-GB"/>
              </w:rPr>
              <w:t>Contrail cirrus GWP</w:t>
            </w:r>
            <w:r w:rsidRPr="00A15058">
              <w:rPr>
                <w:rFonts w:ascii="Times New Roman" w:hAnsi="Times New Roman" w:cs="Times New Roman"/>
                <w:b w:val="0"/>
                <w:bCs w:val="0"/>
                <w:color w:val="0070C0"/>
                <w:sz w:val="16"/>
                <w:szCs w:val="16"/>
                <w:vertAlign w:val="subscript"/>
                <w:lang w:eastAsia="en-GB"/>
              </w:rPr>
              <w:t>20</w:t>
            </w:r>
            <w:r w:rsidRPr="00A15058">
              <w:rPr>
                <w:rFonts w:ascii="Times New Roman" w:hAnsi="Times New Roman" w:cs="Times New Roman"/>
                <w:b w:val="0"/>
                <w:bCs w:val="0"/>
                <w:color w:val="0070C0"/>
                <w:sz w:val="16"/>
                <w:szCs w:val="16"/>
                <w:vertAlign w:val="superscript"/>
                <w:lang w:eastAsia="en-GB"/>
              </w:rPr>
              <w:t>d</w:t>
            </w:r>
          </w:p>
        </w:tc>
        <w:tc>
          <w:tcPr>
            <w:tcW w:w="811" w:type="dxa"/>
            <w:tcBorders>
              <w:top w:val="single" w:sz="4" w:space="0" w:color="auto"/>
              <w:bottom w:val="nil"/>
            </w:tcBorders>
            <w:noWrap/>
            <w:vAlign w:val="center"/>
          </w:tcPr>
          <w:p w14:paraId="7CA597C8" w14:textId="77777777" w:rsidR="00F63744" w:rsidRPr="00A15058" w:rsidRDefault="00F63744" w:rsidP="00B05B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color w:val="0070C0"/>
                <w:sz w:val="16"/>
                <w:szCs w:val="16"/>
                <w:lang w:eastAsia="en-GB"/>
              </w:rPr>
              <w:t>-</w:t>
            </w:r>
          </w:p>
        </w:tc>
        <w:tc>
          <w:tcPr>
            <w:tcW w:w="1070" w:type="dxa"/>
            <w:tcBorders>
              <w:top w:val="single" w:sz="4" w:space="0" w:color="auto"/>
              <w:bottom w:val="nil"/>
            </w:tcBorders>
            <w:noWrap/>
            <w:vAlign w:val="center"/>
          </w:tcPr>
          <w:p w14:paraId="77BCC04D" w14:textId="77777777" w:rsidR="00F63744" w:rsidRPr="00A15058" w:rsidRDefault="00F63744" w:rsidP="00B05B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strike/>
                <w:color w:val="0070C0"/>
                <w:sz w:val="16"/>
                <w:szCs w:val="16"/>
                <w:lang w:eastAsia="en-GB"/>
              </w:rPr>
              <w:t>1.17</w:t>
            </w:r>
            <w:r w:rsidRPr="00A15058">
              <w:rPr>
                <w:rFonts w:ascii="Times New Roman" w:hAnsi="Times New Roman" w:cs="Times New Roman"/>
                <w:b/>
                <w:bCs/>
                <w:color w:val="0070C0"/>
                <w:sz w:val="16"/>
                <w:szCs w:val="16"/>
                <w:lang w:eastAsia="en-GB"/>
              </w:rPr>
              <w:t>1.23</w:t>
            </w:r>
          </w:p>
        </w:tc>
        <w:tc>
          <w:tcPr>
            <w:tcW w:w="1070" w:type="dxa"/>
            <w:tcBorders>
              <w:top w:val="single" w:sz="4" w:space="0" w:color="auto"/>
              <w:bottom w:val="nil"/>
            </w:tcBorders>
            <w:noWrap/>
            <w:vAlign w:val="center"/>
          </w:tcPr>
          <w:p w14:paraId="1F2A3280" w14:textId="77777777" w:rsidR="00F63744" w:rsidRPr="00A15058" w:rsidRDefault="00F63744" w:rsidP="00B05B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70C0"/>
                <w:sz w:val="16"/>
                <w:szCs w:val="16"/>
                <w:lang w:eastAsia="en-GB"/>
              </w:rPr>
            </w:pPr>
            <w:r w:rsidRPr="00D11447">
              <w:rPr>
                <w:rFonts w:ascii="Times New Roman" w:hAnsi="Times New Roman" w:cs="Times New Roman"/>
                <w:strike/>
                <w:color w:val="0070C0"/>
                <w:sz w:val="16"/>
                <w:szCs w:val="16"/>
                <w:lang w:eastAsia="en-GB"/>
              </w:rPr>
              <w:t>0.99</w:t>
            </w:r>
            <w:r w:rsidRPr="00D11447">
              <w:rPr>
                <w:rFonts w:ascii="Times New Roman" w:hAnsi="Times New Roman" w:cs="Times New Roman"/>
                <w:b/>
                <w:bCs/>
                <w:color w:val="0070C0"/>
                <w:sz w:val="16"/>
                <w:szCs w:val="16"/>
                <w:lang w:eastAsia="en-GB"/>
              </w:rPr>
              <w:t>1.05</w:t>
            </w:r>
          </w:p>
        </w:tc>
        <w:tc>
          <w:tcPr>
            <w:tcW w:w="1070" w:type="dxa"/>
            <w:tcBorders>
              <w:top w:val="single" w:sz="4" w:space="0" w:color="auto"/>
              <w:bottom w:val="nil"/>
            </w:tcBorders>
            <w:noWrap/>
            <w:vAlign w:val="center"/>
          </w:tcPr>
          <w:p w14:paraId="30E01AF6" w14:textId="77777777" w:rsidR="00F63744" w:rsidRPr="00A15058" w:rsidRDefault="00F63744" w:rsidP="00B05B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70C0"/>
                <w:sz w:val="16"/>
                <w:szCs w:val="16"/>
                <w:lang w:eastAsia="en-GB"/>
              </w:rPr>
            </w:pPr>
            <w:r w:rsidRPr="00D11447">
              <w:rPr>
                <w:rFonts w:ascii="Times New Roman" w:hAnsi="Times New Roman" w:cs="Times New Roman"/>
                <w:strike/>
                <w:color w:val="0070C0"/>
                <w:sz w:val="16"/>
                <w:szCs w:val="16"/>
                <w:lang w:eastAsia="en-GB"/>
              </w:rPr>
              <w:t>1.02</w:t>
            </w:r>
            <w:r w:rsidRPr="00D11447">
              <w:rPr>
                <w:rFonts w:ascii="Times New Roman" w:hAnsi="Times New Roman" w:cs="Times New Roman"/>
                <w:b/>
                <w:bCs/>
                <w:color w:val="0070C0"/>
                <w:sz w:val="16"/>
                <w:szCs w:val="16"/>
                <w:lang w:eastAsia="en-GB"/>
              </w:rPr>
              <w:t>1.07</w:t>
            </w:r>
          </w:p>
        </w:tc>
        <w:tc>
          <w:tcPr>
            <w:tcW w:w="890" w:type="dxa"/>
            <w:tcBorders>
              <w:top w:val="single" w:sz="4" w:space="0" w:color="auto"/>
              <w:bottom w:val="nil"/>
            </w:tcBorders>
            <w:noWrap/>
            <w:vAlign w:val="center"/>
          </w:tcPr>
          <w:p w14:paraId="20772DA1" w14:textId="77777777" w:rsidR="00F63744" w:rsidRPr="00A15058" w:rsidRDefault="00F63744" w:rsidP="00B05B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color w:val="0070C0"/>
                <w:sz w:val="16"/>
                <w:szCs w:val="16"/>
                <w:lang w:eastAsia="en-GB"/>
              </w:rPr>
              <w:t>-15%</w:t>
            </w:r>
          </w:p>
        </w:tc>
        <w:tc>
          <w:tcPr>
            <w:tcW w:w="890" w:type="dxa"/>
            <w:tcBorders>
              <w:top w:val="single" w:sz="4" w:space="0" w:color="auto"/>
              <w:bottom w:val="nil"/>
            </w:tcBorders>
            <w:noWrap/>
            <w:vAlign w:val="center"/>
          </w:tcPr>
          <w:p w14:paraId="171E404C" w14:textId="77777777" w:rsidR="00F63744" w:rsidRPr="00A15058" w:rsidRDefault="00F63744" w:rsidP="00B05B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color w:val="0070C0"/>
                <w:sz w:val="16"/>
                <w:szCs w:val="16"/>
                <w:lang w:eastAsia="en-GB"/>
              </w:rPr>
              <w:t>-13%</w:t>
            </w:r>
          </w:p>
        </w:tc>
      </w:tr>
      <w:tr w:rsidR="00F63744" w:rsidRPr="00A15058" w14:paraId="2802C418" w14:textId="77777777" w:rsidTr="00B05B3E">
        <w:trPr>
          <w:trHeight w:val="212"/>
        </w:trPr>
        <w:tc>
          <w:tcPr>
            <w:cnfStyle w:val="001000000000" w:firstRow="0" w:lastRow="0" w:firstColumn="1" w:lastColumn="0" w:oddVBand="0" w:evenVBand="0" w:oddHBand="0" w:evenHBand="0" w:firstRowFirstColumn="0" w:firstRowLastColumn="0" w:lastRowFirstColumn="0" w:lastRowLastColumn="0"/>
            <w:tcW w:w="3234" w:type="dxa"/>
            <w:tcBorders>
              <w:top w:val="nil"/>
              <w:bottom w:val="single" w:sz="4" w:space="0" w:color="auto"/>
            </w:tcBorders>
            <w:noWrap/>
            <w:vAlign w:val="center"/>
          </w:tcPr>
          <w:p w14:paraId="45F7ED99" w14:textId="77777777" w:rsidR="00F63744" w:rsidRPr="00A15058" w:rsidRDefault="00F63744" w:rsidP="00B05B3E">
            <w:pPr>
              <w:rPr>
                <w:rFonts w:ascii="Times New Roman" w:hAnsi="Times New Roman" w:cs="Times New Roman"/>
                <w:color w:val="0070C0"/>
                <w:sz w:val="16"/>
                <w:szCs w:val="16"/>
                <w:lang w:eastAsia="en-GB"/>
              </w:rPr>
            </w:pPr>
            <w:r w:rsidRPr="00A15058">
              <w:rPr>
                <w:rFonts w:ascii="Times New Roman" w:hAnsi="Times New Roman" w:cs="Times New Roman"/>
                <w:b w:val="0"/>
                <w:bCs w:val="0"/>
                <w:color w:val="0070C0"/>
                <w:sz w:val="16"/>
                <w:szCs w:val="16"/>
                <w:lang w:eastAsia="en-GB"/>
              </w:rPr>
              <w:t>Contrail cirrus GWP</w:t>
            </w:r>
            <w:r w:rsidRPr="00A15058">
              <w:rPr>
                <w:rFonts w:ascii="Times New Roman" w:hAnsi="Times New Roman" w:cs="Times New Roman"/>
                <w:b w:val="0"/>
                <w:bCs w:val="0"/>
                <w:color w:val="0070C0"/>
                <w:sz w:val="16"/>
                <w:szCs w:val="16"/>
                <w:vertAlign w:val="subscript"/>
                <w:lang w:eastAsia="en-GB"/>
              </w:rPr>
              <w:t>100</w:t>
            </w:r>
            <w:r w:rsidRPr="00A15058">
              <w:rPr>
                <w:rFonts w:ascii="Times New Roman" w:hAnsi="Times New Roman" w:cs="Times New Roman"/>
                <w:color w:val="0070C0"/>
                <w:sz w:val="16"/>
                <w:szCs w:val="16"/>
                <w:vertAlign w:val="superscript"/>
                <w:lang w:eastAsia="en-GB"/>
              </w:rPr>
              <w:t>d</w:t>
            </w:r>
          </w:p>
        </w:tc>
        <w:tc>
          <w:tcPr>
            <w:tcW w:w="811" w:type="dxa"/>
            <w:tcBorders>
              <w:top w:val="nil"/>
              <w:bottom w:val="single" w:sz="4" w:space="0" w:color="auto"/>
            </w:tcBorders>
            <w:noWrap/>
            <w:vAlign w:val="center"/>
          </w:tcPr>
          <w:p w14:paraId="5362E8D0" w14:textId="77777777" w:rsidR="00F63744" w:rsidRPr="00A15058" w:rsidRDefault="00F63744" w:rsidP="00B05B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color w:val="0070C0"/>
                <w:sz w:val="16"/>
                <w:szCs w:val="16"/>
                <w:lang w:eastAsia="en-GB"/>
              </w:rPr>
              <w:t>-</w:t>
            </w:r>
          </w:p>
        </w:tc>
        <w:tc>
          <w:tcPr>
            <w:tcW w:w="1070" w:type="dxa"/>
            <w:tcBorders>
              <w:top w:val="nil"/>
              <w:bottom w:val="single" w:sz="4" w:space="0" w:color="auto"/>
            </w:tcBorders>
            <w:noWrap/>
            <w:vAlign w:val="center"/>
          </w:tcPr>
          <w:p w14:paraId="148A526D" w14:textId="77777777" w:rsidR="00F63744" w:rsidRPr="00A15058" w:rsidRDefault="00F63744" w:rsidP="00B05B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strike/>
                <w:color w:val="0070C0"/>
                <w:sz w:val="16"/>
                <w:szCs w:val="16"/>
                <w:lang w:eastAsia="en-GB"/>
              </w:rPr>
              <w:t>0.32</w:t>
            </w:r>
            <w:r w:rsidRPr="00A15058">
              <w:rPr>
                <w:rFonts w:ascii="Times New Roman" w:hAnsi="Times New Roman" w:cs="Times New Roman"/>
                <w:b/>
                <w:bCs/>
                <w:color w:val="0070C0"/>
                <w:sz w:val="16"/>
                <w:szCs w:val="16"/>
                <w:lang w:eastAsia="en-GB"/>
              </w:rPr>
              <w:t>0.33</w:t>
            </w:r>
          </w:p>
        </w:tc>
        <w:tc>
          <w:tcPr>
            <w:tcW w:w="1070" w:type="dxa"/>
            <w:tcBorders>
              <w:top w:val="nil"/>
              <w:bottom w:val="single" w:sz="4" w:space="0" w:color="auto"/>
            </w:tcBorders>
            <w:noWrap/>
            <w:vAlign w:val="center"/>
          </w:tcPr>
          <w:p w14:paraId="1988D16D" w14:textId="77777777" w:rsidR="00F63744" w:rsidRPr="00A15058" w:rsidRDefault="00F63744" w:rsidP="00B05B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70C0"/>
                <w:sz w:val="16"/>
                <w:szCs w:val="16"/>
                <w:lang w:eastAsia="en-GB"/>
              </w:rPr>
            </w:pPr>
            <w:r w:rsidRPr="00D11447">
              <w:rPr>
                <w:rFonts w:ascii="Times New Roman" w:hAnsi="Times New Roman" w:cs="Times New Roman"/>
                <w:strike/>
                <w:color w:val="0070C0"/>
                <w:sz w:val="16"/>
                <w:szCs w:val="16"/>
                <w:lang w:eastAsia="en-GB"/>
              </w:rPr>
              <w:t>0.27</w:t>
            </w:r>
            <w:r w:rsidRPr="00D11447">
              <w:rPr>
                <w:rFonts w:ascii="Times New Roman" w:hAnsi="Times New Roman" w:cs="Times New Roman"/>
                <w:b/>
                <w:bCs/>
                <w:color w:val="0070C0"/>
                <w:sz w:val="16"/>
                <w:szCs w:val="16"/>
                <w:lang w:eastAsia="en-GB"/>
              </w:rPr>
              <w:t>0.28</w:t>
            </w:r>
          </w:p>
        </w:tc>
        <w:tc>
          <w:tcPr>
            <w:tcW w:w="1070" w:type="dxa"/>
            <w:tcBorders>
              <w:top w:val="nil"/>
              <w:bottom w:val="single" w:sz="4" w:space="0" w:color="auto"/>
            </w:tcBorders>
            <w:noWrap/>
            <w:vAlign w:val="center"/>
          </w:tcPr>
          <w:p w14:paraId="30D7146C" w14:textId="77777777" w:rsidR="00F63744" w:rsidRPr="00A15058" w:rsidRDefault="00F63744" w:rsidP="00B05B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70C0"/>
                <w:sz w:val="16"/>
                <w:szCs w:val="16"/>
                <w:lang w:eastAsia="en-GB"/>
              </w:rPr>
            </w:pPr>
            <w:r w:rsidRPr="00D11447">
              <w:rPr>
                <w:rFonts w:ascii="Times New Roman" w:hAnsi="Times New Roman" w:cs="Times New Roman"/>
                <w:strike/>
                <w:color w:val="0070C0"/>
                <w:sz w:val="16"/>
                <w:szCs w:val="16"/>
                <w:lang w:eastAsia="en-GB"/>
              </w:rPr>
              <w:t>0.28</w:t>
            </w:r>
            <w:r w:rsidRPr="00D11447">
              <w:rPr>
                <w:rFonts w:ascii="Times New Roman" w:hAnsi="Times New Roman" w:cs="Times New Roman"/>
                <w:b/>
                <w:bCs/>
                <w:color w:val="0070C0"/>
                <w:sz w:val="16"/>
                <w:szCs w:val="16"/>
                <w:lang w:eastAsia="en-GB"/>
              </w:rPr>
              <w:t>0.29</w:t>
            </w:r>
          </w:p>
        </w:tc>
        <w:tc>
          <w:tcPr>
            <w:tcW w:w="890" w:type="dxa"/>
            <w:tcBorders>
              <w:top w:val="nil"/>
              <w:bottom w:val="single" w:sz="4" w:space="0" w:color="auto"/>
            </w:tcBorders>
            <w:noWrap/>
            <w:vAlign w:val="center"/>
          </w:tcPr>
          <w:p w14:paraId="46373432" w14:textId="77777777" w:rsidR="00F63744" w:rsidRPr="00A15058" w:rsidRDefault="00F63744" w:rsidP="00B05B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color w:val="0070C0"/>
                <w:sz w:val="16"/>
                <w:szCs w:val="16"/>
                <w:lang w:eastAsia="en-GB"/>
              </w:rPr>
              <w:t>-15%</w:t>
            </w:r>
          </w:p>
        </w:tc>
        <w:tc>
          <w:tcPr>
            <w:tcW w:w="890" w:type="dxa"/>
            <w:tcBorders>
              <w:top w:val="nil"/>
              <w:bottom w:val="single" w:sz="4" w:space="0" w:color="auto"/>
            </w:tcBorders>
            <w:noWrap/>
            <w:vAlign w:val="center"/>
          </w:tcPr>
          <w:p w14:paraId="4EDA4E83" w14:textId="77777777" w:rsidR="00F63744" w:rsidRPr="00A15058" w:rsidRDefault="00F63744" w:rsidP="00B05B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70C0"/>
                <w:sz w:val="16"/>
                <w:szCs w:val="16"/>
                <w:lang w:eastAsia="en-GB"/>
              </w:rPr>
            </w:pPr>
            <w:r w:rsidRPr="00A15058">
              <w:rPr>
                <w:rFonts w:ascii="Times New Roman" w:hAnsi="Times New Roman" w:cs="Times New Roman"/>
                <w:color w:val="0070C0"/>
                <w:sz w:val="16"/>
                <w:szCs w:val="16"/>
                <w:lang w:eastAsia="en-GB"/>
              </w:rPr>
              <w:t>-13%</w:t>
            </w:r>
          </w:p>
        </w:tc>
      </w:tr>
    </w:tbl>
    <w:p w14:paraId="0D2991A8" w14:textId="77777777" w:rsidR="00F63744" w:rsidRPr="00E57C23" w:rsidRDefault="00F63744" w:rsidP="00F63744">
      <w:pPr>
        <w:spacing w:after="40"/>
        <w:jc w:val="both"/>
        <w:rPr>
          <w:rFonts w:ascii="Times New Roman" w:hAnsi="Times New Roman" w:cs="Times New Roman"/>
          <w:sz w:val="20"/>
          <w:szCs w:val="20"/>
        </w:rPr>
      </w:pPr>
    </w:p>
    <w:p w14:paraId="0EC591B5" w14:textId="38BEF12B" w:rsidR="00F63744" w:rsidRPr="00864EA8" w:rsidRDefault="00F63744" w:rsidP="00F63744">
      <w:pPr>
        <w:pStyle w:val="ListParagraph"/>
        <w:numPr>
          <w:ilvl w:val="0"/>
          <w:numId w:val="7"/>
        </w:numPr>
        <w:spacing w:after="40"/>
        <w:ind w:left="714" w:hanging="357"/>
        <w:contextualSpacing w:val="0"/>
        <w:jc w:val="both"/>
        <w:rPr>
          <w:rFonts w:ascii="Times New Roman" w:hAnsi="Times New Roman" w:cs="Times New Roman"/>
          <w:color w:val="0070C0"/>
          <w:sz w:val="20"/>
          <w:szCs w:val="20"/>
        </w:rPr>
      </w:pPr>
      <w:r w:rsidRPr="00864EA8">
        <w:rPr>
          <w:rFonts w:ascii="Times New Roman" w:hAnsi="Times New Roman" w:cs="Times New Roman"/>
          <w:b/>
          <w:bCs/>
          <w:color w:val="0070C0"/>
          <w:sz w:val="20"/>
          <w:szCs w:val="20"/>
        </w:rPr>
        <w:t xml:space="preserve">[Page 16, Lines </w:t>
      </w:r>
      <w:r w:rsidR="00495B23">
        <w:rPr>
          <w:rFonts w:ascii="Times New Roman" w:hAnsi="Times New Roman" w:cs="Times New Roman"/>
          <w:b/>
          <w:bCs/>
          <w:color w:val="0070C0"/>
          <w:sz w:val="20"/>
          <w:szCs w:val="20"/>
        </w:rPr>
        <w:t>86</w:t>
      </w:r>
      <w:r w:rsidRPr="00864EA8">
        <w:rPr>
          <w:rFonts w:ascii="Times New Roman" w:hAnsi="Times New Roman" w:cs="Times New Roman"/>
          <w:b/>
          <w:bCs/>
          <w:color w:val="0070C0"/>
          <w:sz w:val="20"/>
          <w:szCs w:val="20"/>
        </w:rPr>
        <w:t xml:space="preserve"> – </w:t>
      </w:r>
      <w:r w:rsidR="00495B23">
        <w:rPr>
          <w:rFonts w:ascii="Times New Roman" w:hAnsi="Times New Roman" w:cs="Times New Roman"/>
          <w:b/>
          <w:bCs/>
          <w:color w:val="0070C0"/>
          <w:sz w:val="20"/>
          <w:szCs w:val="20"/>
        </w:rPr>
        <w:t>88</w:t>
      </w:r>
      <w:r w:rsidRPr="00864EA8">
        <w:rPr>
          <w:rFonts w:ascii="Times New Roman" w:hAnsi="Times New Roman" w:cs="Times New Roman"/>
          <w:b/>
          <w:bCs/>
          <w:color w:val="0070C0"/>
          <w:sz w:val="20"/>
          <w:szCs w:val="20"/>
        </w:rPr>
        <w:t>]</w:t>
      </w:r>
      <w:r w:rsidRPr="00864EA8">
        <w:rPr>
          <w:rFonts w:ascii="Times New Roman" w:hAnsi="Times New Roman" w:cs="Times New Roman"/>
          <w:color w:val="0070C0"/>
          <w:sz w:val="20"/>
          <w:szCs w:val="20"/>
        </w:rPr>
        <w:t xml:space="preserve"> “Our estimates (</w:t>
      </w:r>
      <w:r w:rsidRPr="00864EA8">
        <w:rPr>
          <w:rFonts w:ascii="Times New Roman" w:hAnsi="Times New Roman" w:cs="Times New Roman"/>
          <w:strike/>
          <w:color w:val="0070C0"/>
          <w:sz w:val="20"/>
          <w:szCs w:val="20"/>
        </w:rPr>
        <w:t>1.06</w:t>
      </w:r>
      <w:r w:rsidRPr="00864EA8">
        <w:rPr>
          <w:rFonts w:ascii="Times New Roman" w:hAnsi="Times New Roman" w:cs="Times New Roman"/>
          <w:b/>
          <w:bCs/>
          <w:color w:val="0070C0"/>
          <w:sz w:val="20"/>
          <w:szCs w:val="20"/>
        </w:rPr>
        <w:t>1.12</w:t>
      </w:r>
      <w:r w:rsidRPr="00864EA8">
        <w:rPr>
          <w:rFonts w:ascii="Times New Roman" w:hAnsi="Times New Roman" w:cs="Times New Roman"/>
          <w:color w:val="0070C0"/>
          <w:sz w:val="20"/>
          <w:szCs w:val="20"/>
        </w:rPr>
        <w:t xml:space="preserve"> for GWP</w:t>
      </w:r>
      <w:r w:rsidRPr="00864EA8">
        <w:rPr>
          <w:rFonts w:ascii="Times New Roman" w:hAnsi="Times New Roman" w:cs="Times New Roman"/>
          <w:color w:val="0070C0"/>
          <w:sz w:val="20"/>
          <w:szCs w:val="20"/>
          <w:vertAlign w:val="subscript"/>
        </w:rPr>
        <w:t>20</w:t>
      </w:r>
      <w:r w:rsidRPr="00864EA8">
        <w:rPr>
          <w:rFonts w:ascii="Times New Roman" w:hAnsi="Times New Roman" w:cs="Times New Roman"/>
          <w:color w:val="0070C0"/>
          <w:sz w:val="20"/>
          <w:szCs w:val="20"/>
        </w:rPr>
        <w:t xml:space="preserve"> and </w:t>
      </w:r>
      <w:r w:rsidRPr="00864EA8">
        <w:rPr>
          <w:rFonts w:ascii="Times New Roman" w:hAnsi="Times New Roman" w:cs="Times New Roman"/>
          <w:strike/>
          <w:color w:val="0070C0"/>
          <w:sz w:val="20"/>
          <w:szCs w:val="20"/>
        </w:rPr>
        <w:t>0.29</w:t>
      </w:r>
      <w:r w:rsidRPr="00864EA8">
        <w:rPr>
          <w:rFonts w:ascii="Times New Roman" w:hAnsi="Times New Roman" w:cs="Times New Roman"/>
          <w:b/>
          <w:bCs/>
          <w:color w:val="0070C0"/>
          <w:sz w:val="20"/>
          <w:szCs w:val="20"/>
        </w:rPr>
        <w:t>0.30</w:t>
      </w:r>
      <w:r w:rsidRPr="00864EA8">
        <w:rPr>
          <w:rFonts w:ascii="Times New Roman" w:hAnsi="Times New Roman" w:cs="Times New Roman"/>
          <w:color w:val="0070C0"/>
          <w:sz w:val="20"/>
          <w:szCs w:val="20"/>
        </w:rPr>
        <w:t xml:space="preserve"> for GWP</w:t>
      </w:r>
      <w:r w:rsidRPr="00864EA8">
        <w:rPr>
          <w:rFonts w:ascii="Times New Roman" w:hAnsi="Times New Roman" w:cs="Times New Roman"/>
          <w:color w:val="0070C0"/>
          <w:sz w:val="20"/>
          <w:szCs w:val="20"/>
          <w:vertAlign w:val="subscript"/>
        </w:rPr>
        <w:t>100</w:t>
      </w:r>
      <w:r w:rsidRPr="00864EA8">
        <w:rPr>
          <w:rFonts w:ascii="Times New Roman" w:hAnsi="Times New Roman" w:cs="Times New Roman"/>
          <w:color w:val="0070C0"/>
          <w:sz w:val="20"/>
          <w:szCs w:val="20"/>
        </w:rPr>
        <w:t xml:space="preserve">) are </w:t>
      </w:r>
      <w:r w:rsidRPr="00864EA8">
        <w:rPr>
          <w:rFonts w:ascii="Times New Roman" w:hAnsi="Times New Roman" w:cs="Times New Roman"/>
          <w:strike/>
          <w:color w:val="0070C0"/>
          <w:sz w:val="20"/>
          <w:szCs w:val="20"/>
        </w:rPr>
        <w:t>54</w:t>
      </w:r>
      <w:r w:rsidRPr="00864EA8">
        <w:rPr>
          <w:rFonts w:ascii="Times New Roman" w:hAnsi="Times New Roman" w:cs="Times New Roman"/>
          <w:b/>
          <w:bCs/>
          <w:color w:val="0070C0"/>
          <w:sz w:val="20"/>
          <w:szCs w:val="20"/>
        </w:rPr>
        <w:t>52</w:t>
      </w:r>
      <w:r w:rsidRPr="00864EA8">
        <w:rPr>
          <w:rFonts w:ascii="Times New Roman" w:hAnsi="Times New Roman" w:cs="Times New Roman"/>
          <w:color w:val="0070C0"/>
          <w:sz w:val="20"/>
          <w:szCs w:val="20"/>
        </w:rPr>
        <w:t>% smaller than Lee et al. (2021) (2.32 for GWP</w:t>
      </w:r>
      <w:r w:rsidRPr="00864EA8">
        <w:rPr>
          <w:rFonts w:ascii="Times New Roman" w:hAnsi="Times New Roman" w:cs="Times New Roman"/>
          <w:color w:val="0070C0"/>
          <w:sz w:val="20"/>
          <w:szCs w:val="20"/>
          <w:vertAlign w:val="subscript"/>
        </w:rPr>
        <w:t>20</w:t>
      </w:r>
      <w:r w:rsidRPr="00864EA8">
        <w:rPr>
          <w:rFonts w:ascii="Times New Roman" w:hAnsi="Times New Roman" w:cs="Times New Roman"/>
          <w:color w:val="0070C0"/>
          <w:sz w:val="20"/>
          <w:szCs w:val="20"/>
        </w:rPr>
        <w:t xml:space="preserve"> and 0.63 for GWP</w:t>
      </w:r>
      <w:r w:rsidRPr="00864EA8">
        <w:rPr>
          <w:rFonts w:ascii="Times New Roman" w:hAnsi="Times New Roman" w:cs="Times New Roman"/>
          <w:color w:val="0070C0"/>
          <w:sz w:val="20"/>
          <w:szCs w:val="20"/>
          <w:vertAlign w:val="subscript"/>
        </w:rPr>
        <w:t>100</w:t>
      </w:r>
      <w:r w:rsidRPr="00864EA8">
        <w:rPr>
          <w:rFonts w:ascii="Times New Roman" w:hAnsi="Times New Roman" w:cs="Times New Roman"/>
          <w:color w:val="0070C0"/>
          <w:sz w:val="20"/>
          <w:szCs w:val="20"/>
        </w:rPr>
        <w:t>)”</w:t>
      </w:r>
    </w:p>
    <w:p w14:paraId="4C737EA8" w14:textId="6BB36052" w:rsidR="00F63744" w:rsidRPr="001113FA" w:rsidRDefault="00F63744" w:rsidP="00F63744">
      <w:pPr>
        <w:pStyle w:val="ListParagraph"/>
        <w:numPr>
          <w:ilvl w:val="0"/>
          <w:numId w:val="7"/>
        </w:numPr>
        <w:spacing w:after="40"/>
        <w:jc w:val="both"/>
        <w:rPr>
          <w:rFonts w:ascii="Times New Roman" w:hAnsi="Times New Roman" w:cs="Times New Roman"/>
          <w:color w:val="0070C0"/>
          <w:sz w:val="20"/>
          <w:szCs w:val="20"/>
        </w:rPr>
      </w:pPr>
      <w:r w:rsidRPr="00864EA8">
        <w:rPr>
          <w:rFonts w:ascii="Times New Roman" w:hAnsi="Times New Roman" w:cs="Times New Roman"/>
          <w:b/>
          <w:bCs/>
          <w:color w:val="0070C0"/>
          <w:sz w:val="20"/>
          <w:szCs w:val="20"/>
        </w:rPr>
        <w:t>[Page 18, Lines 1</w:t>
      </w:r>
      <w:r w:rsidR="00456599">
        <w:rPr>
          <w:rFonts w:ascii="Times New Roman" w:hAnsi="Times New Roman" w:cs="Times New Roman"/>
          <w:b/>
          <w:bCs/>
          <w:color w:val="0070C0"/>
          <w:sz w:val="20"/>
          <w:szCs w:val="20"/>
        </w:rPr>
        <w:t>7</w:t>
      </w:r>
      <w:r w:rsidRPr="00864EA8">
        <w:rPr>
          <w:rFonts w:ascii="Times New Roman" w:hAnsi="Times New Roman" w:cs="Times New Roman"/>
          <w:b/>
          <w:bCs/>
          <w:color w:val="0070C0"/>
          <w:sz w:val="20"/>
          <w:szCs w:val="20"/>
        </w:rPr>
        <w:t xml:space="preserve"> – </w:t>
      </w:r>
      <w:r w:rsidR="00456599">
        <w:rPr>
          <w:rFonts w:ascii="Times New Roman" w:hAnsi="Times New Roman" w:cs="Times New Roman"/>
          <w:b/>
          <w:bCs/>
          <w:color w:val="0070C0"/>
          <w:sz w:val="20"/>
          <w:szCs w:val="20"/>
        </w:rPr>
        <w:t>17</w:t>
      </w:r>
      <w:r w:rsidRPr="00864EA8">
        <w:rPr>
          <w:rFonts w:ascii="Times New Roman" w:hAnsi="Times New Roman" w:cs="Times New Roman"/>
          <w:b/>
          <w:bCs/>
          <w:color w:val="0070C0"/>
          <w:sz w:val="20"/>
          <w:szCs w:val="20"/>
        </w:rPr>
        <w:t>]</w:t>
      </w:r>
      <w:r w:rsidRPr="00864EA8">
        <w:rPr>
          <w:rFonts w:ascii="Times New Roman" w:hAnsi="Times New Roman" w:cs="Times New Roman"/>
          <w:color w:val="0070C0"/>
          <w:sz w:val="20"/>
          <w:szCs w:val="20"/>
        </w:rPr>
        <w:t xml:space="preserve"> “Globally, the 2019-2021 annual mean contrail cirrus GWP</w:t>
      </w:r>
      <w:r w:rsidRPr="00864EA8">
        <w:rPr>
          <w:rFonts w:ascii="Times New Roman" w:hAnsi="Times New Roman" w:cs="Times New Roman"/>
          <w:color w:val="0070C0"/>
          <w:sz w:val="20"/>
          <w:szCs w:val="20"/>
          <w:vertAlign w:val="subscript"/>
        </w:rPr>
        <w:t>100</w:t>
      </w:r>
      <w:r w:rsidRPr="00864EA8">
        <w:rPr>
          <w:rFonts w:ascii="Times New Roman" w:hAnsi="Times New Roman" w:cs="Times New Roman"/>
          <w:color w:val="0070C0"/>
          <w:sz w:val="20"/>
          <w:szCs w:val="20"/>
        </w:rPr>
        <w:t xml:space="preserve"> and GWP</w:t>
      </w:r>
      <w:r w:rsidRPr="00864EA8">
        <w:rPr>
          <w:rFonts w:ascii="Times New Roman" w:hAnsi="Times New Roman" w:cs="Times New Roman"/>
          <w:color w:val="0070C0"/>
          <w:sz w:val="20"/>
          <w:szCs w:val="20"/>
          <w:vertAlign w:val="subscript"/>
        </w:rPr>
        <w:t>20</w:t>
      </w:r>
      <w:r w:rsidRPr="00864EA8">
        <w:rPr>
          <w:rFonts w:ascii="Times New Roman" w:hAnsi="Times New Roman" w:cs="Times New Roman"/>
          <w:color w:val="0070C0"/>
          <w:sz w:val="20"/>
          <w:szCs w:val="20"/>
        </w:rPr>
        <w:t xml:space="preserve"> are estimated to be </w:t>
      </w:r>
      <w:r w:rsidRPr="00864EA8">
        <w:rPr>
          <w:rFonts w:ascii="Times New Roman" w:hAnsi="Times New Roman" w:cs="Times New Roman"/>
          <w:strike/>
          <w:color w:val="0070C0"/>
          <w:sz w:val="20"/>
          <w:szCs w:val="20"/>
        </w:rPr>
        <w:t>0.29</w:t>
      </w:r>
      <w:r w:rsidRPr="00864EA8">
        <w:rPr>
          <w:rFonts w:ascii="Times New Roman" w:hAnsi="Times New Roman" w:cs="Times New Roman"/>
          <w:b/>
          <w:bCs/>
          <w:color w:val="0070C0"/>
          <w:sz w:val="20"/>
          <w:szCs w:val="20"/>
        </w:rPr>
        <w:t>0.30</w:t>
      </w:r>
      <w:r w:rsidRPr="00864EA8">
        <w:rPr>
          <w:rFonts w:ascii="Times New Roman" w:hAnsi="Times New Roman" w:cs="Times New Roman"/>
          <w:color w:val="0070C0"/>
          <w:sz w:val="20"/>
          <w:szCs w:val="20"/>
        </w:rPr>
        <w:t xml:space="preserve"> and </w:t>
      </w:r>
      <w:r w:rsidRPr="00864EA8">
        <w:rPr>
          <w:rFonts w:ascii="Times New Roman" w:hAnsi="Times New Roman" w:cs="Times New Roman"/>
          <w:strike/>
          <w:color w:val="0070C0"/>
          <w:sz w:val="20"/>
          <w:szCs w:val="20"/>
        </w:rPr>
        <w:t>1.06</w:t>
      </w:r>
      <w:r w:rsidRPr="00864EA8">
        <w:rPr>
          <w:rFonts w:ascii="Times New Roman" w:hAnsi="Times New Roman" w:cs="Times New Roman"/>
          <w:b/>
          <w:bCs/>
          <w:color w:val="0070C0"/>
          <w:sz w:val="20"/>
          <w:szCs w:val="20"/>
        </w:rPr>
        <w:t>1.12</w:t>
      </w:r>
      <w:r w:rsidRPr="00864EA8">
        <w:rPr>
          <w:rFonts w:ascii="Times New Roman" w:hAnsi="Times New Roman" w:cs="Times New Roman"/>
          <w:color w:val="0070C0"/>
          <w:sz w:val="20"/>
          <w:szCs w:val="20"/>
        </w:rPr>
        <w:t>, respectively (Table 1).”</w:t>
      </w:r>
    </w:p>
    <w:p w14:paraId="7BAA2CA1" w14:textId="77777777" w:rsidR="00F63F84" w:rsidRPr="00F63F84" w:rsidRDefault="00F63F84" w:rsidP="00F10D65">
      <w:pPr>
        <w:autoSpaceDE w:val="0"/>
        <w:autoSpaceDN w:val="0"/>
        <w:adjustRightInd w:val="0"/>
        <w:spacing w:after="40" w:line="240" w:lineRule="auto"/>
        <w:jc w:val="both"/>
        <w:rPr>
          <w:rFonts w:ascii="NimbusRomNo9L-Regu" w:hAnsi="NimbusRomNo9L-Regu" w:cs="NimbusRomNo9L-Regu"/>
          <w:sz w:val="18"/>
          <w:szCs w:val="18"/>
          <w:lang w:val="en-MY"/>
          <w14:ligatures w14:val="standardContextual"/>
        </w:rPr>
      </w:pPr>
    </w:p>
    <w:p w14:paraId="53C7F9DF" w14:textId="1BE07C20" w:rsidR="000E41D2" w:rsidRDefault="000B43E7" w:rsidP="00F10D65">
      <w:pPr>
        <w:autoSpaceDE w:val="0"/>
        <w:autoSpaceDN w:val="0"/>
        <w:adjustRightInd w:val="0"/>
        <w:spacing w:after="0" w:line="240" w:lineRule="auto"/>
        <w:jc w:val="both"/>
        <w:rPr>
          <w:rFonts w:ascii="Times New Roman" w:hAnsi="Times New Roman" w:cs="Times New Roman"/>
          <w:sz w:val="20"/>
          <w:szCs w:val="20"/>
          <w:lang w:val="en-MY"/>
          <w14:ligatures w14:val="standardContextual"/>
        </w:rPr>
      </w:pPr>
      <w:r w:rsidRPr="00F10D65">
        <w:rPr>
          <w:rFonts w:ascii="Times New Roman" w:hAnsi="Times New Roman" w:cs="Times New Roman"/>
          <w:b/>
          <w:bCs/>
          <w:sz w:val="20"/>
          <w:szCs w:val="20"/>
        </w:rPr>
        <w:t>TS2</w:t>
      </w:r>
      <w:r w:rsidR="003E47A2">
        <w:rPr>
          <w:rFonts w:ascii="Times New Roman" w:hAnsi="Times New Roman" w:cs="Times New Roman"/>
          <w:b/>
          <w:bCs/>
          <w:sz w:val="20"/>
          <w:szCs w:val="20"/>
        </w:rPr>
        <w:t>, TS6, and TS7</w:t>
      </w:r>
      <w:r w:rsidRPr="00F10D65">
        <w:rPr>
          <w:rFonts w:ascii="Times New Roman" w:hAnsi="Times New Roman" w:cs="Times New Roman"/>
          <w:sz w:val="20"/>
          <w:szCs w:val="20"/>
        </w:rPr>
        <w:t xml:space="preserve">: </w:t>
      </w:r>
      <w:r w:rsidR="00F10D65" w:rsidRPr="00F10D65">
        <w:rPr>
          <w:rFonts w:ascii="Times New Roman" w:hAnsi="Times New Roman" w:cs="Times New Roman"/>
          <w:sz w:val="20"/>
          <w:szCs w:val="20"/>
          <w:lang w:val="en-MY"/>
          <w14:ligatures w14:val="standardContextual"/>
        </w:rPr>
        <w:t xml:space="preserve">Due to the requested changes, we </w:t>
      </w:r>
      <w:proofErr w:type="gramStart"/>
      <w:r w:rsidR="00F10D65" w:rsidRPr="00F10D65">
        <w:rPr>
          <w:rFonts w:ascii="Times New Roman" w:hAnsi="Times New Roman" w:cs="Times New Roman"/>
          <w:sz w:val="20"/>
          <w:szCs w:val="20"/>
          <w:lang w:val="en-MY"/>
          <w14:ligatures w14:val="standardContextual"/>
        </w:rPr>
        <w:t>have to</w:t>
      </w:r>
      <w:proofErr w:type="gramEnd"/>
      <w:r w:rsidR="00F10D65" w:rsidRPr="00F10D65">
        <w:rPr>
          <w:rFonts w:ascii="Times New Roman" w:hAnsi="Times New Roman" w:cs="Times New Roman"/>
          <w:sz w:val="20"/>
          <w:szCs w:val="20"/>
          <w:lang w:val="en-MY"/>
          <w14:ligatures w14:val="standardContextual"/>
        </w:rPr>
        <w:t xml:space="preserve"> forward your requests to the handling editor for approval. To explain the corrections needed to the editor, please send me the reason why these corrections are necessary. Please note that the status of your paper will be changed to "</w:t>
      </w:r>
      <w:proofErr w:type="gramStart"/>
      <w:r w:rsidR="00F10D65" w:rsidRPr="00F10D65">
        <w:rPr>
          <w:rFonts w:ascii="Times New Roman" w:hAnsi="Times New Roman" w:cs="Times New Roman"/>
          <w:sz w:val="20"/>
          <w:szCs w:val="20"/>
          <w:lang w:val="en-MY"/>
          <w14:ligatures w14:val="standardContextual"/>
        </w:rPr>
        <w:t>Post-review</w:t>
      </w:r>
      <w:proofErr w:type="gramEnd"/>
      <w:r w:rsidR="00F10D65" w:rsidRPr="00F10D65">
        <w:rPr>
          <w:rFonts w:ascii="Times New Roman" w:hAnsi="Times New Roman" w:cs="Times New Roman"/>
          <w:sz w:val="20"/>
          <w:szCs w:val="20"/>
          <w:lang w:val="en-MY"/>
          <w14:ligatures w14:val="standardContextual"/>
        </w:rPr>
        <w:t xml:space="preserve"> adjustments" until the editor has made their decision. We will keep you informed via email.</w:t>
      </w:r>
    </w:p>
    <w:p w14:paraId="6F2B23D5" w14:textId="66115231" w:rsidR="0057655B" w:rsidRPr="009029E1" w:rsidRDefault="00E574B2" w:rsidP="007F1109">
      <w:pPr>
        <w:pStyle w:val="ListParagraph"/>
        <w:numPr>
          <w:ilvl w:val="0"/>
          <w:numId w:val="8"/>
        </w:numPr>
        <w:autoSpaceDE w:val="0"/>
        <w:autoSpaceDN w:val="0"/>
        <w:adjustRightInd w:val="0"/>
        <w:spacing w:after="240" w:line="240" w:lineRule="auto"/>
        <w:ind w:left="714" w:hanging="357"/>
        <w:jc w:val="both"/>
        <w:rPr>
          <w:rFonts w:ascii="Times New Roman" w:hAnsi="Times New Roman" w:cs="Times New Roman"/>
          <w:color w:val="0070C0"/>
          <w:sz w:val="20"/>
          <w:szCs w:val="20"/>
        </w:rPr>
      </w:pPr>
      <w:r w:rsidRPr="009029E1">
        <w:rPr>
          <w:rFonts w:ascii="Times New Roman" w:hAnsi="Times New Roman" w:cs="Times New Roman"/>
          <w:color w:val="0070C0"/>
          <w:sz w:val="20"/>
          <w:szCs w:val="20"/>
        </w:rPr>
        <w:t xml:space="preserve">We have identified </w:t>
      </w:r>
      <w:r w:rsidR="00165F3A" w:rsidRPr="009029E1">
        <w:rPr>
          <w:rFonts w:ascii="Times New Roman" w:hAnsi="Times New Roman" w:cs="Times New Roman"/>
          <w:color w:val="0070C0"/>
          <w:sz w:val="20"/>
          <w:szCs w:val="20"/>
        </w:rPr>
        <w:t>a minor</w:t>
      </w:r>
      <w:r w:rsidRPr="009029E1">
        <w:rPr>
          <w:rFonts w:ascii="Times New Roman" w:hAnsi="Times New Roman" w:cs="Times New Roman"/>
          <w:color w:val="0070C0"/>
          <w:sz w:val="20"/>
          <w:szCs w:val="20"/>
        </w:rPr>
        <w:t xml:space="preserve"> error </w:t>
      </w:r>
      <w:r w:rsidR="00165F3A" w:rsidRPr="009029E1">
        <w:rPr>
          <w:rFonts w:ascii="Times New Roman" w:hAnsi="Times New Roman" w:cs="Times New Roman"/>
          <w:color w:val="0070C0"/>
          <w:sz w:val="20"/>
          <w:szCs w:val="20"/>
        </w:rPr>
        <w:t>in our Excel spreadsheet used to compute the contrail cirrus GWP</w:t>
      </w:r>
      <w:r w:rsidR="00165F3A" w:rsidRPr="009029E1">
        <w:rPr>
          <w:rFonts w:ascii="Times New Roman" w:hAnsi="Times New Roman" w:cs="Times New Roman"/>
          <w:color w:val="0070C0"/>
          <w:sz w:val="20"/>
          <w:szCs w:val="20"/>
          <w:vertAlign w:val="subscript"/>
        </w:rPr>
        <w:t>20</w:t>
      </w:r>
      <w:r w:rsidR="00165F3A" w:rsidRPr="009029E1">
        <w:rPr>
          <w:rFonts w:ascii="Times New Roman" w:hAnsi="Times New Roman" w:cs="Times New Roman"/>
          <w:color w:val="0070C0"/>
          <w:sz w:val="20"/>
          <w:szCs w:val="20"/>
        </w:rPr>
        <w:t xml:space="preserve"> and GWP</w:t>
      </w:r>
      <w:r w:rsidR="00165F3A" w:rsidRPr="009029E1">
        <w:rPr>
          <w:rFonts w:ascii="Times New Roman" w:hAnsi="Times New Roman" w:cs="Times New Roman"/>
          <w:color w:val="0070C0"/>
          <w:sz w:val="20"/>
          <w:szCs w:val="20"/>
          <w:vertAlign w:val="subscript"/>
        </w:rPr>
        <w:t>100</w:t>
      </w:r>
      <w:r w:rsidR="00165F3A" w:rsidRPr="009029E1">
        <w:rPr>
          <w:rFonts w:ascii="Times New Roman" w:hAnsi="Times New Roman" w:cs="Times New Roman"/>
          <w:color w:val="0070C0"/>
          <w:sz w:val="20"/>
          <w:szCs w:val="20"/>
        </w:rPr>
        <w:t xml:space="preserve">. </w:t>
      </w:r>
      <w:r w:rsidR="0057655B" w:rsidRPr="009029E1">
        <w:rPr>
          <w:rFonts w:ascii="Times New Roman" w:hAnsi="Times New Roman" w:cs="Times New Roman"/>
          <w:color w:val="0070C0"/>
          <w:sz w:val="20"/>
          <w:szCs w:val="20"/>
        </w:rPr>
        <w:t xml:space="preserve">This error </w:t>
      </w:r>
      <w:r w:rsidR="008C0B14">
        <w:rPr>
          <w:rFonts w:ascii="Times New Roman" w:hAnsi="Times New Roman" w:cs="Times New Roman"/>
          <w:color w:val="0070C0"/>
          <w:sz w:val="20"/>
          <w:szCs w:val="20"/>
        </w:rPr>
        <w:t xml:space="preserve">occurred because we mistakenly used the </w:t>
      </w:r>
      <w:r w:rsidR="00FE7234" w:rsidRPr="009029E1">
        <w:rPr>
          <w:rFonts w:ascii="Times New Roman" w:hAnsi="Times New Roman" w:cs="Times New Roman"/>
          <w:color w:val="0070C0"/>
          <w:sz w:val="20"/>
          <w:szCs w:val="20"/>
        </w:rPr>
        <w:t>older</w:t>
      </w:r>
      <w:r w:rsidR="008A5055" w:rsidRPr="009029E1">
        <w:rPr>
          <w:rFonts w:ascii="Times New Roman" w:hAnsi="Times New Roman" w:cs="Times New Roman"/>
          <w:color w:val="0070C0"/>
          <w:sz w:val="20"/>
          <w:szCs w:val="20"/>
        </w:rPr>
        <w:t xml:space="preserve"> AGWP</w:t>
      </w:r>
      <w:r w:rsidR="008A5055" w:rsidRPr="009029E1">
        <w:rPr>
          <w:rFonts w:ascii="Times New Roman" w:hAnsi="Times New Roman" w:cs="Times New Roman"/>
          <w:color w:val="0070C0"/>
          <w:sz w:val="20"/>
          <w:szCs w:val="20"/>
          <w:vertAlign w:val="subscript"/>
        </w:rPr>
        <w:t>CO2,20</w:t>
      </w:r>
      <w:r w:rsidR="008A5055" w:rsidRPr="009029E1">
        <w:rPr>
          <w:rFonts w:ascii="Times New Roman" w:hAnsi="Times New Roman" w:cs="Times New Roman"/>
          <w:color w:val="0070C0"/>
          <w:sz w:val="20"/>
          <w:szCs w:val="20"/>
        </w:rPr>
        <w:t xml:space="preserve"> and AGWP</w:t>
      </w:r>
      <w:r w:rsidR="008A5055" w:rsidRPr="009029E1">
        <w:rPr>
          <w:rFonts w:ascii="Times New Roman" w:hAnsi="Times New Roman" w:cs="Times New Roman"/>
          <w:color w:val="0070C0"/>
          <w:sz w:val="20"/>
          <w:szCs w:val="20"/>
          <w:vertAlign w:val="subscript"/>
        </w:rPr>
        <w:t>CO2,100</w:t>
      </w:r>
      <w:r w:rsidR="008A5055" w:rsidRPr="009029E1">
        <w:rPr>
          <w:rFonts w:ascii="Times New Roman" w:hAnsi="Times New Roman" w:cs="Times New Roman"/>
          <w:color w:val="0070C0"/>
          <w:sz w:val="20"/>
          <w:szCs w:val="20"/>
        </w:rPr>
        <w:t xml:space="preserve"> coefficients </w:t>
      </w:r>
      <w:r w:rsidR="00FE7234" w:rsidRPr="006D2C4E">
        <w:rPr>
          <w:rFonts w:ascii="Times New Roman" w:hAnsi="Times New Roman" w:cs="Times New Roman"/>
          <w:color w:val="0070C0"/>
          <w:sz w:val="20"/>
          <w:szCs w:val="20"/>
        </w:rPr>
        <w:t>from Joos et al.</w:t>
      </w:r>
      <w:r w:rsidR="00EC15E2" w:rsidRPr="006D2C4E">
        <w:rPr>
          <w:rFonts w:ascii="Times New Roman" w:hAnsi="Times New Roman" w:cs="Times New Roman"/>
          <w:color w:val="0070C0"/>
          <w:sz w:val="20"/>
          <w:szCs w:val="20"/>
        </w:rPr>
        <w:t xml:space="preserve"> </w:t>
      </w:r>
      <w:sdt>
        <w:sdtPr>
          <w:rPr>
            <w:rFonts w:ascii="Times New Roman" w:hAnsi="Times New Roman" w:cs="Times New Roman"/>
            <w:color w:val="0070C0"/>
            <w:sz w:val="20"/>
            <w:szCs w:val="20"/>
          </w:rPr>
          <w:tag w:val="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"/>
          <w:id w:val="917361209"/>
          <w:placeholder>
            <w:docPart w:val="DefaultPlaceholder_-1854013440"/>
          </w:placeholder>
        </w:sdtPr>
        <w:sdtContent>
          <w:r w:rsidR="006D2C4E" w:rsidRPr="006D2C4E">
            <w:rPr>
              <w:rFonts w:ascii="Times New Roman" w:hAnsi="Times New Roman" w:cs="Times New Roman"/>
              <w:color w:val="0070C0"/>
              <w:sz w:val="20"/>
              <w:szCs w:val="20"/>
            </w:rPr>
            <w:t>(2013)</w:t>
          </w:r>
        </w:sdtContent>
      </w:sdt>
      <w:r w:rsidR="008C0B14" w:rsidRPr="006D2C4E">
        <w:rPr>
          <w:rFonts w:ascii="Times New Roman" w:hAnsi="Times New Roman" w:cs="Times New Roman"/>
          <w:color w:val="0070C0"/>
          <w:sz w:val="20"/>
          <w:szCs w:val="20"/>
        </w:rPr>
        <w:t xml:space="preserve"> instead of the updated best estimates from </w:t>
      </w:r>
      <w:proofErr w:type="spellStart"/>
      <w:r w:rsidR="008C0B14" w:rsidRPr="006D2C4E">
        <w:rPr>
          <w:rFonts w:ascii="Times New Roman" w:hAnsi="Times New Roman" w:cs="Times New Roman"/>
          <w:color w:val="0070C0"/>
          <w:sz w:val="20"/>
          <w:szCs w:val="20"/>
        </w:rPr>
        <w:t>Gaillot</w:t>
      </w:r>
      <w:proofErr w:type="spellEnd"/>
      <w:r w:rsidR="008C0B14" w:rsidRPr="006D2C4E">
        <w:rPr>
          <w:rFonts w:ascii="Times New Roman" w:hAnsi="Times New Roman" w:cs="Times New Roman"/>
          <w:color w:val="0070C0"/>
          <w:sz w:val="20"/>
          <w:szCs w:val="20"/>
        </w:rPr>
        <w:t xml:space="preserve"> et al. </w:t>
      </w:r>
      <w:sdt>
        <w:sdtPr>
          <w:rPr>
            <w:rFonts w:ascii="Times New Roman" w:hAnsi="Times New Roman" w:cs="Times New Roman"/>
            <w:color w:val="0070C0"/>
            <w:sz w:val="20"/>
            <w:szCs w:val="20"/>
          </w:rPr>
          <w:tag w:val="MENDELEY_CITATION_v3_eyJjaXRhdGlvbklEIjoiTUVOREVMRVlfQ0lUQVRJT05fNzY5MzcyMzctYTcwMC00ZDY4LTg4ZmMtZDAxZmMzYjg5Y2Vh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"/>
          <w:id w:val="-1803231479"/>
          <w:placeholder>
            <w:docPart w:val="DefaultPlaceholder_-1854013440"/>
          </w:placeholder>
        </w:sdtPr>
        <w:sdtContent>
          <w:r w:rsidR="006D2C4E" w:rsidRPr="006D2C4E">
            <w:rPr>
              <w:rFonts w:ascii="Times New Roman" w:hAnsi="Times New Roman" w:cs="Times New Roman"/>
              <w:color w:val="0070C0"/>
              <w:sz w:val="20"/>
              <w:szCs w:val="20"/>
            </w:rPr>
            <w:t>(2023)</w:t>
          </w:r>
        </w:sdtContent>
      </w:sdt>
      <w:r w:rsidR="00FE7234" w:rsidRPr="006D2C4E">
        <w:rPr>
          <w:rFonts w:ascii="Times New Roman" w:hAnsi="Times New Roman" w:cs="Times New Roman"/>
          <w:color w:val="0070C0"/>
          <w:sz w:val="20"/>
          <w:szCs w:val="20"/>
        </w:rPr>
        <w:t>.</w:t>
      </w:r>
      <w:r w:rsidR="009029E1" w:rsidRPr="006D2C4E">
        <w:rPr>
          <w:rFonts w:ascii="Times New Roman" w:hAnsi="Times New Roman" w:cs="Times New Roman"/>
          <w:color w:val="0070C0"/>
          <w:sz w:val="20"/>
          <w:szCs w:val="20"/>
        </w:rPr>
        <w:t xml:space="preserve"> </w:t>
      </w:r>
      <w:r w:rsidR="006D2C4E">
        <w:rPr>
          <w:rFonts w:ascii="Times New Roman" w:hAnsi="Times New Roman" w:cs="Times New Roman"/>
          <w:color w:val="0070C0"/>
          <w:sz w:val="20"/>
          <w:szCs w:val="20"/>
        </w:rPr>
        <w:t>While we cited the latest coefficients correctly</w:t>
      </w:r>
      <w:r w:rsidR="00635DE9" w:rsidRPr="006D2C4E">
        <w:rPr>
          <w:rFonts w:ascii="Times New Roman" w:hAnsi="Times New Roman" w:cs="Times New Roman"/>
          <w:color w:val="0070C0"/>
          <w:sz w:val="20"/>
          <w:szCs w:val="20"/>
        </w:rPr>
        <w:t xml:space="preserve"> (see page 6, lines 39 to 43)</w:t>
      </w:r>
      <w:r w:rsidR="006D2C4E">
        <w:rPr>
          <w:rFonts w:ascii="Times New Roman" w:hAnsi="Times New Roman" w:cs="Times New Roman"/>
          <w:color w:val="0070C0"/>
          <w:sz w:val="20"/>
          <w:szCs w:val="20"/>
        </w:rPr>
        <w:t>, we inadvertently used the</w:t>
      </w:r>
      <w:r w:rsidR="00635DE9" w:rsidRPr="006D2C4E">
        <w:rPr>
          <w:rFonts w:ascii="Times New Roman" w:hAnsi="Times New Roman" w:cs="Times New Roman"/>
          <w:color w:val="0070C0"/>
          <w:sz w:val="20"/>
          <w:szCs w:val="20"/>
        </w:rPr>
        <w:t xml:space="preserve"> older </w:t>
      </w:r>
      <w:r w:rsidR="006D2C4E">
        <w:rPr>
          <w:rFonts w:ascii="Times New Roman" w:hAnsi="Times New Roman" w:cs="Times New Roman"/>
          <w:color w:val="0070C0"/>
          <w:sz w:val="20"/>
          <w:szCs w:val="20"/>
        </w:rPr>
        <w:t>values</w:t>
      </w:r>
      <w:r w:rsidR="00635DE9" w:rsidRPr="006D2C4E">
        <w:rPr>
          <w:rFonts w:ascii="Times New Roman" w:hAnsi="Times New Roman" w:cs="Times New Roman"/>
          <w:color w:val="0070C0"/>
          <w:sz w:val="20"/>
          <w:szCs w:val="20"/>
        </w:rPr>
        <w:t xml:space="preserve"> in our spreadsheet.</w:t>
      </w:r>
    </w:p>
    <w:p w14:paraId="01E87A23" w14:textId="778DE037" w:rsidR="000E41D2" w:rsidRDefault="003113FF" w:rsidP="003113FF">
      <w:pPr>
        <w:pStyle w:val="ListParagraph"/>
        <w:numPr>
          <w:ilvl w:val="0"/>
          <w:numId w:val="8"/>
        </w:numPr>
        <w:autoSpaceDE w:val="0"/>
        <w:autoSpaceDN w:val="0"/>
        <w:adjustRightInd w:val="0"/>
        <w:spacing w:after="240" w:line="240" w:lineRule="auto"/>
        <w:ind w:left="714" w:hanging="357"/>
        <w:jc w:val="both"/>
        <w:rPr>
          <w:rFonts w:ascii="Times New Roman" w:hAnsi="Times New Roman" w:cs="Times New Roman"/>
          <w:color w:val="0070C0"/>
          <w:sz w:val="20"/>
          <w:szCs w:val="20"/>
        </w:rPr>
      </w:pPr>
      <w:r w:rsidRPr="009029E1">
        <w:rPr>
          <w:rFonts w:ascii="Times New Roman" w:hAnsi="Times New Roman" w:cs="Times New Roman"/>
          <w:color w:val="0070C0"/>
          <w:sz w:val="20"/>
          <w:szCs w:val="20"/>
        </w:rPr>
        <w:t xml:space="preserve">We note that this error only leads to </w:t>
      </w:r>
      <w:r w:rsidR="002A1806">
        <w:rPr>
          <w:rFonts w:ascii="Times New Roman" w:hAnsi="Times New Roman" w:cs="Times New Roman"/>
          <w:color w:val="0070C0"/>
          <w:sz w:val="20"/>
          <w:szCs w:val="20"/>
        </w:rPr>
        <w:t xml:space="preserve">very </w:t>
      </w:r>
      <w:r w:rsidRPr="009029E1">
        <w:rPr>
          <w:rFonts w:ascii="Times New Roman" w:hAnsi="Times New Roman" w:cs="Times New Roman"/>
          <w:color w:val="0070C0"/>
          <w:sz w:val="20"/>
          <w:szCs w:val="20"/>
        </w:rPr>
        <w:t xml:space="preserve">minor </w:t>
      </w:r>
      <w:r w:rsidR="002A1806">
        <w:rPr>
          <w:rFonts w:ascii="Times New Roman" w:hAnsi="Times New Roman" w:cs="Times New Roman"/>
          <w:color w:val="0070C0"/>
          <w:sz w:val="20"/>
          <w:szCs w:val="20"/>
        </w:rPr>
        <w:t>differences</w:t>
      </w:r>
      <w:r w:rsidRPr="009029E1">
        <w:rPr>
          <w:rFonts w:ascii="Times New Roman" w:hAnsi="Times New Roman" w:cs="Times New Roman"/>
          <w:color w:val="0070C0"/>
          <w:sz w:val="20"/>
          <w:szCs w:val="20"/>
        </w:rPr>
        <w:t xml:space="preserve"> in GWP</w:t>
      </w:r>
      <w:r w:rsidRPr="009029E1">
        <w:rPr>
          <w:rFonts w:ascii="Times New Roman" w:hAnsi="Times New Roman" w:cs="Times New Roman"/>
          <w:color w:val="0070C0"/>
          <w:sz w:val="20"/>
          <w:szCs w:val="20"/>
          <w:vertAlign w:val="subscript"/>
        </w:rPr>
        <w:t>20</w:t>
      </w:r>
      <w:r w:rsidRPr="009029E1">
        <w:rPr>
          <w:rFonts w:ascii="Times New Roman" w:hAnsi="Times New Roman" w:cs="Times New Roman"/>
          <w:color w:val="0070C0"/>
          <w:sz w:val="20"/>
          <w:szCs w:val="20"/>
        </w:rPr>
        <w:t xml:space="preserve"> and GWP</w:t>
      </w:r>
      <w:r w:rsidRPr="009029E1">
        <w:rPr>
          <w:rFonts w:ascii="Times New Roman" w:hAnsi="Times New Roman" w:cs="Times New Roman"/>
          <w:color w:val="0070C0"/>
          <w:sz w:val="20"/>
          <w:szCs w:val="20"/>
          <w:vertAlign w:val="subscript"/>
        </w:rPr>
        <w:t>100</w:t>
      </w:r>
      <w:r w:rsidRPr="009029E1">
        <w:rPr>
          <w:rFonts w:ascii="Times New Roman" w:hAnsi="Times New Roman" w:cs="Times New Roman"/>
          <w:color w:val="0070C0"/>
          <w:sz w:val="20"/>
          <w:szCs w:val="20"/>
        </w:rPr>
        <w:t xml:space="preserve"> and does not affect any of the findings presented in this paper. </w:t>
      </w:r>
      <w:r w:rsidR="00E574B2" w:rsidRPr="009029E1">
        <w:rPr>
          <w:rFonts w:ascii="Times New Roman" w:hAnsi="Times New Roman" w:cs="Times New Roman"/>
          <w:color w:val="0070C0"/>
          <w:sz w:val="20"/>
          <w:szCs w:val="20"/>
        </w:rPr>
        <w:t xml:space="preserve"> </w:t>
      </w:r>
    </w:p>
    <w:p w14:paraId="4597A5ED" w14:textId="77777777" w:rsidR="00495B23" w:rsidRPr="00495B23" w:rsidRDefault="00495B23" w:rsidP="00495B23">
      <w:pPr>
        <w:autoSpaceDE w:val="0"/>
        <w:autoSpaceDN w:val="0"/>
        <w:adjustRightInd w:val="0"/>
        <w:spacing w:after="240" w:line="240" w:lineRule="auto"/>
        <w:jc w:val="both"/>
        <w:rPr>
          <w:rFonts w:ascii="Times New Roman" w:hAnsi="Times New Roman" w:cs="Times New Roman"/>
          <w:color w:val="0070C0"/>
          <w:sz w:val="20"/>
          <w:szCs w:val="20"/>
        </w:rPr>
      </w:pPr>
    </w:p>
    <w:p w14:paraId="6ACE105B" w14:textId="259E0CB4" w:rsidR="00495B23" w:rsidRDefault="00495B23" w:rsidP="00242138">
      <w:pPr>
        <w:autoSpaceDE w:val="0"/>
        <w:autoSpaceDN w:val="0"/>
        <w:adjustRightInd w:val="0"/>
        <w:spacing w:after="0" w:line="240" w:lineRule="auto"/>
        <w:jc w:val="both"/>
        <w:rPr>
          <w:rFonts w:ascii="Times New Roman" w:hAnsi="Times New Roman" w:cs="Times New Roman"/>
          <w:b/>
          <w:bCs/>
          <w:sz w:val="20"/>
          <w:szCs w:val="20"/>
        </w:rPr>
      </w:pPr>
      <w:r w:rsidRPr="00B07D54">
        <w:rPr>
          <w:rFonts w:ascii="Times New Roman" w:hAnsi="Times New Roman" w:cs="Times New Roman"/>
          <w:color w:val="0070C0"/>
          <w:sz w:val="20"/>
          <w:szCs w:val="20"/>
          <w:lang w:val="en-MY"/>
          <w14:ligatures w14:val="standardContextual"/>
        </w:rPr>
        <w:t xml:space="preserve">In addition, we also noticed a type error in Table 3 that originated from our end, where the row “contrail-contrail overlapping” and column “radiative heating effects” should be </w:t>
      </w:r>
      <w:r>
        <w:rPr>
          <w:rFonts w:ascii="Times New Roman" w:hAnsi="Times New Roman" w:cs="Times New Roman"/>
          <w:color w:val="0070C0"/>
          <w:sz w:val="20"/>
          <w:szCs w:val="20"/>
          <w:lang w:val="en-MY"/>
          <w14:ligatures w14:val="standardContextual"/>
        </w:rPr>
        <w:t>changed</w:t>
      </w:r>
      <w:r w:rsidRPr="00B07D54">
        <w:rPr>
          <w:rFonts w:ascii="Times New Roman" w:hAnsi="Times New Roman" w:cs="Times New Roman"/>
          <w:color w:val="0070C0"/>
          <w:sz w:val="20"/>
          <w:szCs w:val="20"/>
          <w:lang w:val="en-MY"/>
          <w14:ligatures w14:val="standardContextual"/>
        </w:rPr>
        <w:t xml:space="preserve"> from “</w:t>
      </w:r>
      <w:r w:rsidRPr="00B07D54">
        <w:rPr>
          <w:rFonts w:ascii="Segoe UI Symbol" w:hAnsi="Segoe UI Symbol" w:cs="Times New Roman"/>
          <w:color w:val="0070C0"/>
          <w:sz w:val="20"/>
          <w:szCs w:val="20"/>
          <w:lang w:val="en-MY"/>
          <w14:ligatures w14:val="standardContextual"/>
        </w:rPr>
        <w:t>✕</w:t>
      </w:r>
      <w:r w:rsidRPr="00B07D54">
        <w:rPr>
          <w:rFonts w:ascii="Times New Roman" w:hAnsi="Times New Roman" w:cs="Times New Roman"/>
          <w:color w:val="0070C0"/>
          <w:sz w:val="20"/>
          <w:szCs w:val="20"/>
          <w:lang w:val="en-MY"/>
          <w14:ligatures w14:val="standardContextual"/>
        </w:rPr>
        <w:t>” to “</w:t>
      </w:r>
      <w:r w:rsidRPr="00B07D54">
        <w:rPr>
          <w:rFonts w:ascii="Segoe UI Symbol" w:hAnsi="Segoe UI Symbol" w:cs="Times New Roman"/>
          <w:color w:val="0070C0"/>
          <w:sz w:val="20"/>
          <w:szCs w:val="20"/>
          <w:lang w:val="en-MY"/>
          <w14:ligatures w14:val="standardContextual"/>
        </w:rPr>
        <w:t>✓</w:t>
      </w:r>
      <w:r w:rsidRPr="00B07D54">
        <w:rPr>
          <w:rFonts w:ascii="Times New Roman" w:hAnsi="Times New Roman" w:cs="Times New Roman"/>
          <w:color w:val="0070C0"/>
          <w:sz w:val="20"/>
          <w:szCs w:val="20"/>
          <w:lang w:val="en-MY"/>
          <w14:ligatures w14:val="standardContextual"/>
        </w:rPr>
        <w:t>”</w:t>
      </w:r>
    </w:p>
    <w:p w14:paraId="511B7681" w14:textId="77777777" w:rsidR="00495B23" w:rsidRDefault="00495B23" w:rsidP="00242138">
      <w:pPr>
        <w:autoSpaceDE w:val="0"/>
        <w:autoSpaceDN w:val="0"/>
        <w:adjustRightInd w:val="0"/>
        <w:spacing w:after="0" w:line="240" w:lineRule="auto"/>
        <w:jc w:val="both"/>
        <w:rPr>
          <w:rFonts w:ascii="Times New Roman" w:hAnsi="Times New Roman" w:cs="Times New Roman"/>
          <w:b/>
          <w:bCs/>
          <w:sz w:val="20"/>
          <w:szCs w:val="20"/>
        </w:rPr>
      </w:pPr>
    </w:p>
    <w:p w14:paraId="3CD00A55" w14:textId="7E565583" w:rsidR="00CA1674" w:rsidRDefault="00242138" w:rsidP="00242138">
      <w:pPr>
        <w:autoSpaceDE w:val="0"/>
        <w:autoSpaceDN w:val="0"/>
        <w:adjustRightInd w:val="0"/>
        <w:spacing w:after="0" w:line="240" w:lineRule="auto"/>
        <w:jc w:val="both"/>
        <w:rPr>
          <w:rFonts w:ascii="Times New Roman" w:hAnsi="Times New Roman" w:cs="Times New Roman"/>
          <w:sz w:val="20"/>
          <w:szCs w:val="20"/>
          <w:lang w:val="en-MY"/>
          <w14:ligatures w14:val="standardContextual"/>
        </w:rPr>
      </w:pPr>
      <w:r w:rsidRPr="00F10D65">
        <w:rPr>
          <w:rFonts w:ascii="Times New Roman" w:hAnsi="Times New Roman" w:cs="Times New Roman"/>
          <w:b/>
          <w:bCs/>
          <w:sz w:val="20"/>
          <w:szCs w:val="20"/>
        </w:rPr>
        <w:t>TS</w:t>
      </w:r>
      <w:r>
        <w:rPr>
          <w:rFonts w:ascii="Times New Roman" w:hAnsi="Times New Roman" w:cs="Times New Roman"/>
          <w:b/>
          <w:bCs/>
          <w:sz w:val="20"/>
          <w:szCs w:val="20"/>
        </w:rPr>
        <w:t>5</w:t>
      </w:r>
      <w:r w:rsidRPr="00F10D65">
        <w:rPr>
          <w:rFonts w:ascii="Times New Roman" w:hAnsi="Times New Roman" w:cs="Times New Roman"/>
          <w:sz w:val="20"/>
          <w:szCs w:val="20"/>
        </w:rPr>
        <w:t xml:space="preserve">: </w:t>
      </w:r>
      <w:r w:rsidRPr="00F10D65">
        <w:rPr>
          <w:rFonts w:ascii="Times New Roman" w:hAnsi="Times New Roman" w:cs="Times New Roman"/>
          <w:sz w:val="20"/>
          <w:szCs w:val="20"/>
          <w:lang w:val="en-MY"/>
          <w14:ligatures w14:val="standardContextual"/>
        </w:rPr>
        <w:t xml:space="preserve">Due to the requested changes, we </w:t>
      </w:r>
      <w:proofErr w:type="gramStart"/>
      <w:r w:rsidRPr="00F10D65">
        <w:rPr>
          <w:rFonts w:ascii="Times New Roman" w:hAnsi="Times New Roman" w:cs="Times New Roman"/>
          <w:sz w:val="20"/>
          <w:szCs w:val="20"/>
          <w:lang w:val="en-MY"/>
          <w14:ligatures w14:val="standardContextual"/>
        </w:rPr>
        <w:t>have to</w:t>
      </w:r>
      <w:proofErr w:type="gramEnd"/>
      <w:r w:rsidRPr="00F10D65">
        <w:rPr>
          <w:rFonts w:ascii="Times New Roman" w:hAnsi="Times New Roman" w:cs="Times New Roman"/>
          <w:sz w:val="20"/>
          <w:szCs w:val="20"/>
          <w:lang w:val="en-MY"/>
          <w14:ligatures w14:val="standardContextual"/>
        </w:rPr>
        <w:t xml:space="preserve"> forward your requests to the handling editor for approval. To explain the corrections needed to the editor, please send me the reason why these corrections are necessary. Please note that the status of your paper will be changed to "</w:t>
      </w:r>
      <w:proofErr w:type="gramStart"/>
      <w:r w:rsidRPr="00F10D65">
        <w:rPr>
          <w:rFonts w:ascii="Times New Roman" w:hAnsi="Times New Roman" w:cs="Times New Roman"/>
          <w:sz w:val="20"/>
          <w:szCs w:val="20"/>
          <w:lang w:val="en-MY"/>
          <w14:ligatures w14:val="standardContextual"/>
        </w:rPr>
        <w:t>Post-review</w:t>
      </w:r>
      <w:proofErr w:type="gramEnd"/>
      <w:r w:rsidRPr="00F10D65">
        <w:rPr>
          <w:rFonts w:ascii="Times New Roman" w:hAnsi="Times New Roman" w:cs="Times New Roman"/>
          <w:sz w:val="20"/>
          <w:szCs w:val="20"/>
          <w:lang w:val="en-MY"/>
          <w14:ligatures w14:val="standardContextual"/>
        </w:rPr>
        <w:t xml:space="preserve"> adjustments" until the editor has made their decision. We will keep you informed via email.</w:t>
      </w:r>
    </w:p>
    <w:p w14:paraId="2C823C6F" w14:textId="5ABDADC4" w:rsidR="004A53B0" w:rsidRPr="004A53B0" w:rsidRDefault="00885B80" w:rsidP="00885B80">
      <w:pPr>
        <w:pStyle w:val="ListParagraph"/>
        <w:numPr>
          <w:ilvl w:val="0"/>
          <w:numId w:val="8"/>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color w:val="0070C0"/>
          <w:sz w:val="20"/>
          <w:szCs w:val="20"/>
        </w:rPr>
        <w:t xml:space="preserve">We have identified this type error while reviewing the proof of the manuscript. </w:t>
      </w:r>
      <w:r w:rsidR="00BD61C4">
        <w:rPr>
          <w:rFonts w:ascii="Times New Roman" w:hAnsi="Times New Roman" w:cs="Times New Roman"/>
          <w:color w:val="0070C0"/>
          <w:sz w:val="20"/>
          <w:szCs w:val="20"/>
        </w:rPr>
        <w:t>We perform a sensitivity analysis by varying one model parameter at a time, and all the baseline simulations have the radiative heating effects activated. Therefore, t</w:t>
      </w:r>
      <w:r w:rsidR="00DF1008" w:rsidRPr="00B07D54">
        <w:rPr>
          <w:rFonts w:ascii="Times New Roman" w:hAnsi="Times New Roman" w:cs="Times New Roman"/>
          <w:color w:val="0070C0"/>
          <w:sz w:val="20"/>
          <w:szCs w:val="20"/>
        </w:rPr>
        <w:t xml:space="preserve">he row “contrail-contrail overlapping” and column “radiative heating effects” should be </w:t>
      </w:r>
      <w:r w:rsidR="00DF1008">
        <w:rPr>
          <w:rFonts w:ascii="Times New Roman" w:hAnsi="Times New Roman" w:cs="Times New Roman"/>
          <w:color w:val="0070C0"/>
          <w:sz w:val="20"/>
          <w:szCs w:val="20"/>
        </w:rPr>
        <w:t>changed</w:t>
      </w:r>
      <w:r w:rsidR="00DF1008" w:rsidRPr="00B07D54">
        <w:rPr>
          <w:rFonts w:ascii="Times New Roman" w:hAnsi="Times New Roman" w:cs="Times New Roman"/>
          <w:color w:val="0070C0"/>
          <w:sz w:val="20"/>
          <w:szCs w:val="20"/>
        </w:rPr>
        <w:t xml:space="preserve"> from “</w:t>
      </w:r>
      <w:r w:rsidR="00DF1008" w:rsidRPr="00B07D54">
        <w:rPr>
          <w:rFonts w:ascii="Segoe UI Symbol" w:hAnsi="Segoe UI Symbol" w:cs="Times New Roman"/>
          <w:color w:val="0070C0"/>
          <w:sz w:val="20"/>
          <w:szCs w:val="20"/>
        </w:rPr>
        <w:t>✕</w:t>
      </w:r>
      <w:r w:rsidR="00DF1008" w:rsidRPr="00B07D54">
        <w:rPr>
          <w:rFonts w:ascii="Times New Roman" w:hAnsi="Times New Roman" w:cs="Times New Roman"/>
          <w:color w:val="0070C0"/>
          <w:sz w:val="20"/>
          <w:szCs w:val="20"/>
        </w:rPr>
        <w:t>” to “</w:t>
      </w:r>
      <w:r w:rsidR="00DF1008" w:rsidRPr="00B07D54">
        <w:rPr>
          <w:rFonts w:ascii="Segoe UI Symbol" w:hAnsi="Segoe UI Symbol" w:cs="Times New Roman"/>
          <w:color w:val="0070C0"/>
          <w:sz w:val="20"/>
          <w:szCs w:val="20"/>
        </w:rPr>
        <w:t>✓</w:t>
      </w:r>
      <w:r w:rsidR="00DF1008" w:rsidRPr="00B07D54">
        <w:rPr>
          <w:rFonts w:ascii="Times New Roman" w:hAnsi="Times New Roman" w:cs="Times New Roman"/>
          <w:color w:val="0070C0"/>
          <w:sz w:val="20"/>
          <w:szCs w:val="20"/>
        </w:rPr>
        <w:t>”</w:t>
      </w:r>
      <w:r w:rsidR="00636A93">
        <w:rPr>
          <w:rFonts w:ascii="Times New Roman" w:hAnsi="Times New Roman" w:cs="Times New Roman"/>
          <w:color w:val="0070C0"/>
          <w:sz w:val="20"/>
          <w:szCs w:val="20"/>
        </w:rPr>
        <w:t xml:space="preserve">. </w:t>
      </w:r>
    </w:p>
    <w:p w14:paraId="471AFC2D" w14:textId="5365E2B1" w:rsidR="001A3689" w:rsidRPr="00885B80" w:rsidRDefault="00636A93" w:rsidP="00885B80">
      <w:pPr>
        <w:pStyle w:val="ListParagraph"/>
        <w:numPr>
          <w:ilvl w:val="0"/>
          <w:numId w:val="8"/>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color w:val="0070C0"/>
          <w:sz w:val="20"/>
          <w:szCs w:val="20"/>
        </w:rPr>
        <w:t>We note that t</w:t>
      </w:r>
      <w:r w:rsidR="00885B80">
        <w:rPr>
          <w:rFonts w:ascii="Times New Roman" w:hAnsi="Times New Roman" w:cs="Times New Roman"/>
          <w:color w:val="0070C0"/>
          <w:sz w:val="20"/>
          <w:szCs w:val="20"/>
        </w:rPr>
        <w:t>his type error does no</w:t>
      </w:r>
      <w:r w:rsidR="004A53B0">
        <w:rPr>
          <w:rFonts w:ascii="Times New Roman" w:hAnsi="Times New Roman" w:cs="Times New Roman"/>
          <w:color w:val="0070C0"/>
          <w:sz w:val="20"/>
          <w:szCs w:val="20"/>
        </w:rPr>
        <w:t>t</w:t>
      </w:r>
      <w:r w:rsidR="00040447">
        <w:rPr>
          <w:rFonts w:ascii="Times New Roman" w:hAnsi="Times New Roman" w:cs="Times New Roman"/>
          <w:color w:val="0070C0"/>
          <w:sz w:val="20"/>
          <w:szCs w:val="20"/>
        </w:rPr>
        <w:t xml:space="preserve"> affect</w:t>
      </w:r>
      <w:r w:rsidR="004A53B0">
        <w:rPr>
          <w:rFonts w:ascii="Times New Roman" w:hAnsi="Times New Roman" w:cs="Times New Roman"/>
          <w:color w:val="0070C0"/>
          <w:sz w:val="20"/>
          <w:szCs w:val="20"/>
        </w:rPr>
        <w:t xml:space="preserve"> any of the results </w:t>
      </w:r>
      <w:r w:rsidR="00040447">
        <w:rPr>
          <w:rFonts w:ascii="Times New Roman" w:hAnsi="Times New Roman" w:cs="Times New Roman"/>
          <w:color w:val="0070C0"/>
          <w:sz w:val="20"/>
          <w:szCs w:val="20"/>
        </w:rPr>
        <w:t xml:space="preserve">presented in </w:t>
      </w:r>
      <w:r w:rsidR="004A53B0">
        <w:rPr>
          <w:rFonts w:ascii="Times New Roman" w:hAnsi="Times New Roman" w:cs="Times New Roman"/>
          <w:color w:val="0070C0"/>
          <w:sz w:val="20"/>
          <w:szCs w:val="20"/>
        </w:rPr>
        <w:t xml:space="preserve">this paper. </w:t>
      </w:r>
    </w:p>
    <w:p w14:paraId="210E89B6" w14:textId="77777777" w:rsidR="00DE3448" w:rsidRDefault="00DE3448" w:rsidP="008C7194">
      <w:pPr>
        <w:spacing w:after="240"/>
        <w:jc w:val="both"/>
        <w:rPr>
          <w:rFonts w:ascii="Times New Roman" w:hAnsi="Times New Roman" w:cs="Times New Roman"/>
          <w:color w:val="0070C0"/>
          <w:sz w:val="20"/>
          <w:szCs w:val="20"/>
        </w:rPr>
      </w:pPr>
    </w:p>
    <w:p w14:paraId="0BC5B0BF" w14:textId="0A90429A" w:rsidR="00CC65BF" w:rsidRDefault="00CC65BF" w:rsidP="00CC65BF">
      <w:pPr>
        <w:spacing w:after="240"/>
        <w:jc w:val="both"/>
        <w:rPr>
          <w:rFonts w:ascii="Times New Roman" w:hAnsi="Times New Roman" w:cs="Times New Roman"/>
          <w:b/>
          <w:bCs/>
        </w:rPr>
      </w:pPr>
      <w:r>
        <w:rPr>
          <w:rFonts w:ascii="Times New Roman" w:hAnsi="Times New Roman" w:cs="Times New Roman"/>
          <w:b/>
          <w:bCs/>
        </w:rPr>
        <w:t>References</w:t>
      </w:r>
    </w:p>
    <w:sdt>
      <w:sdtPr>
        <w:rPr>
          <w:rFonts w:ascii="Times New Roman" w:hAnsi="Times New Roman" w:cs="Times New Roman"/>
        </w:rPr>
        <w:tag w:val="MENDELEY_BIBLIOGRAPHY"/>
        <w:id w:val="992069185"/>
        <w:placeholder>
          <w:docPart w:val="DefaultPlaceholder_-1854013440"/>
        </w:placeholder>
      </w:sdtPr>
      <w:sdtContent>
        <w:p w14:paraId="4B09873E" w14:textId="77777777" w:rsidR="00DE3448" w:rsidRPr="00DE3448" w:rsidRDefault="00DE3448">
          <w:pPr>
            <w:autoSpaceDE w:val="0"/>
            <w:autoSpaceDN w:val="0"/>
            <w:ind w:hanging="480"/>
            <w:divId w:val="1506094675"/>
            <w:rPr>
              <w:rFonts w:ascii="Times New Roman" w:eastAsia="Times New Roman" w:hAnsi="Times New Roman" w:cs="Times New Roman"/>
            </w:rPr>
          </w:pPr>
          <w:proofErr w:type="spellStart"/>
          <w:r w:rsidRPr="00DE3448">
            <w:rPr>
              <w:rFonts w:ascii="Times New Roman" w:eastAsia="Times New Roman" w:hAnsi="Times New Roman" w:cs="Times New Roman"/>
              <w:sz w:val="20"/>
              <w:szCs w:val="20"/>
            </w:rPr>
            <w:t>Gaillot</w:t>
          </w:r>
          <w:proofErr w:type="spellEnd"/>
          <w:r w:rsidRPr="00DE3448">
            <w:rPr>
              <w:rFonts w:ascii="Times New Roman" w:eastAsia="Times New Roman" w:hAnsi="Times New Roman" w:cs="Times New Roman"/>
              <w:sz w:val="20"/>
              <w:szCs w:val="20"/>
            </w:rPr>
            <w:t xml:space="preserve">, T., </w:t>
          </w:r>
          <w:proofErr w:type="spellStart"/>
          <w:r w:rsidRPr="00DE3448">
            <w:rPr>
              <w:rFonts w:ascii="Times New Roman" w:eastAsia="Times New Roman" w:hAnsi="Times New Roman" w:cs="Times New Roman"/>
              <w:sz w:val="20"/>
              <w:szCs w:val="20"/>
            </w:rPr>
            <w:t>Beauchet</w:t>
          </w:r>
          <w:proofErr w:type="spellEnd"/>
          <w:r w:rsidRPr="00DE3448">
            <w:rPr>
              <w:rFonts w:ascii="Times New Roman" w:eastAsia="Times New Roman" w:hAnsi="Times New Roman" w:cs="Times New Roman"/>
              <w:sz w:val="20"/>
              <w:szCs w:val="20"/>
            </w:rPr>
            <w:t xml:space="preserve">, S., Lorne, D., &amp; Krim, L. (2023). The impact of fossil jet fuel emissions at altitude on climate change: A life cycle assessment study of a long-haul flight at different time horizons. </w:t>
          </w:r>
          <w:r w:rsidRPr="00DE3448">
            <w:rPr>
              <w:rFonts w:ascii="Times New Roman" w:eastAsia="Times New Roman" w:hAnsi="Times New Roman" w:cs="Times New Roman"/>
              <w:i/>
              <w:iCs/>
              <w:sz w:val="20"/>
              <w:szCs w:val="20"/>
            </w:rPr>
            <w:t>Atmospheric Environment</w:t>
          </w:r>
          <w:r w:rsidRPr="00DE3448">
            <w:rPr>
              <w:rFonts w:ascii="Times New Roman" w:eastAsia="Times New Roman" w:hAnsi="Times New Roman" w:cs="Times New Roman"/>
              <w:sz w:val="20"/>
              <w:szCs w:val="20"/>
            </w:rPr>
            <w:t xml:space="preserve">, </w:t>
          </w:r>
          <w:r w:rsidRPr="00DE3448">
            <w:rPr>
              <w:rFonts w:ascii="Times New Roman" w:eastAsia="Times New Roman" w:hAnsi="Times New Roman" w:cs="Times New Roman"/>
              <w:i/>
              <w:iCs/>
              <w:sz w:val="20"/>
              <w:szCs w:val="20"/>
            </w:rPr>
            <w:t>311</w:t>
          </w:r>
          <w:r w:rsidRPr="00DE3448">
            <w:rPr>
              <w:rFonts w:ascii="Times New Roman" w:eastAsia="Times New Roman" w:hAnsi="Times New Roman" w:cs="Times New Roman"/>
              <w:sz w:val="20"/>
              <w:szCs w:val="20"/>
            </w:rPr>
            <w:t>, 119983. https://doi.org/10.1016/J.ATMOSENV.2023.119983</w:t>
          </w:r>
        </w:p>
        <w:p w14:paraId="0BEE3381" w14:textId="073A18EF" w:rsidR="00495B23" w:rsidRDefault="00DE3448" w:rsidP="00495B23">
          <w:pPr>
            <w:autoSpaceDE w:val="0"/>
            <w:autoSpaceDN w:val="0"/>
            <w:ind w:hanging="480"/>
            <w:divId w:val="1225025311"/>
            <w:rPr>
              <w:rFonts w:ascii="Times New Roman" w:eastAsia="Times New Roman" w:hAnsi="Times New Roman" w:cs="Times New Roman"/>
              <w:sz w:val="20"/>
              <w:szCs w:val="20"/>
            </w:rPr>
          </w:pPr>
          <w:r w:rsidRPr="00DE3448">
            <w:rPr>
              <w:rFonts w:ascii="Times New Roman" w:eastAsia="Times New Roman" w:hAnsi="Times New Roman" w:cs="Times New Roman"/>
              <w:sz w:val="20"/>
              <w:szCs w:val="20"/>
            </w:rPr>
            <w:t xml:space="preserve">Joos, F., Roth, R., </w:t>
          </w:r>
          <w:proofErr w:type="spellStart"/>
          <w:r w:rsidRPr="00DE3448">
            <w:rPr>
              <w:rFonts w:ascii="Times New Roman" w:eastAsia="Times New Roman" w:hAnsi="Times New Roman" w:cs="Times New Roman"/>
              <w:sz w:val="20"/>
              <w:szCs w:val="20"/>
            </w:rPr>
            <w:t>Fuglestvedt</w:t>
          </w:r>
          <w:proofErr w:type="spellEnd"/>
          <w:r w:rsidRPr="00DE3448">
            <w:rPr>
              <w:rFonts w:ascii="Times New Roman" w:eastAsia="Times New Roman" w:hAnsi="Times New Roman" w:cs="Times New Roman"/>
              <w:sz w:val="20"/>
              <w:szCs w:val="20"/>
            </w:rPr>
            <w:t xml:space="preserve">, J. S., Peters, G. P., </w:t>
          </w:r>
          <w:proofErr w:type="spellStart"/>
          <w:r w:rsidRPr="00DE3448">
            <w:rPr>
              <w:rFonts w:ascii="Times New Roman" w:eastAsia="Times New Roman" w:hAnsi="Times New Roman" w:cs="Times New Roman"/>
              <w:sz w:val="20"/>
              <w:szCs w:val="20"/>
            </w:rPr>
            <w:t>Enting</w:t>
          </w:r>
          <w:proofErr w:type="spellEnd"/>
          <w:r w:rsidRPr="00DE3448">
            <w:rPr>
              <w:rFonts w:ascii="Times New Roman" w:eastAsia="Times New Roman" w:hAnsi="Times New Roman" w:cs="Times New Roman"/>
              <w:sz w:val="20"/>
              <w:szCs w:val="20"/>
            </w:rPr>
            <w:t xml:space="preserve">, I. G., von Bloh, W., </w:t>
          </w:r>
          <w:proofErr w:type="spellStart"/>
          <w:r w:rsidRPr="00DE3448">
            <w:rPr>
              <w:rFonts w:ascii="Times New Roman" w:eastAsia="Times New Roman" w:hAnsi="Times New Roman" w:cs="Times New Roman"/>
              <w:sz w:val="20"/>
              <w:szCs w:val="20"/>
            </w:rPr>
            <w:t>Brovkin</w:t>
          </w:r>
          <w:proofErr w:type="spellEnd"/>
          <w:r w:rsidRPr="00DE3448">
            <w:rPr>
              <w:rFonts w:ascii="Times New Roman" w:eastAsia="Times New Roman" w:hAnsi="Times New Roman" w:cs="Times New Roman"/>
              <w:sz w:val="20"/>
              <w:szCs w:val="20"/>
            </w:rPr>
            <w:t xml:space="preserve">, V., Burke, E. J., Eby, M., Edwards, N. R., Friedrich, T., </w:t>
          </w:r>
          <w:proofErr w:type="spellStart"/>
          <w:r w:rsidRPr="00DE3448">
            <w:rPr>
              <w:rFonts w:ascii="Times New Roman" w:eastAsia="Times New Roman" w:hAnsi="Times New Roman" w:cs="Times New Roman"/>
              <w:sz w:val="20"/>
              <w:szCs w:val="20"/>
            </w:rPr>
            <w:t>Frölicher</w:t>
          </w:r>
          <w:proofErr w:type="spellEnd"/>
          <w:r w:rsidRPr="00DE3448">
            <w:rPr>
              <w:rFonts w:ascii="Times New Roman" w:eastAsia="Times New Roman" w:hAnsi="Times New Roman" w:cs="Times New Roman"/>
              <w:sz w:val="20"/>
              <w:szCs w:val="20"/>
            </w:rPr>
            <w:t xml:space="preserve">, T. L., Halloran, P. R., Holden, P. B., Jones, C., Kleinen, T., Mackenzie, F. T., Matsumoto, K., </w:t>
          </w:r>
          <w:proofErr w:type="spellStart"/>
          <w:r w:rsidRPr="00DE3448">
            <w:rPr>
              <w:rFonts w:ascii="Times New Roman" w:eastAsia="Times New Roman" w:hAnsi="Times New Roman" w:cs="Times New Roman"/>
              <w:sz w:val="20"/>
              <w:szCs w:val="20"/>
            </w:rPr>
            <w:t>Meinshausen</w:t>
          </w:r>
          <w:proofErr w:type="spellEnd"/>
          <w:r w:rsidRPr="00DE3448">
            <w:rPr>
              <w:rFonts w:ascii="Times New Roman" w:eastAsia="Times New Roman" w:hAnsi="Times New Roman" w:cs="Times New Roman"/>
              <w:sz w:val="20"/>
              <w:szCs w:val="20"/>
            </w:rPr>
            <w:t xml:space="preserve">, M., … Weaver, A. J. (2013). Carbon dioxide and climate impulse response functions for the computation of greenhouse gas metrics: a multi-model analysis. </w:t>
          </w:r>
          <w:r w:rsidRPr="00DE3448">
            <w:rPr>
              <w:rFonts w:ascii="Times New Roman" w:eastAsia="Times New Roman" w:hAnsi="Times New Roman" w:cs="Times New Roman"/>
              <w:i/>
              <w:iCs/>
              <w:sz w:val="20"/>
              <w:szCs w:val="20"/>
            </w:rPr>
            <w:t>Atmospheric Chemistry and Physics</w:t>
          </w:r>
          <w:r w:rsidRPr="00DE3448">
            <w:rPr>
              <w:rFonts w:ascii="Times New Roman" w:eastAsia="Times New Roman" w:hAnsi="Times New Roman" w:cs="Times New Roman"/>
              <w:sz w:val="20"/>
              <w:szCs w:val="20"/>
            </w:rPr>
            <w:t xml:space="preserve">, </w:t>
          </w:r>
          <w:r w:rsidRPr="00DE3448">
            <w:rPr>
              <w:rFonts w:ascii="Times New Roman" w:eastAsia="Times New Roman" w:hAnsi="Times New Roman" w:cs="Times New Roman"/>
              <w:i/>
              <w:iCs/>
              <w:sz w:val="20"/>
              <w:szCs w:val="20"/>
            </w:rPr>
            <w:t>13</w:t>
          </w:r>
          <w:r w:rsidRPr="00DE3448">
            <w:rPr>
              <w:rFonts w:ascii="Times New Roman" w:eastAsia="Times New Roman" w:hAnsi="Times New Roman" w:cs="Times New Roman"/>
              <w:sz w:val="20"/>
              <w:szCs w:val="20"/>
            </w:rPr>
            <w:t xml:space="preserve">(5), 2793–2825. </w:t>
          </w:r>
          <w:hyperlink r:id="rId8" w:history="1">
            <w:r w:rsidR="00495B23" w:rsidRPr="00397CC1">
              <w:rPr>
                <w:rStyle w:val="Hyperlink"/>
                <w:rFonts w:ascii="Times New Roman" w:eastAsia="Times New Roman" w:hAnsi="Times New Roman" w:cs="Times New Roman"/>
                <w:sz w:val="20"/>
                <w:szCs w:val="20"/>
              </w:rPr>
              <w:t>https://doi.org/10.5194/acp-13-2793-2013</w:t>
            </w:r>
          </w:hyperlink>
        </w:p>
        <w:p w14:paraId="5050C1A8" w14:textId="5ADB2D9D" w:rsidR="00CC65BF" w:rsidRPr="00495B23" w:rsidRDefault="00DE3448" w:rsidP="00495B23">
          <w:pPr>
            <w:autoSpaceDE w:val="0"/>
            <w:autoSpaceDN w:val="0"/>
            <w:ind w:hanging="480"/>
            <w:divId w:val="1225025311"/>
            <w:rPr>
              <w:rFonts w:ascii="Times New Roman" w:eastAsia="Times New Roman" w:hAnsi="Times New Roman" w:cs="Times New Roman"/>
              <w:sz w:val="20"/>
              <w:szCs w:val="20"/>
            </w:rPr>
          </w:pPr>
          <w:r w:rsidRPr="00DE3448">
            <w:rPr>
              <w:rFonts w:ascii="Times New Roman" w:eastAsia="Times New Roman" w:hAnsi="Times New Roman" w:cs="Times New Roman"/>
              <w:sz w:val="20"/>
              <w:szCs w:val="20"/>
            </w:rPr>
            <w:t xml:space="preserve">Teoh, R., Engberg, Z., Shapiro, M., Dray, L., &amp; Stettler, M. E. J. (2024). The high-resolution Global Aviation emissions Inventory based on ADS-B (GAIA) for 2019–2021. </w:t>
          </w:r>
          <w:r w:rsidRPr="00DE3448">
            <w:rPr>
              <w:rFonts w:ascii="Times New Roman" w:eastAsia="Times New Roman" w:hAnsi="Times New Roman" w:cs="Times New Roman"/>
              <w:i/>
              <w:iCs/>
              <w:sz w:val="20"/>
              <w:szCs w:val="20"/>
            </w:rPr>
            <w:t>Atmospheric Chemistry and Physics</w:t>
          </w:r>
          <w:r w:rsidRPr="00DE3448">
            <w:rPr>
              <w:rFonts w:ascii="Times New Roman" w:eastAsia="Times New Roman" w:hAnsi="Times New Roman" w:cs="Times New Roman"/>
              <w:sz w:val="20"/>
              <w:szCs w:val="20"/>
            </w:rPr>
            <w:t xml:space="preserve">, </w:t>
          </w:r>
          <w:r w:rsidRPr="00DE3448">
            <w:rPr>
              <w:rFonts w:ascii="Times New Roman" w:eastAsia="Times New Roman" w:hAnsi="Times New Roman" w:cs="Times New Roman"/>
              <w:i/>
              <w:iCs/>
              <w:sz w:val="20"/>
              <w:szCs w:val="20"/>
            </w:rPr>
            <w:t>24</w:t>
          </w:r>
          <w:r w:rsidRPr="00DE3448">
            <w:rPr>
              <w:rFonts w:ascii="Times New Roman" w:eastAsia="Times New Roman" w:hAnsi="Times New Roman" w:cs="Times New Roman"/>
              <w:sz w:val="20"/>
              <w:szCs w:val="20"/>
            </w:rPr>
            <w:t>(1), 725–744. https://doi.org/10.5194/ACP-24-725-2024</w:t>
          </w:r>
        </w:p>
      </w:sdtContent>
    </w:sdt>
    <w:p w14:paraId="404F35BB" w14:textId="77777777" w:rsidR="00CC65BF" w:rsidRPr="00BC5ECE" w:rsidRDefault="00CC65BF" w:rsidP="008C7194">
      <w:pPr>
        <w:spacing w:after="240"/>
        <w:jc w:val="both"/>
        <w:rPr>
          <w:rFonts w:ascii="Times New Roman" w:hAnsi="Times New Roman" w:cs="Times New Roman"/>
          <w:color w:val="0070C0"/>
          <w:sz w:val="20"/>
          <w:szCs w:val="20"/>
          <w:lang w:val="en-MY"/>
          <w14:ligatures w14:val="standardContextual"/>
        </w:rPr>
      </w:pPr>
    </w:p>
    <w:sectPr w:rsidR="00CC65BF" w:rsidRPr="00BC5ECE">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88663" w14:textId="77777777" w:rsidR="00D66C47" w:rsidRDefault="00D66C47" w:rsidP="00842432">
      <w:pPr>
        <w:spacing w:after="0" w:line="240" w:lineRule="auto"/>
      </w:pPr>
      <w:r>
        <w:separator/>
      </w:r>
    </w:p>
  </w:endnote>
  <w:endnote w:type="continuationSeparator" w:id="0">
    <w:p w14:paraId="2F271626" w14:textId="77777777" w:rsidR="00D66C47" w:rsidRDefault="00D66C47" w:rsidP="00842432">
      <w:pPr>
        <w:spacing w:after="0" w:line="240" w:lineRule="auto"/>
      </w:pPr>
      <w:r>
        <w:continuationSeparator/>
      </w:r>
    </w:p>
  </w:endnote>
  <w:endnote w:type="continuationNotice" w:id="1">
    <w:p w14:paraId="7AF121F1" w14:textId="77777777" w:rsidR="00D66C47" w:rsidRDefault="00D66C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NimbusRomNo9L-Regu">
    <w:altName w:val="Calibri"/>
    <w:charset w:val="00"/>
    <w:family w:val="auto"/>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5680733"/>
      <w:docPartObj>
        <w:docPartGallery w:val="Page Numbers (Bottom of Page)"/>
        <w:docPartUnique/>
      </w:docPartObj>
    </w:sdtPr>
    <w:sdtEndPr>
      <w:rPr>
        <w:noProof/>
      </w:rPr>
    </w:sdtEndPr>
    <w:sdtContent>
      <w:p w14:paraId="70D948C9" w14:textId="238F7DAA" w:rsidR="00842432" w:rsidRDefault="0084243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16928A" w14:textId="77777777" w:rsidR="00842432" w:rsidRDefault="0084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E42436" w14:textId="77777777" w:rsidR="00D66C47" w:rsidRDefault="00D66C47" w:rsidP="00842432">
      <w:pPr>
        <w:spacing w:after="0" w:line="240" w:lineRule="auto"/>
      </w:pPr>
      <w:r>
        <w:separator/>
      </w:r>
    </w:p>
  </w:footnote>
  <w:footnote w:type="continuationSeparator" w:id="0">
    <w:p w14:paraId="12D5D1FA" w14:textId="77777777" w:rsidR="00D66C47" w:rsidRDefault="00D66C47" w:rsidP="00842432">
      <w:pPr>
        <w:spacing w:after="0" w:line="240" w:lineRule="auto"/>
      </w:pPr>
      <w:r>
        <w:continuationSeparator/>
      </w:r>
    </w:p>
  </w:footnote>
  <w:footnote w:type="continuationNotice" w:id="1">
    <w:p w14:paraId="03F7C20F" w14:textId="77777777" w:rsidR="00D66C47" w:rsidRDefault="00D66C4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82117"/>
    <w:multiLevelType w:val="hybridMultilevel"/>
    <w:tmpl w:val="507ACD5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26F702E9"/>
    <w:multiLevelType w:val="hybridMultilevel"/>
    <w:tmpl w:val="A4B8C72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2C3D601F"/>
    <w:multiLevelType w:val="hybridMultilevel"/>
    <w:tmpl w:val="D878FCD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32C322E1"/>
    <w:multiLevelType w:val="hybridMultilevel"/>
    <w:tmpl w:val="B3F654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5AA657AF"/>
    <w:multiLevelType w:val="hybridMultilevel"/>
    <w:tmpl w:val="451237F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5E070B2B"/>
    <w:multiLevelType w:val="hybridMultilevel"/>
    <w:tmpl w:val="6024B9B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612A439B"/>
    <w:multiLevelType w:val="hybridMultilevel"/>
    <w:tmpl w:val="0A4A2BF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70AA7B92"/>
    <w:multiLevelType w:val="hybridMultilevel"/>
    <w:tmpl w:val="A412AE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16cid:durableId="1300302515">
    <w:abstractNumId w:val="2"/>
  </w:num>
  <w:num w:numId="2" w16cid:durableId="1481925493">
    <w:abstractNumId w:val="4"/>
  </w:num>
  <w:num w:numId="3" w16cid:durableId="2063752582">
    <w:abstractNumId w:val="1"/>
  </w:num>
  <w:num w:numId="4" w16cid:durableId="227611595">
    <w:abstractNumId w:val="0"/>
  </w:num>
  <w:num w:numId="5" w16cid:durableId="781270559">
    <w:abstractNumId w:val="5"/>
  </w:num>
  <w:num w:numId="6" w16cid:durableId="1577283914">
    <w:abstractNumId w:val="6"/>
  </w:num>
  <w:num w:numId="7" w16cid:durableId="1265918923">
    <w:abstractNumId w:val="3"/>
  </w:num>
  <w:num w:numId="8" w16cid:durableId="14205155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E9D"/>
    <w:rsid w:val="00000DB8"/>
    <w:rsid w:val="0000551E"/>
    <w:rsid w:val="00040447"/>
    <w:rsid w:val="00040DD5"/>
    <w:rsid w:val="00047266"/>
    <w:rsid w:val="00071F35"/>
    <w:rsid w:val="00073885"/>
    <w:rsid w:val="00084280"/>
    <w:rsid w:val="000B43E7"/>
    <w:rsid w:val="000C0326"/>
    <w:rsid w:val="000C6426"/>
    <w:rsid w:val="000C7808"/>
    <w:rsid w:val="000D2AA7"/>
    <w:rsid w:val="000D6D6E"/>
    <w:rsid w:val="000E0D37"/>
    <w:rsid w:val="000E0E5E"/>
    <w:rsid w:val="000E41D2"/>
    <w:rsid w:val="000F066C"/>
    <w:rsid w:val="000F3607"/>
    <w:rsid w:val="000F4AC8"/>
    <w:rsid w:val="000F58C7"/>
    <w:rsid w:val="000F659A"/>
    <w:rsid w:val="001027CF"/>
    <w:rsid w:val="0010280B"/>
    <w:rsid w:val="00106C2E"/>
    <w:rsid w:val="001113FA"/>
    <w:rsid w:val="00123D2A"/>
    <w:rsid w:val="00134914"/>
    <w:rsid w:val="00136890"/>
    <w:rsid w:val="001559EA"/>
    <w:rsid w:val="001609E7"/>
    <w:rsid w:val="001646C1"/>
    <w:rsid w:val="00165745"/>
    <w:rsid w:val="00165F3A"/>
    <w:rsid w:val="0017073F"/>
    <w:rsid w:val="0017351E"/>
    <w:rsid w:val="0017491A"/>
    <w:rsid w:val="00177F38"/>
    <w:rsid w:val="00191B34"/>
    <w:rsid w:val="001A3689"/>
    <w:rsid w:val="001A75AC"/>
    <w:rsid w:val="001B1953"/>
    <w:rsid w:val="001B79A9"/>
    <w:rsid w:val="001C3A5A"/>
    <w:rsid w:val="001C7833"/>
    <w:rsid w:val="001E4C59"/>
    <w:rsid w:val="001F13F6"/>
    <w:rsid w:val="001F32C6"/>
    <w:rsid w:val="002102A1"/>
    <w:rsid w:val="00220F42"/>
    <w:rsid w:val="002215EC"/>
    <w:rsid w:val="00234CB5"/>
    <w:rsid w:val="00242138"/>
    <w:rsid w:val="00256704"/>
    <w:rsid w:val="00275AEA"/>
    <w:rsid w:val="00282B80"/>
    <w:rsid w:val="0029444E"/>
    <w:rsid w:val="00296BB6"/>
    <w:rsid w:val="002A0655"/>
    <w:rsid w:val="002A1806"/>
    <w:rsid w:val="002B2734"/>
    <w:rsid w:val="002C2244"/>
    <w:rsid w:val="002C3C95"/>
    <w:rsid w:val="002D321F"/>
    <w:rsid w:val="002D617B"/>
    <w:rsid w:val="002E4E31"/>
    <w:rsid w:val="00301989"/>
    <w:rsid w:val="0030353E"/>
    <w:rsid w:val="003113FF"/>
    <w:rsid w:val="0031362B"/>
    <w:rsid w:val="0032645E"/>
    <w:rsid w:val="00336875"/>
    <w:rsid w:val="00351043"/>
    <w:rsid w:val="00351B20"/>
    <w:rsid w:val="00353F97"/>
    <w:rsid w:val="00356526"/>
    <w:rsid w:val="00396EBF"/>
    <w:rsid w:val="003B4239"/>
    <w:rsid w:val="003C654E"/>
    <w:rsid w:val="003C7E9D"/>
    <w:rsid w:val="003D1E02"/>
    <w:rsid w:val="003E0BDE"/>
    <w:rsid w:val="003E3C21"/>
    <w:rsid w:val="003E47A2"/>
    <w:rsid w:val="003E5574"/>
    <w:rsid w:val="003F295C"/>
    <w:rsid w:val="00401EB6"/>
    <w:rsid w:val="00402C27"/>
    <w:rsid w:val="004057A2"/>
    <w:rsid w:val="00416E6B"/>
    <w:rsid w:val="00422516"/>
    <w:rsid w:val="004264D3"/>
    <w:rsid w:val="00431907"/>
    <w:rsid w:val="004353FF"/>
    <w:rsid w:val="00456599"/>
    <w:rsid w:val="00493A88"/>
    <w:rsid w:val="00495B23"/>
    <w:rsid w:val="004A089C"/>
    <w:rsid w:val="004A53B0"/>
    <w:rsid w:val="004C7423"/>
    <w:rsid w:val="004E0929"/>
    <w:rsid w:val="004E1A29"/>
    <w:rsid w:val="004E2E87"/>
    <w:rsid w:val="00502FDF"/>
    <w:rsid w:val="005038F7"/>
    <w:rsid w:val="00505BDB"/>
    <w:rsid w:val="00522E59"/>
    <w:rsid w:val="00531235"/>
    <w:rsid w:val="00534FDD"/>
    <w:rsid w:val="0053697A"/>
    <w:rsid w:val="00542AA2"/>
    <w:rsid w:val="00550998"/>
    <w:rsid w:val="00561900"/>
    <w:rsid w:val="0057655B"/>
    <w:rsid w:val="00584430"/>
    <w:rsid w:val="00587897"/>
    <w:rsid w:val="005949CD"/>
    <w:rsid w:val="00596B35"/>
    <w:rsid w:val="005A46EC"/>
    <w:rsid w:val="005A737D"/>
    <w:rsid w:val="005B3BEC"/>
    <w:rsid w:val="005B6D44"/>
    <w:rsid w:val="005F117B"/>
    <w:rsid w:val="005F33E2"/>
    <w:rsid w:val="0062380C"/>
    <w:rsid w:val="00635DE9"/>
    <w:rsid w:val="00636A93"/>
    <w:rsid w:val="0064577D"/>
    <w:rsid w:val="00650158"/>
    <w:rsid w:val="00655425"/>
    <w:rsid w:val="00671433"/>
    <w:rsid w:val="0068295B"/>
    <w:rsid w:val="00687CED"/>
    <w:rsid w:val="006B1270"/>
    <w:rsid w:val="006B54AB"/>
    <w:rsid w:val="006B6424"/>
    <w:rsid w:val="006C1E67"/>
    <w:rsid w:val="006C73A7"/>
    <w:rsid w:val="006D2C4E"/>
    <w:rsid w:val="006D56F6"/>
    <w:rsid w:val="006D62C8"/>
    <w:rsid w:val="006E2DA0"/>
    <w:rsid w:val="006F1BF0"/>
    <w:rsid w:val="006F6618"/>
    <w:rsid w:val="00703973"/>
    <w:rsid w:val="0070546D"/>
    <w:rsid w:val="007200DD"/>
    <w:rsid w:val="007212AF"/>
    <w:rsid w:val="0072706F"/>
    <w:rsid w:val="00733001"/>
    <w:rsid w:val="007341E2"/>
    <w:rsid w:val="00735606"/>
    <w:rsid w:val="007436FF"/>
    <w:rsid w:val="00752557"/>
    <w:rsid w:val="00755B7D"/>
    <w:rsid w:val="007572A2"/>
    <w:rsid w:val="00762B98"/>
    <w:rsid w:val="00765BE9"/>
    <w:rsid w:val="0078142E"/>
    <w:rsid w:val="00783777"/>
    <w:rsid w:val="00790523"/>
    <w:rsid w:val="0079127B"/>
    <w:rsid w:val="00797274"/>
    <w:rsid w:val="007A3D8A"/>
    <w:rsid w:val="007A5F3C"/>
    <w:rsid w:val="007B25E2"/>
    <w:rsid w:val="007B2FE2"/>
    <w:rsid w:val="007B6EAA"/>
    <w:rsid w:val="007C3F67"/>
    <w:rsid w:val="007C4AAD"/>
    <w:rsid w:val="007C6EF6"/>
    <w:rsid w:val="007D325C"/>
    <w:rsid w:val="007F071F"/>
    <w:rsid w:val="007F1109"/>
    <w:rsid w:val="007F4BCE"/>
    <w:rsid w:val="007F5C63"/>
    <w:rsid w:val="00801031"/>
    <w:rsid w:val="0080477A"/>
    <w:rsid w:val="00810336"/>
    <w:rsid w:val="0082107B"/>
    <w:rsid w:val="008300E3"/>
    <w:rsid w:val="008358E0"/>
    <w:rsid w:val="00835D94"/>
    <w:rsid w:val="00842432"/>
    <w:rsid w:val="0084393E"/>
    <w:rsid w:val="0085207F"/>
    <w:rsid w:val="008604B3"/>
    <w:rsid w:val="00861F2C"/>
    <w:rsid w:val="00863F89"/>
    <w:rsid w:val="00864EA8"/>
    <w:rsid w:val="00880984"/>
    <w:rsid w:val="00880CD4"/>
    <w:rsid w:val="0088186C"/>
    <w:rsid w:val="00885B80"/>
    <w:rsid w:val="008A3313"/>
    <w:rsid w:val="008A5055"/>
    <w:rsid w:val="008A7424"/>
    <w:rsid w:val="008C0B14"/>
    <w:rsid w:val="008C52A4"/>
    <w:rsid w:val="008C5E1E"/>
    <w:rsid w:val="008C7194"/>
    <w:rsid w:val="008F211C"/>
    <w:rsid w:val="008F518C"/>
    <w:rsid w:val="009029E1"/>
    <w:rsid w:val="00923531"/>
    <w:rsid w:val="00926149"/>
    <w:rsid w:val="0092685D"/>
    <w:rsid w:val="00927D4E"/>
    <w:rsid w:val="009360EA"/>
    <w:rsid w:val="00940B3A"/>
    <w:rsid w:val="0095106A"/>
    <w:rsid w:val="009627AB"/>
    <w:rsid w:val="009746B1"/>
    <w:rsid w:val="009807B4"/>
    <w:rsid w:val="00982C07"/>
    <w:rsid w:val="00983AFD"/>
    <w:rsid w:val="00994611"/>
    <w:rsid w:val="009C141D"/>
    <w:rsid w:val="009C7D5F"/>
    <w:rsid w:val="009D1F1C"/>
    <w:rsid w:val="009E06A6"/>
    <w:rsid w:val="009E1DAE"/>
    <w:rsid w:val="009F36FA"/>
    <w:rsid w:val="009F4139"/>
    <w:rsid w:val="009F541A"/>
    <w:rsid w:val="009F698F"/>
    <w:rsid w:val="00A15058"/>
    <w:rsid w:val="00A15554"/>
    <w:rsid w:val="00A1685D"/>
    <w:rsid w:val="00A22F1B"/>
    <w:rsid w:val="00A32FE7"/>
    <w:rsid w:val="00A33A39"/>
    <w:rsid w:val="00A34F9E"/>
    <w:rsid w:val="00A364EA"/>
    <w:rsid w:val="00A4219B"/>
    <w:rsid w:val="00A50F22"/>
    <w:rsid w:val="00A54F61"/>
    <w:rsid w:val="00A63E91"/>
    <w:rsid w:val="00A84B3C"/>
    <w:rsid w:val="00A926B4"/>
    <w:rsid w:val="00A92C19"/>
    <w:rsid w:val="00A974D0"/>
    <w:rsid w:val="00AA1ADD"/>
    <w:rsid w:val="00AA21DE"/>
    <w:rsid w:val="00AB5C46"/>
    <w:rsid w:val="00AD06F9"/>
    <w:rsid w:val="00AD164C"/>
    <w:rsid w:val="00AE777E"/>
    <w:rsid w:val="00AF6D08"/>
    <w:rsid w:val="00B00ED0"/>
    <w:rsid w:val="00B01F56"/>
    <w:rsid w:val="00B0243A"/>
    <w:rsid w:val="00B06C2B"/>
    <w:rsid w:val="00B07D54"/>
    <w:rsid w:val="00B134C6"/>
    <w:rsid w:val="00B1686C"/>
    <w:rsid w:val="00B20630"/>
    <w:rsid w:val="00B21420"/>
    <w:rsid w:val="00B23BEE"/>
    <w:rsid w:val="00B34059"/>
    <w:rsid w:val="00B362D5"/>
    <w:rsid w:val="00B44C11"/>
    <w:rsid w:val="00B4627B"/>
    <w:rsid w:val="00B465AC"/>
    <w:rsid w:val="00B6163D"/>
    <w:rsid w:val="00B732EC"/>
    <w:rsid w:val="00B8017C"/>
    <w:rsid w:val="00B81EBE"/>
    <w:rsid w:val="00B91410"/>
    <w:rsid w:val="00B965D2"/>
    <w:rsid w:val="00BA44D8"/>
    <w:rsid w:val="00BA6048"/>
    <w:rsid w:val="00BC4AA1"/>
    <w:rsid w:val="00BC5ECE"/>
    <w:rsid w:val="00BC7006"/>
    <w:rsid w:val="00BC7A91"/>
    <w:rsid w:val="00BD10EB"/>
    <w:rsid w:val="00BD2D85"/>
    <w:rsid w:val="00BD61C4"/>
    <w:rsid w:val="00BE56E9"/>
    <w:rsid w:val="00BE6F45"/>
    <w:rsid w:val="00BE7627"/>
    <w:rsid w:val="00BF5304"/>
    <w:rsid w:val="00C00D0F"/>
    <w:rsid w:val="00C061DE"/>
    <w:rsid w:val="00C242B8"/>
    <w:rsid w:val="00C30C74"/>
    <w:rsid w:val="00C46387"/>
    <w:rsid w:val="00C51B65"/>
    <w:rsid w:val="00C5757E"/>
    <w:rsid w:val="00C60C67"/>
    <w:rsid w:val="00C76947"/>
    <w:rsid w:val="00C8304A"/>
    <w:rsid w:val="00C8703F"/>
    <w:rsid w:val="00C92566"/>
    <w:rsid w:val="00C92A78"/>
    <w:rsid w:val="00C977D5"/>
    <w:rsid w:val="00CA1674"/>
    <w:rsid w:val="00CA7FE2"/>
    <w:rsid w:val="00CC65BF"/>
    <w:rsid w:val="00CD40AE"/>
    <w:rsid w:val="00CD6519"/>
    <w:rsid w:val="00CF0C59"/>
    <w:rsid w:val="00CF3650"/>
    <w:rsid w:val="00D029E8"/>
    <w:rsid w:val="00D030AA"/>
    <w:rsid w:val="00D05A55"/>
    <w:rsid w:val="00D11447"/>
    <w:rsid w:val="00D143EE"/>
    <w:rsid w:val="00D32DF2"/>
    <w:rsid w:val="00D441BE"/>
    <w:rsid w:val="00D44F3B"/>
    <w:rsid w:val="00D51E42"/>
    <w:rsid w:val="00D66C47"/>
    <w:rsid w:val="00D66DB8"/>
    <w:rsid w:val="00D83185"/>
    <w:rsid w:val="00DB05AF"/>
    <w:rsid w:val="00DB3262"/>
    <w:rsid w:val="00DC34A7"/>
    <w:rsid w:val="00DC6871"/>
    <w:rsid w:val="00DC7C0D"/>
    <w:rsid w:val="00DD3FC7"/>
    <w:rsid w:val="00DE3448"/>
    <w:rsid w:val="00DE39E8"/>
    <w:rsid w:val="00DF1008"/>
    <w:rsid w:val="00DF442A"/>
    <w:rsid w:val="00DF5601"/>
    <w:rsid w:val="00DF6588"/>
    <w:rsid w:val="00E01F91"/>
    <w:rsid w:val="00E04BA8"/>
    <w:rsid w:val="00E05A3C"/>
    <w:rsid w:val="00E06369"/>
    <w:rsid w:val="00E06842"/>
    <w:rsid w:val="00E06A69"/>
    <w:rsid w:val="00E1071F"/>
    <w:rsid w:val="00E13353"/>
    <w:rsid w:val="00E17B4A"/>
    <w:rsid w:val="00E22DAA"/>
    <w:rsid w:val="00E305A0"/>
    <w:rsid w:val="00E33519"/>
    <w:rsid w:val="00E4182A"/>
    <w:rsid w:val="00E574B2"/>
    <w:rsid w:val="00E57C23"/>
    <w:rsid w:val="00E716FC"/>
    <w:rsid w:val="00E73EFB"/>
    <w:rsid w:val="00EA22E8"/>
    <w:rsid w:val="00EA65F5"/>
    <w:rsid w:val="00EB3AAD"/>
    <w:rsid w:val="00EB62FA"/>
    <w:rsid w:val="00EC15E2"/>
    <w:rsid w:val="00ED6F57"/>
    <w:rsid w:val="00EE5055"/>
    <w:rsid w:val="00F014DA"/>
    <w:rsid w:val="00F01807"/>
    <w:rsid w:val="00F10D65"/>
    <w:rsid w:val="00F1550F"/>
    <w:rsid w:val="00F15566"/>
    <w:rsid w:val="00F201CD"/>
    <w:rsid w:val="00F30264"/>
    <w:rsid w:val="00F3278C"/>
    <w:rsid w:val="00F455E2"/>
    <w:rsid w:val="00F51EC4"/>
    <w:rsid w:val="00F55D96"/>
    <w:rsid w:val="00F63744"/>
    <w:rsid w:val="00F63F84"/>
    <w:rsid w:val="00F8231B"/>
    <w:rsid w:val="00F86642"/>
    <w:rsid w:val="00F95E7D"/>
    <w:rsid w:val="00FA0DAD"/>
    <w:rsid w:val="00FA656B"/>
    <w:rsid w:val="00FB583D"/>
    <w:rsid w:val="00FB744C"/>
    <w:rsid w:val="00FC6C74"/>
    <w:rsid w:val="00FD78C5"/>
    <w:rsid w:val="00FE7234"/>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981B5"/>
  <w15:chartTrackingRefBased/>
  <w15:docId w15:val="{4D962453-7EC3-439F-ABD4-CD5B7FA63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MY"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7E9D"/>
    <w:rPr>
      <w:kern w:val="0"/>
      <w:lang w:val="en-GB"/>
      <w14:ligatures w14:val="none"/>
    </w:rPr>
  </w:style>
  <w:style w:type="paragraph" w:styleId="Heading1">
    <w:name w:val="heading 1"/>
    <w:basedOn w:val="Normal"/>
    <w:next w:val="Normal"/>
    <w:link w:val="Heading1Char"/>
    <w:uiPriority w:val="9"/>
    <w:qFormat/>
    <w:rsid w:val="003C7E9D"/>
    <w:pPr>
      <w:keepNext/>
      <w:keepLines/>
      <w:spacing w:before="360" w:after="80"/>
      <w:outlineLvl w:val="0"/>
    </w:pPr>
    <w:rPr>
      <w:rFonts w:asciiTheme="majorHAnsi" w:eastAsiaTheme="majorEastAsia" w:hAnsiTheme="majorHAnsi" w:cstheme="majorBidi"/>
      <w:color w:val="0F4761" w:themeColor="accent1" w:themeShade="BF"/>
      <w:kern w:val="2"/>
      <w:sz w:val="40"/>
      <w:szCs w:val="40"/>
      <w:lang w:val="en-MY"/>
      <w14:ligatures w14:val="standardContextual"/>
    </w:rPr>
  </w:style>
  <w:style w:type="paragraph" w:styleId="Heading2">
    <w:name w:val="heading 2"/>
    <w:basedOn w:val="Normal"/>
    <w:next w:val="Normal"/>
    <w:link w:val="Heading2Char"/>
    <w:uiPriority w:val="9"/>
    <w:semiHidden/>
    <w:unhideWhenUsed/>
    <w:qFormat/>
    <w:rsid w:val="003C7E9D"/>
    <w:pPr>
      <w:keepNext/>
      <w:keepLines/>
      <w:spacing w:before="160" w:after="80"/>
      <w:outlineLvl w:val="1"/>
    </w:pPr>
    <w:rPr>
      <w:rFonts w:asciiTheme="majorHAnsi" w:eastAsiaTheme="majorEastAsia" w:hAnsiTheme="majorHAnsi" w:cstheme="majorBidi"/>
      <w:color w:val="0F4761" w:themeColor="accent1" w:themeShade="BF"/>
      <w:kern w:val="2"/>
      <w:sz w:val="32"/>
      <w:szCs w:val="32"/>
      <w:lang w:val="en-MY"/>
      <w14:ligatures w14:val="standardContextual"/>
    </w:rPr>
  </w:style>
  <w:style w:type="paragraph" w:styleId="Heading3">
    <w:name w:val="heading 3"/>
    <w:basedOn w:val="Normal"/>
    <w:next w:val="Normal"/>
    <w:link w:val="Heading3Char"/>
    <w:uiPriority w:val="9"/>
    <w:semiHidden/>
    <w:unhideWhenUsed/>
    <w:qFormat/>
    <w:rsid w:val="003C7E9D"/>
    <w:pPr>
      <w:keepNext/>
      <w:keepLines/>
      <w:spacing w:before="160" w:after="80"/>
      <w:outlineLvl w:val="2"/>
    </w:pPr>
    <w:rPr>
      <w:rFonts w:eastAsiaTheme="majorEastAsia" w:cstheme="majorBidi"/>
      <w:color w:val="0F4761" w:themeColor="accent1" w:themeShade="BF"/>
      <w:kern w:val="2"/>
      <w:sz w:val="28"/>
      <w:szCs w:val="28"/>
      <w:lang w:val="en-MY"/>
      <w14:ligatures w14:val="standardContextual"/>
    </w:rPr>
  </w:style>
  <w:style w:type="paragraph" w:styleId="Heading4">
    <w:name w:val="heading 4"/>
    <w:basedOn w:val="Normal"/>
    <w:next w:val="Normal"/>
    <w:link w:val="Heading4Char"/>
    <w:uiPriority w:val="9"/>
    <w:semiHidden/>
    <w:unhideWhenUsed/>
    <w:qFormat/>
    <w:rsid w:val="003C7E9D"/>
    <w:pPr>
      <w:keepNext/>
      <w:keepLines/>
      <w:spacing w:before="80" w:after="40"/>
      <w:outlineLvl w:val="3"/>
    </w:pPr>
    <w:rPr>
      <w:rFonts w:eastAsiaTheme="majorEastAsia" w:cstheme="majorBidi"/>
      <w:i/>
      <w:iCs/>
      <w:color w:val="0F4761" w:themeColor="accent1" w:themeShade="BF"/>
      <w:kern w:val="2"/>
      <w:lang w:val="en-MY"/>
      <w14:ligatures w14:val="standardContextual"/>
    </w:rPr>
  </w:style>
  <w:style w:type="paragraph" w:styleId="Heading5">
    <w:name w:val="heading 5"/>
    <w:basedOn w:val="Normal"/>
    <w:next w:val="Normal"/>
    <w:link w:val="Heading5Char"/>
    <w:uiPriority w:val="9"/>
    <w:semiHidden/>
    <w:unhideWhenUsed/>
    <w:qFormat/>
    <w:rsid w:val="003C7E9D"/>
    <w:pPr>
      <w:keepNext/>
      <w:keepLines/>
      <w:spacing w:before="80" w:after="40"/>
      <w:outlineLvl w:val="4"/>
    </w:pPr>
    <w:rPr>
      <w:rFonts w:eastAsiaTheme="majorEastAsia" w:cstheme="majorBidi"/>
      <w:color w:val="0F4761" w:themeColor="accent1" w:themeShade="BF"/>
      <w:kern w:val="2"/>
      <w:lang w:val="en-MY"/>
      <w14:ligatures w14:val="standardContextual"/>
    </w:rPr>
  </w:style>
  <w:style w:type="paragraph" w:styleId="Heading6">
    <w:name w:val="heading 6"/>
    <w:basedOn w:val="Normal"/>
    <w:next w:val="Normal"/>
    <w:link w:val="Heading6Char"/>
    <w:uiPriority w:val="9"/>
    <w:semiHidden/>
    <w:unhideWhenUsed/>
    <w:qFormat/>
    <w:rsid w:val="003C7E9D"/>
    <w:pPr>
      <w:keepNext/>
      <w:keepLines/>
      <w:spacing w:before="40" w:after="0"/>
      <w:outlineLvl w:val="5"/>
    </w:pPr>
    <w:rPr>
      <w:rFonts w:eastAsiaTheme="majorEastAsia" w:cstheme="majorBidi"/>
      <w:i/>
      <w:iCs/>
      <w:color w:val="595959" w:themeColor="text1" w:themeTint="A6"/>
      <w:kern w:val="2"/>
      <w:lang w:val="en-MY"/>
      <w14:ligatures w14:val="standardContextual"/>
    </w:rPr>
  </w:style>
  <w:style w:type="paragraph" w:styleId="Heading7">
    <w:name w:val="heading 7"/>
    <w:basedOn w:val="Normal"/>
    <w:next w:val="Normal"/>
    <w:link w:val="Heading7Char"/>
    <w:uiPriority w:val="9"/>
    <w:semiHidden/>
    <w:unhideWhenUsed/>
    <w:qFormat/>
    <w:rsid w:val="003C7E9D"/>
    <w:pPr>
      <w:keepNext/>
      <w:keepLines/>
      <w:spacing w:before="40" w:after="0"/>
      <w:outlineLvl w:val="6"/>
    </w:pPr>
    <w:rPr>
      <w:rFonts w:eastAsiaTheme="majorEastAsia" w:cstheme="majorBidi"/>
      <w:color w:val="595959" w:themeColor="text1" w:themeTint="A6"/>
      <w:kern w:val="2"/>
      <w:lang w:val="en-MY"/>
      <w14:ligatures w14:val="standardContextual"/>
    </w:rPr>
  </w:style>
  <w:style w:type="paragraph" w:styleId="Heading8">
    <w:name w:val="heading 8"/>
    <w:basedOn w:val="Normal"/>
    <w:next w:val="Normal"/>
    <w:link w:val="Heading8Char"/>
    <w:uiPriority w:val="9"/>
    <w:semiHidden/>
    <w:unhideWhenUsed/>
    <w:qFormat/>
    <w:rsid w:val="003C7E9D"/>
    <w:pPr>
      <w:keepNext/>
      <w:keepLines/>
      <w:spacing w:after="0"/>
      <w:outlineLvl w:val="7"/>
    </w:pPr>
    <w:rPr>
      <w:rFonts w:eastAsiaTheme="majorEastAsia" w:cstheme="majorBidi"/>
      <w:i/>
      <w:iCs/>
      <w:color w:val="272727" w:themeColor="text1" w:themeTint="D8"/>
      <w:kern w:val="2"/>
      <w:lang w:val="en-MY"/>
      <w14:ligatures w14:val="standardContextual"/>
    </w:rPr>
  </w:style>
  <w:style w:type="paragraph" w:styleId="Heading9">
    <w:name w:val="heading 9"/>
    <w:basedOn w:val="Normal"/>
    <w:next w:val="Normal"/>
    <w:link w:val="Heading9Char"/>
    <w:uiPriority w:val="9"/>
    <w:semiHidden/>
    <w:unhideWhenUsed/>
    <w:qFormat/>
    <w:rsid w:val="003C7E9D"/>
    <w:pPr>
      <w:keepNext/>
      <w:keepLines/>
      <w:spacing w:after="0"/>
      <w:outlineLvl w:val="8"/>
    </w:pPr>
    <w:rPr>
      <w:rFonts w:eastAsiaTheme="majorEastAsia" w:cstheme="majorBidi"/>
      <w:color w:val="272727" w:themeColor="text1" w:themeTint="D8"/>
      <w:kern w:val="2"/>
      <w:lang w:val="en-MY"/>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7E9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7E9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7E9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7E9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7E9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7E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7E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7E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7E9D"/>
    <w:rPr>
      <w:rFonts w:eastAsiaTheme="majorEastAsia" w:cstheme="majorBidi"/>
      <w:color w:val="272727" w:themeColor="text1" w:themeTint="D8"/>
    </w:rPr>
  </w:style>
  <w:style w:type="paragraph" w:styleId="Title">
    <w:name w:val="Title"/>
    <w:basedOn w:val="Normal"/>
    <w:next w:val="Normal"/>
    <w:link w:val="TitleChar"/>
    <w:uiPriority w:val="10"/>
    <w:qFormat/>
    <w:rsid w:val="003C7E9D"/>
    <w:pPr>
      <w:spacing w:after="80" w:line="240" w:lineRule="auto"/>
      <w:contextualSpacing/>
    </w:pPr>
    <w:rPr>
      <w:rFonts w:asciiTheme="majorHAnsi" w:eastAsiaTheme="majorEastAsia" w:hAnsiTheme="majorHAnsi" w:cstheme="majorBidi"/>
      <w:spacing w:val="-10"/>
      <w:kern w:val="28"/>
      <w:sz w:val="56"/>
      <w:szCs w:val="56"/>
      <w:lang w:val="en-MY"/>
      <w14:ligatures w14:val="standardContextual"/>
    </w:rPr>
  </w:style>
  <w:style w:type="character" w:customStyle="1" w:styleId="TitleChar">
    <w:name w:val="Title Char"/>
    <w:basedOn w:val="DefaultParagraphFont"/>
    <w:link w:val="Title"/>
    <w:uiPriority w:val="10"/>
    <w:rsid w:val="003C7E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7E9D"/>
    <w:pPr>
      <w:numPr>
        <w:ilvl w:val="1"/>
      </w:numPr>
    </w:pPr>
    <w:rPr>
      <w:rFonts w:eastAsiaTheme="majorEastAsia" w:cstheme="majorBidi"/>
      <w:color w:val="595959" w:themeColor="text1" w:themeTint="A6"/>
      <w:spacing w:val="15"/>
      <w:kern w:val="2"/>
      <w:sz w:val="28"/>
      <w:szCs w:val="28"/>
      <w:lang w:val="en-MY"/>
      <w14:ligatures w14:val="standardContextual"/>
    </w:rPr>
  </w:style>
  <w:style w:type="character" w:customStyle="1" w:styleId="SubtitleChar">
    <w:name w:val="Subtitle Char"/>
    <w:basedOn w:val="DefaultParagraphFont"/>
    <w:link w:val="Subtitle"/>
    <w:uiPriority w:val="11"/>
    <w:rsid w:val="003C7E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7E9D"/>
    <w:pPr>
      <w:spacing w:before="160"/>
      <w:jc w:val="center"/>
    </w:pPr>
    <w:rPr>
      <w:i/>
      <w:iCs/>
      <w:color w:val="404040" w:themeColor="text1" w:themeTint="BF"/>
      <w:kern w:val="2"/>
      <w:lang w:val="en-MY"/>
      <w14:ligatures w14:val="standardContextual"/>
    </w:rPr>
  </w:style>
  <w:style w:type="character" w:customStyle="1" w:styleId="QuoteChar">
    <w:name w:val="Quote Char"/>
    <w:basedOn w:val="DefaultParagraphFont"/>
    <w:link w:val="Quote"/>
    <w:uiPriority w:val="29"/>
    <w:rsid w:val="003C7E9D"/>
    <w:rPr>
      <w:i/>
      <w:iCs/>
      <w:color w:val="404040" w:themeColor="text1" w:themeTint="BF"/>
    </w:rPr>
  </w:style>
  <w:style w:type="paragraph" w:styleId="ListParagraph">
    <w:name w:val="List Paragraph"/>
    <w:basedOn w:val="Normal"/>
    <w:uiPriority w:val="34"/>
    <w:qFormat/>
    <w:rsid w:val="003C7E9D"/>
    <w:pPr>
      <w:ind w:left="720"/>
      <w:contextualSpacing/>
    </w:pPr>
    <w:rPr>
      <w:kern w:val="2"/>
      <w:lang w:val="en-MY"/>
      <w14:ligatures w14:val="standardContextual"/>
    </w:rPr>
  </w:style>
  <w:style w:type="character" w:styleId="IntenseEmphasis">
    <w:name w:val="Intense Emphasis"/>
    <w:basedOn w:val="DefaultParagraphFont"/>
    <w:uiPriority w:val="21"/>
    <w:qFormat/>
    <w:rsid w:val="003C7E9D"/>
    <w:rPr>
      <w:i/>
      <w:iCs/>
      <w:color w:val="0F4761" w:themeColor="accent1" w:themeShade="BF"/>
    </w:rPr>
  </w:style>
  <w:style w:type="paragraph" w:styleId="IntenseQuote">
    <w:name w:val="Intense Quote"/>
    <w:basedOn w:val="Normal"/>
    <w:next w:val="Normal"/>
    <w:link w:val="IntenseQuoteChar"/>
    <w:uiPriority w:val="30"/>
    <w:qFormat/>
    <w:rsid w:val="003C7E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en-MY"/>
      <w14:ligatures w14:val="standardContextual"/>
    </w:rPr>
  </w:style>
  <w:style w:type="character" w:customStyle="1" w:styleId="IntenseQuoteChar">
    <w:name w:val="Intense Quote Char"/>
    <w:basedOn w:val="DefaultParagraphFont"/>
    <w:link w:val="IntenseQuote"/>
    <w:uiPriority w:val="30"/>
    <w:rsid w:val="003C7E9D"/>
    <w:rPr>
      <w:i/>
      <w:iCs/>
      <w:color w:val="0F4761" w:themeColor="accent1" w:themeShade="BF"/>
    </w:rPr>
  </w:style>
  <w:style w:type="character" w:styleId="IntenseReference">
    <w:name w:val="Intense Reference"/>
    <w:basedOn w:val="DefaultParagraphFont"/>
    <w:uiPriority w:val="32"/>
    <w:qFormat/>
    <w:rsid w:val="003C7E9D"/>
    <w:rPr>
      <w:b/>
      <w:bCs/>
      <w:smallCaps/>
      <w:color w:val="0F4761" w:themeColor="accent1" w:themeShade="BF"/>
      <w:spacing w:val="5"/>
    </w:rPr>
  </w:style>
  <w:style w:type="character" w:styleId="Hyperlink">
    <w:name w:val="Hyperlink"/>
    <w:basedOn w:val="DefaultParagraphFont"/>
    <w:uiPriority w:val="99"/>
    <w:unhideWhenUsed/>
    <w:rsid w:val="00A22F1B"/>
    <w:rPr>
      <w:color w:val="467886" w:themeColor="hyperlink"/>
      <w:u w:val="single"/>
    </w:rPr>
  </w:style>
  <w:style w:type="character" w:styleId="UnresolvedMention">
    <w:name w:val="Unresolved Mention"/>
    <w:basedOn w:val="DefaultParagraphFont"/>
    <w:uiPriority w:val="99"/>
    <w:semiHidden/>
    <w:unhideWhenUsed/>
    <w:rsid w:val="00A22F1B"/>
    <w:rPr>
      <w:color w:val="605E5C"/>
      <w:shd w:val="clear" w:color="auto" w:fill="E1DFDD"/>
    </w:rPr>
  </w:style>
  <w:style w:type="paragraph" w:styleId="Header">
    <w:name w:val="header"/>
    <w:basedOn w:val="Normal"/>
    <w:link w:val="HeaderChar"/>
    <w:uiPriority w:val="99"/>
    <w:unhideWhenUsed/>
    <w:rsid w:val="008424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2432"/>
    <w:rPr>
      <w:kern w:val="0"/>
      <w:lang w:val="en-GB"/>
      <w14:ligatures w14:val="none"/>
    </w:rPr>
  </w:style>
  <w:style w:type="paragraph" w:styleId="Footer">
    <w:name w:val="footer"/>
    <w:basedOn w:val="Normal"/>
    <w:link w:val="FooterChar"/>
    <w:uiPriority w:val="99"/>
    <w:unhideWhenUsed/>
    <w:rsid w:val="008424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2432"/>
    <w:rPr>
      <w:kern w:val="0"/>
      <w:lang w:val="en-GB"/>
      <w14:ligatures w14:val="none"/>
    </w:rPr>
  </w:style>
  <w:style w:type="table" w:styleId="PlainTable2">
    <w:name w:val="Plain Table 2"/>
    <w:basedOn w:val="TableNormal"/>
    <w:uiPriority w:val="42"/>
    <w:rsid w:val="00071F35"/>
    <w:pPr>
      <w:spacing w:after="0" w:line="240" w:lineRule="auto"/>
    </w:pPr>
    <w:rPr>
      <w:kern w:val="0"/>
      <w:lang w:val="en-GB"/>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106C2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47308">
      <w:bodyDiv w:val="1"/>
      <w:marLeft w:val="0"/>
      <w:marRight w:val="0"/>
      <w:marTop w:val="0"/>
      <w:marBottom w:val="0"/>
      <w:divBdr>
        <w:top w:val="none" w:sz="0" w:space="0" w:color="auto"/>
        <w:left w:val="none" w:sz="0" w:space="0" w:color="auto"/>
        <w:bottom w:val="none" w:sz="0" w:space="0" w:color="auto"/>
        <w:right w:val="none" w:sz="0" w:space="0" w:color="auto"/>
      </w:divBdr>
      <w:divsChild>
        <w:div w:id="1506094675">
          <w:marLeft w:val="480"/>
          <w:marRight w:val="0"/>
          <w:marTop w:val="0"/>
          <w:marBottom w:val="0"/>
          <w:divBdr>
            <w:top w:val="none" w:sz="0" w:space="0" w:color="auto"/>
            <w:left w:val="none" w:sz="0" w:space="0" w:color="auto"/>
            <w:bottom w:val="none" w:sz="0" w:space="0" w:color="auto"/>
            <w:right w:val="none" w:sz="0" w:space="0" w:color="auto"/>
          </w:divBdr>
        </w:div>
        <w:div w:id="1225025311">
          <w:marLeft w:val="480"/>
          <w:marRight w:val="0"/>
          <w:marTop w:val="0"/>
          <w:marBottom w:val="0"/>
          <w:divBdr>
            <w:top w:val="none" w:sz="0" w:space="0" w:color="auto"/>
            <w:left w:val="none" w:sz="0" w:space="0" w:color="auto"/>
            <w:bottom w:val="none" w:sz="0" w:space="0" w:color="auto"/>
            <w:right w:val="none" w:sz="0" w:space="0" w:color="auto"/>
          </w:divBdr>
        </w:div>
        <w:div w:id="1606227117">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194/acp-13-2793-20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D9B1F696-EF31-4A83-BE1B-0B90A674AC29}"/>
      </w:docPartPr>
      <w:docPartBody>
        <w:p w:rsidR="0029608D" w:rsidRDefault="001C4547">
          <w:r w:rsidRPr="00BA65C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NimbusRomNo9L-Regu">
    <w:altName w:val="Calibri"/>
    <w:charset w:val="00"/>
    <w:family w:val="auto"/>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547"/>
    <w:rsid w:val="00084280"/>
    <w:rsid w:val="001C4547"/>
    <w:rsid w:val="0029608D"/>
    <w:rsid w:val="00416E6B"/>
    <w:rsid w:val="007146F0"/>
    <w:rsid w:val="00BC2E15"/>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MY" w:eastAsia="en-MY"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454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817"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ECAB49E-E67E-4205-ACBE-A21605C98BD5}">
  <we:reference id="wa104382081" version="1.55.1.0" store="en-GB" storeType="OMEX"/>
  <we:alternateReferences>
    <we:reference id="WA104382081" version="1.55.1.0" store="" storeType="OMEX"/>
  </we:alternateReferences>
  <we:properties>
    <we:property name="MENDELEY_CITATIONS" value="[{&quot;citationID&quot;:&quot;MENDELEY_CITATION_2f3984e0-9b46-4085-8ee5-13e92421b936&quot;,&quot;properties&quot;:{&quot;noteIndex&quot;:0,&quot;mode&quot;:&quot;suppress-author&quot;},&quot;isEdited&quot;:false,&quot;manualOverride&quot;:{&quot;isManuallyOverridden&quot;:false,&quot;citeprocText&quot;:&quot;(2013)&quot;,&quot;manualOverrideText&quot;:&quot;&quot;},&quot;citationItems&quot;:[{&quot;displayAs&quot;:&quot;suppress-author&quot;,&quot;label&quot;:&quot;page&quot;,&quot;id&quot;:&quot;939e7f82-4cec-3bfb-804a-964777a509b2&quot;,&quot;itemData&quot;:{&quot;type&quot;:&quot;article-journal&quot;,&quot;id&quot;:&quot;939e7f82-4cec-3bfb-804a-964777a509b2&quot;,&quot;title&quot;:&quot;Carbon dioxide and climate impulse response functions for the computation of greenhouse gas metrics: a multi-model analysis&quot;,&quot;author&quot;:[{&quot;family&quot;:&quot;Joos&quot;,&quot;given&quot;:&quot;F.&quot;,&quot;parse-names&quot;:false,&quot;dropping-particle&quot;:&quot;&quot;,&quot;non-dropping-particle&quot;:&quot;&quot;},{&quot;family&quot;:&quot;Roth&quot;,&quot;given&quot;:&quot;R.&quot;,&quot;parse-names&quot;:false,&quot;dropping-particle&quot;:&quot;&quot;,&quot;non-dropping-particle&quot;:&quot;&quot;},{&quot;family&quot;:&quot;Fuglestvedt&quot;,&quot;given&quot;:&quot;J. S.&quot;,&quot;parse-names&quot;:false,&quot;dropping-particle&quot;:&quot;&quot;,&quot;non-dropping-particle&quot;:&quot;&quot;},{&quot;family&quot;:&quot;Peters&quot;,&quot;given&quot;:&quot;G. P.&quot;,&quot;parse-names&quot;:false,&quot;dropping-particle&quot;:&quot;&quot;,&quot;non-dropping-particle&quot;:&quot;&quot;},{&quot;family&quot;:&quot;Enting&quot;,&quot;given&quot;:&quot;I. G.&quot;,&quot;parse-names&quot;:false,&quot;dropping-particle&quot;:&quot;&quot;,&quot;non-dropping-particle&quot;:&quot;&quot;},{&quot;family&quot;:&quot;Bloh&quot;,&quot;given&quot;:&quot;W.&quot;,&quot;parse-names&quot;:false,&quot;dropping-particle&quot;:&quot;&quot;,&quot;non-dropping-particle&quot;:&quot;von&quot;},{&quot;family&quot;:&quot;Brovkin&quot;,&quot;given&quot;:&quot;V.&quot;,&quot;parse-names&quot;:false,&quot;dropping-particle&quot;:&quot;&quot;,&quot;non-dropping-particle&quot;:&quot;&quot;},{&quot;family&quot;:&quot;Burke&quot;,&quot;given&quot;:&quot;E. J.&quot;,&quot;parse-names&quot;:false,&quot;dropping-particle&quot;:&quot;&quot;,&quot;non-dropping-particle&quot;:&quot;&quot;},{&quot;family&quot;:&quot;Eby&quot;,&quot;given&quot;:&quot;M.&quot;,&quot;parse-names&quot;:false,&quot;dropping-particle&quot;:&quot;&quot;,&quot;non-dropping-particle&quot;:&quot;&quot;},{&quot;family&quot;:&quot;Edwards&quot;,&quot;given&quot;:&quot;N. R.&quot;,&quot;parse-names&quot;:false,&quot;dropping-particle&quot;:&quot;&quot;,&quot;non-dropping-particle&quot;:&quot;&quot;},{&quot;family&quot;:&quot;Friedrich&quot;,&quot;given&quot;:&quot;T.&quot;,&quot;parse-names&quot;:false,&quot;dropping-particle&quot;:&quot;&quot;,&quot;non-dropping-particle&quot;:&quot;&quot;},{&quot;family&quot;:&quot;Frölicher&quot;,&quot;given&quot;:&quot;T. L.&quot;,&quot;parse-names&quot;:false,&quot;dropping-particle&quot;:&quot;&quot;,&quot;non-dropping-particle&quot;:&quot;&quot;},{&quot;family&quot;:&quot;Halloran&quot;,&quot;given&quot;:&quot;P. R.&quot;,&quot;parse-names&quot;:false,&quot;dropping-particle&quot;:&quot;&quot;,&quot;non-dropping-particle&quot;:&quot;&quot;},{&quot;family&quot;:&quot;Holden&quot;,&quot;given&quot;:&quot;P. B.&quot;,&quot;parse-names&quot;:false,&quot;dropping-particle&quot;:&quot;&quot;,&quot;non-dropping-particle&quot;:&quot;&quot;},{&quot;family&quot;:&quot;Jones&quot;,&quot;given&quot;:&quot;C.&quot;,&quot;parse-names&quot;:false,&quot;dropping-particle&quot;:&quot;&quot;,&quot;non-dropping-particle&quot;:&quot;&quot;},{&quot;family&quot;:&quot;Kleinen&quot;,&quot;given&quot;:&quot;T.&quot;,&quot;parse-names&quot;:false,&quot;dropping-particle&quot;:&quot;&quot;,&quot;non-dropping-particle&quot;:&quot;&quot;},{&quot;family&quot;:&quot;Mackenzie&quot;,&quot;given&quot;:&quot;F. T.&quot;,&quot;parse-names&quot;:false,&quot;dropping-particle&quot;:&quot;&quot;,&quot;non-dropping-particle&quot;:&quot;&quot;},{&quot;family&quot;:&quot;Matsumoto&quot;,&quot;given&quot;:&quot;K.&quot;,&quot;parse-names&quot;:false,&quot;dropping-particle&quot;:&quot;&quot;,&quot;non-dropping-particle&quot;:&quot;&quot;},{&quot;family&quot;:&quot;Meinshausen&quot;,&quot;given&quot;:&quot;M.&quot;,&quot;parse-names&quot;:false,&quot;dropping-particle&quot;:&quot;&quot;,&quot;non-dropping-particle&quot;:&quot;&quot;},{&quot;family&quot;:&quot;Plattner&quot;,&quot;given&quot;:&quot;G.-K.&quot;,&quot;parse-names&quot;:false,&quot;dropping-particle&quot;:&quot;&quot;,&quot;non-dropping-particle&quot;:&quot;&quot;},{&quot;family&quot;:&quot;Reisinger&quot;,&quot;given&quot;:&quot;A.&quot;,&quot;parse-names&quot;:false,&quot;dropping-particle&quot;:&quot;&quot;,&quot;non-dropping-particle&quot;:&quot;&quot;},{&quot;family&quot;:&quot;Segschneider&quot;,&quot;given&quot;:&quot;J.&quot;,&quot;parse-names&quot;:false,&quot;dropping-particle&quot;:&quot;&quot;,&quot;non-dropping-particle&quot;:&quot;&quot;},{&quot;family&quot;:&quot;Shaffer&quot;,&quot;given&quot;:&quot;G.&quot;,&quot;parse-names&quot;:false,&quot;dropping-particle&quot;:&quot;&quot;,&quot;non-dropping-particle&quot;:&quot;&quot;},{&quot;family&quot;:&quot;Steinacher&quot;,&quot;given&quot;:&quot;M.&quot;,&quot;parse-names&quot;:false,&quot;dropping-particle&quot;:&quot;&quot;,&quot;non-dropping-particle&quot;:&quot;&quot;},{&quot;family&quot;:&quot;Strassmann&quot;,&quot;given&quot;:&quot;K.&quot;,&quot;parse-names&quot;:false,&quot;dropping-particle&quot;:&quot;&quot;,&quot;non-dropping-particle&quot;:&quot;&quot;},{&quot;family&quot;:&quot;Tanaka&quot;,&quot;given&quot;:&quot;K.&quot;,&quot;parse-names&quot;:false,&quot;dropping-particle&quot;:&quot;&quot;,&quot;non-dropping-particle&quot;:&quot;&quot;},{&quot;family&quot;:&quot;Timmermann&quot;,&quot;given&quot;:&quot;A.&quot;,&quot;parse-names&quot;:false,&quot;dropping-particle&quot;:&quot;&quot;,&quot;non-dropping-particle&quot;:&quot;&quot;},{&quot;family&quot;:&quot;Weaver&quot;,&quot;given&quot;:&quot;A. J.&quot;,&quot;parse-names&quot;:false,&quot;dropping-particle&quot;:&quot;&quot;,&quot;non-dropping-particle&quot;:&quot;&quot;}],&quot;container-title&quot;:&quot;Atmospheric Chemistry and Physics&quot;,&quot;container-title-short&quot;:&quot;Atmos Chem Phys&quot;,&quot;accessed&quot;:{&quot;date-parts&quot;:[[2019,4,11]]},&quot;DOI&quot;:&quot;10.5194/acp-13-2793-2013&quot;,&quot;URL&quot;:&quot;https://www.atmos-chem-phys.net/13/2793/2013/&quot;,&quot;issued&quot;:{&quot;date-parts&quot;:[[2013,3,8]]},&quot;page&quot;:&quot;2793-2825&quot;,&quot;abstract&quot;:&quot;&lt;p&gt;&lt;p&gt;&lt;strong&gt;Abstract.&lt;/strong&gt; The responses of carbon dioxide (CO&lt;sub&gt;2&lt;/sub&gt;) and other climate variables to an emission pulse of CO&lt;sub&gt;2&lt;/sub&gt; into the atmosphere are often used to compute the Global Warming Potential (GWP) and Global Temperature change Potential (GTP), to characterize the response timescales of Earth System models, and to build reduced-form models. In this carbon cycle-climate model intercomparison project, which spans the full model hierarchy, we quantify responses to emission pulses of different magnitudes injected under different conditions. The CO&lt;sub&gt;2&lt;/sub&gt; response shows the known rapid decline in the first few decades followed by a millennium-scale tail. For a 100 Gt-C emission pulse added to a constant CO&lt;sub&gt;2&lt;/sub&gt; concentration of 389 ppm, 25 ± 9% is still found in the atmosphere after 1000 yr; the ocean has absorbed 59 ± 12% and the land the remainder (16 ± 14%). The response in global mean surface air temperature is an increase by 0.20 ± 0.12 °C within the first twenty years; thereafter and until year 1000, temperature decreases only slightly, whereas ocean heat content and sea level continue to rise. Our best estimate for the Absolute Global Warming Potential, given by the time-integrated response in CO&lt;sub&gt;2&lt;/sub&gt; at year 100 multiplied by its radiative efficiency, is 92.5 × 10&lt;sup&gt;&amp;amp;minus;15&lt;/sup&gt; yr W m&lt;sup&gt;−2&lt;/sup&gt; per kg-CO&lt;sub&gt;2&lt;/sub&gt;. This value very likely (5 to 95% confidence) lies within the range of (68 to 117) × 10&lt;sup&gt;&amp;amp;minus;15&lt;/sup&gt; yr W m&lt;sup&gt;−2&lt;/sup&gt; per kg-CO&lt;sub&gt;2&lt;/sub&gt;. Estimates for time-integrated response in CO&lt;sub&gt;2&lt;/sub&gt; published in the IPCC First, Second, and Fourth Assessment and our multi-model best estimate all agree within 15% during the first 100 yr. The integrated CO&lt;sub&gt;2&lt;/sub&gt; response, normalized by the pulse size, is lower for pre-industrial conditions, compared to present day, and lower for smaller pulses than larger pulses. In contrast, the response in temperature, sea level and ocean heat content is less sensitive to these choices. Although, choices in pulse size, background concentration, and model lead to uncertainties, the most important and subjective choice to determine AGWP of CO&lt;sub&gt;2&lt;/sub&gt; and GWP is the time horizon.&lt;/p&gt;&lt;/p&gt;&quot;,&quot;issue&quot;:&quot;5&quot;,&quot;volume&quot;:&quot;13&quot;},&quot;isTemporary&quot;:false,&quot;suppress-author&quot;:true,&quot;composite&quot;:false,&quot;author-only&quot;:false}],&quot;citationTag&quot;:&quot;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&quot;},{&quot;citationID&quot;:&quot;MENDELEY_CITATION_76937237-a700-4d68-88fc-d01fc3b89cea&quot;,&quot;properties&quot;:{&quot;noteIndex&quot;:0,&quot;mode&quot;:&quot;suppress-author&quot;},&quot;isEdited&quot;:false,&quot;manualOverride&quot;:{&quot;isManuallyOverridden&quot;:false,&quot;citeprocText&quot;:&quot;(2023)&quot;,&quot;manualOverrideText&quot;:&quot;&quot;},&quot;citationItems&quot;:[{&quot;displayAs&quot;:&quot;suppress-author&quot;,&quot;label&quot;:&quot;page&quot;,&quot;id&quot;:&quot;da73ee60-7c83-3886-99cb-b9f08b1eba3d&quot;,&quot;itemData&quot;:{&quot;type&quot;:&quot;article-journal&quot;,&quot;id&quot;:&quot;da73ee60-7c83-3886-99cb-b9f08b1eba3d&quot;,&quot;title&quot;:&quot;The impact of fossil jet fuel emissions at altitude on climate change: A life cycle assessment study of a long-haul flight at different time horizons&quot;,&quot;author&quot;:[{&quot;family&quot;:&quot;Gaillot&quot;,&quot;given&quot;:&quot;Tiphaine&quot;,&quot;parse-names&quot;:false,&quot;dropping-particle&quot;:&quot;&quot;,&quot;non-dropping-particle&quot;:&quot;&quot;},{&quot;family&quot;:&quot;Beauchet&quot;,&quot;given&quot;:&quot;Sandra&quot;,&quot;parse-names&quot;:false,&quot;dropping-particle&quot;:&quot;&quot;,&quot;non-dropping-particle&quot;:&quot;&quot;},{&quot;family&quot;:&quot;Lorne&quot;,&quot;given&quot;:&quot;Daphné&quot;,&quot;parse-names&quot;:false,&quot;dropping-particle&quot;:&quot;&quot;,&quot;non-dropping-particle&quot;:&quot;&quot;},{&quot;family&quot;:&quot;Krim&quot;,&quot;given&quot;:&quot;Lahouari&quot;,&quot;parse-names&quot;:false,&quot;dropping-particle&quot;:&quot;&quot;,&quot;non-dropping-particle&quot;:&quot;&quot;}],&quot;container-title&quot;:&quot;Atmospheric Environment&quot;,&quot;container-title-short&quot;:&quot;Atmos Environ&quot;,&quot;accessed&quot;:{&quot;date-parts&quot;:[[2023,8,14]]},&quot;DOI&quot;:&quot;10.1016/J.ATMOSENV.2023.119983&quot;,&quot;ISSN&quot;:&quot;1352-2310&quot;,&quot;URL&quot;:&quot;https://linkinghub.elsevier.com/retrieve/pii/S1352231023004090&quot;,&quot;issued&quot;:{&quot;date-parts&quot;:[[2023,10,15]]},&quot;page&quot;:&quot;119983&quot;,&quot;publisher&quot;:&quot;Pergamon&quot;,&quot;volume&quot;:&quot;311&quot;},&quot;isTemporary&quot;:false,&quot;suppress-author&quot;:true,&quot;composite&quot;:false,&quot;author-only&quot;:false}],&quot;citationTag&quot;:&quot;MENDELEY_CITATION_v3_eyJjaXRhdGlvbklEIjoiTUVOREVMRVlfQ0lUQVRJT05fNzY5MzcyMzctYTcwMC00ZDY4LTg4ZmMtZDAxZmMzYjg5Y2Vh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&quot;},{&quot;citationID&quot;:&quot;MENDELEY_CITATION_8a13ec1e-bcff-490c-89ff-2fa48d253f55&quot;,&quot;properties&quot;:{&quot;noteIndex&quot;:0},&quot;isEdited&quot;:false,&quot;manualOverride&quot;:{&quot;isManuallyOverridden&quot;:false,&quot;citeprocText&quot;:&quot;(Teoh et al., 2024)&quot;,&quot;manualOverrideText&quot;:&quot;&quot;},&quot;citationTag&quot;:&quot;MENDELEY_CITATION_v3_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&quot;,&quot;citationItems&quot;:[{&quot;id&quot;:&quot;d4d5d847-a9ce-374c-82db-e1c46400fcf6&quot;,&quot;itemData&quot;:{&quot;type&quot;:&quot;article-journal&quot;,&quot;id&quot;:&quot;d4d5d847-a9ce-374c-82db-e1c46400fcf6&quot;,&quot;title&quot;:&quot;The high-resolution Global Aviation emissions Inventory based on ADS-B (GAIA) for 2019–2021&quot;,&quot;author&quot;:[{&quot;family&quot;:&quot;Teoh&quot;,&quot;given&quot;:&quot;Roger&quot;,&quot;parse-names&quot;:false,&quot;dropping-particle&quot;:&quot;&quot;,&quot;non-dropping-particle&quot;:&quot;&quot;},{&quot;family&quot;:&quot;Engberg&quot;,&quot;given&quot;:&quot;Zebediah&quot;,&quot;parse-names&quot;:false,&quot;dropping-particle&quot;:&quot;&quot;,&quot;non-dropping-particle&quot;:&quot;&quot;},{&quot;family&quot;:&quot;Shapiro&quot;,&quot;given&quot;:&quot;Marc&quot;,&quot;parse-names&quot;:false,&quot;dropping-particle&quot;:&quot;&quot;,&quot;non-dropping-particle&quot;:&quot;&quot;},{&quot;family&quot;:&quot;Dray&quot;,&quot;given&quot;:&quot;Lynnette&quot;,&quot;parse-names&quot;:false,&quot;dropping-particle&quot;:&quot;&quot;,&quot;non-dropping-particle&quot;:&quot;&quot;},{&quot;family&quot;:&quot;Stettler&quot;,&quot;given&quot;:&quot;Marc E. J.&quot;,&quot;parse-names&quot;:false,&quot;dropping-particle&quot;:&quot;&quot;,&quot;non-dropping-particle&quot;:&quot;&quot;}],&quot;container-title&quot;:&quot;Atmospheric Chemistry and Physics&quot;,&quot;container-title-short&quot;:&quot;Atmos Chem Phys&quot;,&quot;accessed&quot;:{&quot;date-parts&quot;:[[2024,2,7]]},&quot;DOI&quot;:&quot;10.5194/ACP-24-725-2024&quot;,&quot;ISSN&quot;:&quot;1680-7324&quot;,&quot;URL&quot;:&quot;https://acp.copernicus.org/articles/24/725/2024/&quot;,&quot;issued&quot;:{&quot;date-parts&quot;:[[2024,1,18]]},&quot;page&quot;:&quot;725-744&quot;,&quot;abstract&quot;:&quot;&lt;p&gt;Abstract. Aviation emissions that are dispersed into the Earth's atmosphere affect the climate and air pollution, with significant spatiotemporal variation owing to heterogeneous aircraft activity. In this paper, we use historical flight trajectories derived from Automatic Dependent Surveillance–Broadcast (ADS-B) telemetry and reanalysis weather data for 2019–2021 to develop the Global Aviation emissions Inventory based on ADS-B (GAIA). In 2019, 40.2 million flights collectively travelled 61 billion kilometres using 283 Tg of fuel, leading to CO2, NOX and non-volatile particulate matter (nvPM) mass and number emissions of 893 Tg, 4.49 Tg, 21.4 Gg and 2.8 × 1026 respectively. Global responses to COVID-19 led to reductions in the annual flight distance flown and CO2 and NOX emissions in 2020 (−43 %, −48 % and −50 % respectively relative to 2019) and 2021 (−31 %, −41 % and −43 % respectively), with significant regional variability. Short-haul flights with durations &lt; 3 h accounted for 83 % of all flights but only for 35 % of the 2019 CO2 emissions, while long-haul flights with durations &gt; 6 h (5 % of all flights) were responsible for 43 % of CO2 and 49 % of NOX emissions. Globally, the actual flight trajectories flown are, on average, ∼ 5 % greater than the great circle path between the origin and destination airports, but this varies by region and flight distance. An evaluation of 8705 unique flights between London and Singapore showed large variabilities in the flight trajectory profile, fuel consumption and emission indices. GAIA captures the spatiotemporal distribution of aviation activity and emissions and is provided for use in future studies to evaluate the negative externalities arising from global aviation.&lt;/p&gt;&quot;,&quot;issue&quot;:&quot;1&quot;,&quot;volume&quot;:&quot;24&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E990A388-3E43-44B2-84E4-FE623ECE8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574</Words>
  <Characters>3276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Teoh</dc:creator>
  <cp:keywords/>
  <dc:description/>
  <cp:lastModifiedBy>Katharina Rückert</cp:lastModifiedBy>
  <cp:revision>2</cp:revision>
  <dcterms:created xsi:type="dcterms:W3CDTF">2024-05-22T06:39:00Z</dcterms:created>
  <dcterms:modified xsi:type="dcterms:W3CDTF">2024-05-22T06:39:00Z</dcterms:modified>
</cp:coreProperties>
</file>