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67B3E5" w14:textId="5138BEFE" w:rsidR="006F4131" w:rsidRDefault="006F4131" w:rsidP="005E26D1">
      <w:pPr>
        <w:pStyle w:val="Caption"/>
      </w:pPr>
      <w:r w:rsidRPr="00734358">
        <w:t>Table S</w:t>
      </w:r>
      <w:r w:rsidR="005E26D1">
        <w:t>2</w:t>
      </w:r>
      <w:r w:rsidRPr="00734358">
        <w:t xml:space="preserve">: </w:t>
      </w:r>
      <w:r w:rsidR="00B10188">
        <w:t xml:space="preserve">Model parameter values for </w:t>
      </w:r>
      <w:r w:rsidR="00B10188" w:rsidRPr="000E6613">
        <w:rPr>
          <w:i/>
          <w:iCs/>
        </w:rPr>
        <w:t>REF</w:t>
      </w:r>
      <w:r w:rsidR="00B10188">
        <w:t xml:space="preserve">, abbreviations, and units. Note that only </w:t>
      </w:r>
      <w:r w:rsidR="00B10188" w:rsidRPr="00022025">
        <w:t xml:space="preserve">the </w:t>
      </w:r>
      <w:proofErr w:type="spellStart"/>
      <w:r w:rsidR="00B10188" w:rsidRPr="00022025">
        <w:rPr>
          <w:i/>
          <w:iCs/>
        </w:rPr>
        <w:t>f</w:t>
      </w:r>
      <w:r w:rsidR="00B10188" w:rsidRPr="00022025">
        <w:rPr>
          <w:vertAlign w:val="subscript"/>
        </w:rPr>
        <w:t>sed</w:t>
      </w:r>
      <w:proofErr w:type="spellEnd"/>
      <w:r w:rsidR="00B10188" w:rsidRPr="00022025">
        <w:t>, [</w:t>
      </w:r>
      <w:r w:rsidR="00B10188" w:rsidRPr="00022025">
        <w:rPr>
          <w:i/>
          <w:iCs/>
        </w:rPr>
        <w:t>Nd</w:t>
      </w:r>
      <w:r w:rsidR="00B10188" w:rsidRPr="00022025">
        <w:t>]</w:t>
      </w:r>
      <w:r w:rsidR="00B10188" w:rsidRPr="00D404B5">
        <w:rPr>
          <w:i/>
          <w:iCs/>
          <w:vertAlign w:val="subscript"/>
        </w:rPr>
        <w:t>p</w:t>
      </w:r>
      <w:r w:rsidR="00B10188" w:rsidRPr="00022025">
        <w:t>/[</w:t>
      </w:r>
      <w:r w:rsidR="00B10188" w:rsidRPr="00022025">
        <w:rPr>
          <w:i/>
          <w:iCs/>
        </w:rPr>
        <w:t>Nd</w:t>
      </w:r>
      <w:r w:rsidR="00B10188" w:rsidRPr="00022025">
        <w:t>]</w:t>
      </w:r>
      <w:r w:rsidR="00B10188" w:rsidRPr="00D404B5">
        <w:rPr>
          <w:i/>
          <w:iCs/>
          <w:vertAlign w:val="subscript"/>
        </w:rPr>
        <w:t>d</w:t>
      </w:r>
      <w:r w:rsidR="00B10188" w:rsidRPr="00985AD4">
        <w:rPr>
          <w:rFonts w:ascii="Times" w:hAnsi="Times"/>
        </w:rPr>
        <w:t xml:space="preserve">, and </w:t>
      </w:r>
      <w:r w:rsidR="00B10188" w:rsidRPr="00985AD4">
        <w:rPr>
          <w:rFonts w:ascii="Times" w:hAnsi="Times" w:cstheme="minorHAnsi"/>
          <w:i/>
          <w:iCs/>
          <w:sz w:val="20"/>
          <w:szCs w:val="20"/>
        </w:rPr>
        <w:t>α</w:t>
      </w:r>
      <w:r w:rsidR="00B10188" w:rsidRPr="00985AD4">
        <w:rPr>
          <w:rFonts w:ascii="Times" w:hAnsi="Times" w:cstheme="minorHAnsi"/>
          <w:sz w:val="20"/>
          <w:szCs w:val="20"/>
          <w:vertAlign w:val="subscript"/>
        </w:rPr>
        <w:t>river</w:t>
      </w:r>
      <w:r w:rsidR="00B10188">
        <w:t xml:space="preserve"> parameter values were varied directly in the parameter space exploration and model performance optimisation ensemble (as detailed in Sect. 2.2, main text).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1036"/>
        <w:gridCol w:w="2396"/>
        <w:gridCol w:w="1135"/>
      </w:tblGrid>
      <w:tr w:rsidR="00DF5688" w:rsidRPr="00DF5688" w14:paraId="77691BE4" w14:textId="77777777" w:rsidTr="00DF5688">
        <w:trPr>
          <w:trHeight w:val="320"/>
        </w:trPr>
        <w:tc>
          <w:tcPr>
            <w:tcW w:w="0" w:type="auto"/>
            <w:tcBorders>
              <w:top w:val="single" w:sz="4" w:space="0" w:color="auto"/>
              <w:bottom w:val="single" w:sz="4" w:space="0" w:color="auto"/>
            </w:tcBorders>
            <w:noWrap/>
            <w:hideMark/>
          </w:tcPr>
          <w:p w14:paraId="44E260F8" w14:textId="77777777" w:rsidR="00DF5688" w:rsidRPr="00DF5688" w:rsidRDefault="00DF5688" w:rsidP="00553AA4">
            <w:pPr>
              <w:rPr>
                <w:rFonts w:ascii="Times" w:hAnsi="Times" w:cstheme="minorHAnsi"/>
                <w:b/>
                <w:bCs/>
                <w:color w:val="000000"/>
                <w:sz w:val="18"/>
                <w:szCs w:val="18"/>
              </w:rPr>
            </w:pPr>
            <w:r w:rsidRPr="00DF5688">
              <w:rPr>
                <w:rFonts w:ascii="Times" w:hAnsi="Times" w:cstheme="minorHAnsi"/>
                <w:b/>
                <w:bCs/>
                <w:color w:val="000000"/>
                <w:sz w:val="18"/>
                <w:szCs w:val="18"/>
              </w:rPr>
              <w:t>Variable</w:t>
            </w:r>
          </w:p>
        </w:tc>
        <w:tc>
          <w:tcPr>
            <w:tcW w:w="0" w:type="auto"/>
            <w:tcBorders>
              <w:top w:val="single" w:sz="4" w:space="0" w:color="auto"/>
              <w:bottom w:val="single" w:sz="4" w:space="0" w:color="auto"/>
            </w:tcBorders>
            <w:noWrap/>
            <w:hideMark/>
          </w:tcPr>
          <w:p w14:paraId="3BAED9D1" w14:textId="77777777" w:rsidR="00DF5688" w:rsidRPr="00DF5688" w:rsidRDefault="00DF5688" w:rsidP="00553AA4">
            <w:pPr>
              <w:rPr>
                <w:rFonts w:ascii="Times" w:hAnsi="Times" w:cstheme="minorHAnsi"/>
                <w:b/>
                <w:bCs/>
                <w:color w:val="000000"/>
                <w:sz w:val="18"/>
                <w:szCs w:val="18"/>
              </w:rPr>
            </w:pPr>
            <w:r w:rsidRPr="00DF5688">
              <w:rPr>
                <w:rFonts w:ascii="Times" w:hAnsi="Times" w:cstheme="minorHAnsi"/>
                <w:b/>
                <w:bCs/>
                <w:color w:val="000000"/>
                <w:sz w:val="18"/>
                <w:szCs w:val="18"/>
              </w:rPr>
              <w:t>Symbol</w:t>
            </w:r>
          </w:p>
        </w:tc>
        <w:tc>
          <w:tcPr>
            <w:tcW w:w="0" w:type="auto"/>
            <w:tcBorders>
              <w:top w:val="single" w:sz="4" w:space="0" w:color="auto"/>
              <w:bottom w:val="single" w:sz="4" w:space="0" w:color="auto"/>
            </w:tcBorders>
            <w:noWrap/>
            <w:hideMark/>
          </w:tcPr>
          <w:p w14:paraId="3DE70AF5" w14:textId="77777777" w:rsidR="00DF5688" w:rsidRPr="00DF5688" w:rsidRDefault="00DF5688" w:rsidP="00553AA4">
            <w:pPr>
              <w:rPr>
                <w:rFonts w:ascii="Times" w:hAnsi="Times" w:cstheme="minorHAnsi"/>
                <w:b/>
                <w:bCs/>
                <w:color w:val="000000"/>
                <w:sz w:val="18"/>
                <w:szCs w:val="18"/>
              </w:rPr>
            </w:pPr>
            <w:r w:rsidRPr="00DF5688">
              <w:rPr>
                <w:rFonts w:ascii="Times" w:hAnsi="Times" w:cstheme="minorHAnsi"/>
                <w:b/>
                <w:bCs/>
                <w:color w:val="000000"/>
                <w:sz w:val="18"/>
                <w:szCs w:val="18"/>
              </w:rPr>
              <w:t>Optimised parameter values</w:t>
            </w:r>
          </w:p>
        </w:tc>
        <w:tc>
          <w:tcPr>
            <w:tcW w:w="0" w:type="auto"/>
            <w:tcBorders>
              <w:top w:val="single" w:sz="4" w:space="0" w:color="auto"/>
              <w:bottom w:val="single" w:sz="4" w:space="0" w:color="auto"/>
            </w:tcBorders>
            <w:noWrap/>
            <w:hideMark/>
          </w:tcPr>
          <w:p w14:paraId="639C1F49" w14:textId="77777777" w:rsidR="00DF5688" w:rsidRPr="00DF5688" w:rsidRDefault="00DF5688" w:rsidP="00553AA4">
            <w:pPr>
              <w:rPr>
                <w:rFonts w:ascii="Times" w:hAnsi="Times" w:cstheme="minorHAnsi"/>
                <w:b/>
                <w:bCs/>
                <w:color w:val="000000"/>
                <w:sz w:val="18"/>
                <w:szCs w:val="18"/>
              </w:rPr>
            </w:pPr>
            <w:r w:rsidRPr="00DF5688">
              <w:rPr>
                <w:rFonts w:ascii="Times" w:hAnsi="Times" w:cstheme="minorHAnsi"/>
                <w:b/>
                <w:bCs/>
                <w:color w:val="000000"/>
                <w:sz w:val="18"/>
                <w:szCs w:val="18"/>
              </w:rPr>
              <w:t>Unit</w:t>
            </w:r>
          </w:p>
        </w:tc>
      </w:tr>
      <w:tr w:rsidR="00DF5688" w:rsidRPr="00DF5688" w14:paraId="5D7956C4" w14:textId="77777777" w:rsidTr="00DF5688">
        <w:trPr>
          <w:trHeight w:val="320"/>
        </w:trPr>
        <w:tc>
          <w:tcPr>
            <w:tcW w:w="0" w:type="auto"/>
            <w:tcBorders>
              <w:top w:val="single" w:sz="4" w:space="0" w:color="auto"/>
            </w:tcBorders>
            <w:noWrap/>
            <w:hideMark/>
          </w:tcPr>
          <w:p w14:paraId="165FFB02"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Total Nd concentration</w:t>
            </w:r>
          </w:p>
        </w:tc>
        <w:tc>
          <w:tcPr>
            <w:tcW w:w="0" w:type="auto"/>
            <w:tcBorders>
              <w:top w:val="single" w:sz="4" w:space="0" w:color="auto"/>
            </w:tcBorders>
            <w:noWrap/>
            <w:hideMark/>
          </w:tcPr>
          <w:p w14:paraId="7B2D34E5"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w:t>
            </w:r>
            <w:r w:rsidRPr="00DF5688">
              <w:rPr>
                <w:rFonts w:ascii="Times" w:hAnsi="Times" w:cstheme="minorHAnsi"/>
                <w:i/>
                <w:iCs/>
                <w:color w:val="000000"/>
                <w:sz w:val="18"/>
                <w:szCs w:val="18"/>
              </w:rPr>
              <w:t>Nd</w:t>
            </w:r>
            <w:r w:rsidRPr="00DF5688">
              <w:rPr>
                <w:rFonts w:ascii="Times" w:hAnsi="Times" w:cstheme="minorHAnsi"/>
                <w:color w:val="000000"/>
                <w:sz w:val="18"/>
                <w:szCs w:val="18"/>
              </w:rPr>
              <w:t>]</w:t>
            </w:r>
            <w:r w:rsidRPr="00DF5688">
              <w:rPr>
                <w:rFonts w:ascii="Times" w:hAnsi="Times" w:cstheme="minorHAnsi"/>
                <w:i/>
                <w:iCs/>
                <w:color w:val="000000"/>
                <w:sz w:val="18"/>
                <w:szCs w:val="18"/>
                <w:vertAlign w:val="subscript"/>
              </w:rPr>
              <w:t>t</w:t>
            </w:r>
          </w:p>
        </w:tc>
        <w:tc>
          <w:tcPr>
            <w:tcW w:w="0" w:type="auto"/>
            <w:tcBorders>
              <w:top w:val="single" w:sz="4" w:space="0" w:color="auto"/>
            </w:tcBorders>
            <w:noWrap/>
            <w:hideMark/>
          </w:tcPr>
          <w:p w14:paraId="105325BD"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tcBorders>
              <w:top w:val="single" w:sz="4" w:space="0" w:color="auto"/>
            </w:tcBorders>
            <w:noWrap/>
            <w:hideMark/>
          </w:tcPr>
          <w:p w14:paraId="60DB708A"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color w:val="000000"/>
                <w:sz w:val="18"/>
                <w:szCs w:val="18"/>
              </w:rPr>
              <w:t>pmol</w:t>
            </w:r>
            <w:proofErr w:type="spellEnd"/>
            <w:r w:rsidRPr="00DF5688">
              <w:rPr>
                <w:rFonts w:ascii="Times" w:hAnsi="Times" w:cstheme="minorHAnsi"/>
                <w:color w:val="000000"/>
                <w:sz w:val="18"/>
                <w:szCs w:val="18"/>
              </w:rPr>
              <w:t xml:space="preserve"> </w:t>
            </w:r>
            <w:proofErr w:type="gramStart"/>
            <w:r w:rsidRPr="00DF5688">
              <w:rPr>
                <w:rFonts w:ascii="Times" w:hAnsi="Times" w:cstheme="minorHAnsi"/>
                <w:color w:val="000000"/>
                <w:sz w:val="18"/>
                <w:szCs w:val="18"/>
              </w:rPr>
              <w:t>kg</w:t>
            </w:r>
            <w:r w:rsidRPr="00DF5688">
              <w:rPr>
                <w:rFonts w:ascii="Times" w:hAnsi="Times" w:cstheme="minorHAnsi"/>
                <w:color w:val="000000"/>
                <w:sz w:val="18"/>
                <w:szCs w:val="18"/>
                <w:vertAlign w:val="superscript"/>
              </w:rPr>
              <w:t>-1</w:t>
            </w:r>
            <w:proofErr w:type="gramEnd"/>
          </w:p>
        </w:tc>
      </w:tr>
      <w:tr w:rsidR="00DF5688" w:rsidRPr="00DF5688" w14:paraId="6C1B0D38" w14:textId="77777777" w:rsidTr="00DF5688">
        <w:trPr>
          <w:trHeight w:val="320"/>
        </w:trPr>
        <w:tc>
          <w:tcPr>
            <w:tcW w:w="0" w:type="auto"/>
            <w:noWrap/>
            <w:hideMark/>
          </w:tcPr>
          <w:p w14:paraId="130287FB"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Dissolved Nd</w:t>
            </w:r>
          </w:p>
        </w:tc>
        <w:tc>
          <w:tcPr>
            <w:tcW w:w="0" w:type="auto"/>
            <w:noWrap/>
            <w:hideMark/>
          </w:tcPr>
          <w:p w14:paraId="6327557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w:t>
            </w:r>
            <w:r w:rsidRPr="00DF5688">
              <w:rPr>
                <w:rFonts w:ascii="Times" w:hAnsi="Times" w:cstheme="minorHAnsi"/>
                <w:i/>
                <w:iCs/>
                <w:color w:val="000000"/>
                <w:sz w:val="18"/>
                <w:szCs w:val="18"/>
              </w:rPr>
              <w:t>Nd</w:t>
            </w:r>
            <w:r w:rsidRPr="00DF5688">
              <w:rPr>
                <w:rFonts w:ascii="Times" w:hAnsi="Times" w:cstheme="minorHAnsi"/>
                <w:color w:val="000000"/>
                <w:sz w:val="18"/>
                <w:szCs w:val="18"/>
              </w:rPr>
              <w:t>]</w:t>
            </w:r>
            <w:r w:rsidRPr="00DF5688">
              <w:rPr>
                <w:rFonts w:ascii="Times" w:hAnsi="Times" w:cstheme="minorHAnsi"/>
                <w:i/>
                <w:iCs/>
                <w:color w:val="000000"/>
                <w:sz w:val="18"/>
                <w:szCs w:val="18"/>
                <w:vertAlign w:val="subscript"/>
              </w:rPr>
              <w:t>d</w:t>
            </w:r>
          </w:p>
        </w:tc>
        <w:tc>
          <w:tcPr>
            <w:tcW w:w="0" w:type="auto"/>
            <w:noWrap/>
            <w:hideMark/>
          </w:tcPr>
          <w:p w14:paraId="77059ECC"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2DA9F4A4"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color w:val="000000"/>
                <w:sz w:val="18"/>
                <w:szCs w:val="18"/>
              </w:rPr>
              <w:t>pmol</w:t>
            </w:r>
            <w:proofErr w:type="spellEnd"/>
            <w:r w:rsidRPr="00DF5688">
              <w:rPr>
                <w:rFonts w:ascii="Times" w:hAnsi="Times" w:cstheme="minorHAnsi"/>
                <w:color w:val="000000"/>
                <w:sz w:val="18"/>
                <w:szCs w:val="18"/>
              </w:rPr>
              <w:t xml:space="preserve"> </w:t>
            </w:r>
            <w:proofErr w:type="gramStart"/>
            <w:r w:rsidRPr="00DF5688">
              <w:rPr>
                <w:rFonts w:ascii="Times" w:hAnsi="Times" w:cstheme="minorHAnsi"/>
                <w:color w:val="000000"/>
                <w:sz w:val="18"/>
                <w:szCs w:val="18"/>
              </w:rPr>
              <w:t>kg</w:t>
            </w:r>
            <w:r w:rsidRPr="00DF5688">
              <w:rPr>
                <w:rFonts w:ascii="Times" w:hAnsi="Times" w:cstheme="minorHAnsi"/>
                <w:color w:val="000000"/>
                <w:sz w:val="18"/>
                <w:szCs w:val="18"/>
                <w:vertAlign w:val="superscript"/>
              </w:rPr>
              <w:t>-1</w:t>
            </w:r>
            <w:proofErr w:type="gramEnd"/>
          </w:p>
        </w:tc>
      </w:tr>
      <w:tr w:rsidR="00DF5688" w:rsidRPr="00DF5688" w14:paraId="0529A6B6" w14:textId="77777777" w:rsidTr="00DF5688">
        <w:trPr>
          <w:trHeight w:val="320"/>
        </w:trPr>
        <w:tc>
          <w:tcPr>
            <w:tcW w:w="0" w:type="auto"/>
            <w:noWrap/>
            <w:hideMark/>
          </w:tcPr>
          <w:p w14:paraId="64D70EC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Particle-associated Nd</w:t>
            </w:r>
          </w:p>
        </w:tc>
        <w:tc>
          <w:tcPr>
            <w:tcW w:w="0" w:type="auto"/>
            <w:noWrap/>
            <w:hideMark/>
          </w:tcPr>
          <w:p w14:paraId="295F0F2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w:t>
            </w:r>
            <w:r w:rsidRPr="00DF5688">
              <w:rPr>
                <w:rFonts w:ascii="Times" w:hAnsi="Times" w:cstheme="minorHAnsi"/>
                <w:i/>
                <w:iCs/>
                <w:color w:val="000000"/>
                <w:sz w:val="18"/>
                <w:szCs w:val="18"/>
              </w:rPr>
              <w:t>Nd</w:t>
            </w:r>
            <w:r w:rsidRPr="00DF5688">
              <w:rPr>
                <w:rFonts w:ascii="Times" w:hAnsi="Times" w:cstheme="minorHAnsi"/>
                <w:color w:val="000000"/>
                <w:sz w:val="18"/>
                <w:szCs w:val="18"/>
              </w:rPr>
              <w:t>]</w:t>
            </w:r>
            <w:r w:rsidRPr="00DF5688">
              <w:rPr>
                <w:rFonts w:ascii="Times" w:hAnsi="Times" w:cstheme="minorHAnsi"/>
                <w:i/>
                <w:iCs/>
                <w:color w:val="000000"/>
                <w:sz w:val="18"/>
                <w:szCs w:val="18"/>
                <w:vertAlign w:val="subscript"/>
              </w:rPr>
              <w:t>p</w:t>
            </w:r>
          </w:p>
        </w:tc>
        <w:tc>
          <w:tcPr>
            <w:tcW w:w="0" w:type="auto"/>
            <w:noWrap/>
            <w:hideMark/>
          </w:tcPr>
          <w:p w14:paraId="3ED55F14"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1AAD4B2C"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color w:val="000000"/>
                <w:sz w:val="18"/>
                <w:szCs w:val="18"/>
              </w:rPr>
              <w:t>pmol</w:t>
            </w:r>
            <w:proofErr w:type="spellEnd"/>
            <w:r w:rsidRPr="00DF5688">
              <w:rPr>
                <w:rFonts w:ascii="Times" w:hAnsi="Times" w:cstheme="minorHAnsi"/>
                <w:color w:val="000000"/>
                <w:sz w:val="18"/>
                <w:szCs w:val="18"/>
              </w:rPr>
              <w:t xml:space="preserve"> </w:t>
            </w:r>
            <w:proofErr w:type="gramStart"/>
            <w:r w:rsidRPr="00DF5688">
              <w:rPr>
                <w:rFonts w:ascii="Times" w:hAnsi="Times" w:cstheme="minorHAnsi"/>
                <w:color w:val="000000"/>
                <w:sz w:val="18"/>
                <w:szCs w:val="18"/>
              </w:rPr>
              <w:t>kg</w:t>
            </w:r>
            <w:r w:rsidRPr="00DF5688">
              <w:rPr>
                <w:rFonts w:ascii="Times" w:hAnsi="Times" w:cstheme="minorHAnsi"/>
                <w:color w:val="000000"/>
                <w:sz w:val="18"/>
                <w:szCs w:val="18"/>
                <w:vertAlign w:val="superscript"/>
              </w:rPr>
              <w:t>-1</w:t>
            </w:r>
            <w:proofErr w:type="gramEnd"/>
          </w:p>
        </w:tc>
      </w:tr>
      <w:tr w:rsidR="00DF5688" w:rsidRPr="00DF5688" w14:paraId="574C53F9" w14:textId="77777777" w:rsidTr="00DF5688">
        <w:trPr>
          <w:trHeight w:val="320"/>
        </w:trPr>
        <w:tc>
          <w:tcPr>
            <w:tcW w:w="0" w:type="auto"/>
            <w:noWrap/>
            <w:hideMark/>
          </w:tcPr>
          <w:p w14:paraId="29ED51C9" w14:textId="77777777" w:rsidR="00DF5688" w:rsidRPr="00DF5688" w:rsidRDefault="00DF5688" w:rsidP="00553AA4">
            <w:pPr>
              <w:rPr>
                <w:rFonts w:ascii="Times" w:hAnsi="Times" w:cstheme="minorHAnsi"/>
                <w:color w:val="000000" w:themeColor="text1"/>
                <w:sz w:val="18"/>
                <w:szCs w:val="18"/>
              </w:rPr>
            </w:pPr>
            <w:r w:rsidRPr="00DF5688">
              <w:rPr>
                <w:rFonts w:ascii="Times" w:hAnsi="Times" w:cstheme="minorHAnsi"/>
                <w:color w:val="000000" w:themeColor="text1"/>
                <w:sz w:val="18"/>
                <w:szCs w:val="18"/>
              </w:rPr>
              <w:t>Nd source, total</w:t>
            </w:r>
          </w:p>
        </w:tc>
        <w:tc>
          <w:tcPr>
            <w:tcW w:w="0" w:type="auto"/>
            <w:noWrap/>
            <w:hideMark/>
          </w:tcPr>
          <w:p w14:paraId="1067524E" w14:textId="77777777" w:rsidR="00DF5688" w:rsidRPr="00DF5688" w:rsidRDefault="00DF5688" w:rsidP="00553AA4">
            <w:pPr>
              <w:rPr>
                <w:rFonts w:ascii="Times" w:hAnsi="Times" w:cstheme="minorHAnsi"/>
                <w:i/>
                <w:iCs/>
                <w:color w:val="000000" w:themeColor="text1"/>
                <w:sz w:val="18"/>
                <w:szCs w:val="18"/>
              </w:rPr>
            </w:pPr>
            <w:proofErr w:type="spellStart"/>
            <w:r w:rsidRPr="00DF5688">
              <w:rPr>
                <w:rFonts w:ascii="Times" w:hAnsi="Times" w:cstheme="minorHAnsi"/>
                <w:i/>
                <w:iCs/>
                <w:color w:val="000000" w:themeColor="text1"/>
                <w:sz w:val="18"/>
                <w:szCs w:val="18"/>
              </w:rPr>
              <w:t>f</w:t>
            </w:r>
            <w:r w:rsidRPr="00DF5688">
              <w:rPr>
                <w:rFonts w:ascii="Times" w:hAnsi="Times" w:cstheme="minorHAnsi"/>
                <w:i/>
                <w:iCs/>
                <w:color w:val="000000" w:themeColor="text1"/>
                <w:sz w:val="18"/>
                <w:szCs w:val="18"/>
                <w:vertAlign w:val="subscript"/>
              </w:rPr>
              <w:t>total</w:t>
            </w:r>
            <w:proofErr w:type="spellEnd"/>
          </w:p>
        </w:tc>
        <w:tc>
          <w:tcPr>
            <w:tcW w:w="0" w:type="auto"/>
            <w:noWrap/>
            <w:hideMark/>
          </w:tcPr>
          <w:p w14:paraId="66CD3C59" w14:textId="77777777" w:rsidR="00DF5688" w:rsidRPr="00DF5688" w:rsidRDefault="00DF5688" w:rsidP="00553AA4">
            <w:pPr>
              <w:jc w:val="right"/>
              <w:rPr>
                <w:rFonts w:ascii="Times" w:hAnsi="Times" w:cstheme="minorHAnsi"/>
                <w:i/>
                <w:iCs/>
                <w:color w:val="000000" w:themeColor="text1"/>
                <w:sz w:val="18"/>
                <w:szCs w:val="18"/>
              </w:rPr>
            </w:pPr>
            <w:r w:rsidRPr="00DF5688">
              <w:rPr>
                <w:rFonts w:ascii="Times" w:hAnsi="Times" w:cstheme="minorHAnsi"/>
                <w:color w:val="000000"/>
                <w:sz w:val="18"/>
                <w:szCs w:val="18"/>
              </w:rPr>
              <w:t xml:space="preserve">5.9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9</w:t>
            </w:r>
          </w:p>
        </w:tc>
        <w:tc>
          <w:tcPr>
            <w:tcW w:w="0" w:type="auto"/>
            <w:noWrap/>
            <w:hideMark/>
          </w:tcPr>
          <w:p w14:paraId="6A90FD25" w14:textId="77777777" w:rsidR="00DF5688" w:rsidRPr="00DF5688" w:rsidRDefault="00DF5688" w:rsidP="00553AA4">
            <w:pPr>
              <w:rPr>
                <w:rFonts w:ascii="Times" w:hAnsi="Times" w:cstheme="minorHAnsi"/>
                <w:color w:val="000000" w:themeColor="text1"/>
                <w:sz w:val="18"/>
                <w:szCs w:val="18"/>
              </w:rPr>
            </w:pPr>
            <w:r w:rsidRPr="00DF5688">
              <w:rPr>
                <w:rFonts w:ascii="Times" w:hAnsi="Times" w:cstheme="minorHAnsi"/>
                <w:color w:val="000000" w:themeColor="text1"/>
                <w:sz w:val="18"/>
                <w:szCs w:val="18"/>
              </w:rPr>
              <w:t>g Nd yr</w:t>
            </w:r>
            <w:r w:rsidRPr="00DF5688">
              <w:rPr>
                <w:rFonts w:ascii="Times" w:hAnsi="Times" w:cstheme="minorHAnsi"/>
                <w:color w:val="000000" w:themeColor="text1"/>
                <w:sz w:val="18"/>
                <w:szCs w:val="18"/>
                <w:vertAlign w:val="superscript"/>
              </w:rPr>
              <w:t>-1</w:t>
            </w:r>
          </w:p>
        </w:tc>
      </w:tr>
      <w:tr w:rsidR="00DF5688" w:rsidRPr="00DF5688" w14:paraId="33C92A8D" w14:textId="77777777" w:rsidTr="00DF5688">
        <w:trPr>
          <w:trHeight w:val="381"/>
        </w:trPr>
        <w:tc>
          <w:tcPr>
            <w:tcW w:w="0" w:type="auto"/>
            <w:noWrap/>
            <w:hideMark/>
          </w:tcPr>
          <w:p w14:paraId="263E680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Nd source, density</w:t>
            </w:r>
          </w:p>
        </w:tc>
        <w:tc>
          <w:tcPr>
            <w:tcW w:w="0" w:type="auto"/>
            <w:noWrap/>
            <w:hideMark/>
          </w:tcPr>
          <w:p w14:paraId="43289B18" w14:textId="77777777" w:rsidR="00DF5688" w:rsidRPr="00DF5688" w:rsidRDefault="00DF5688" w:rsidP="00553AA4">
            <w:pPr>
              <w:rPr>
                <w:rFonts w:ascii="Times" w:hAnsi="Times" w:cstheme="minorHAnsi"/>
                <w:color w:val="000000"/>
                <w:sz w:val="18"/>
                <w:szCs w:val="18"/>
                <w:vertAlign w:val="subscript"/>
              </w:rPr>
            </w:pPr>
            <w:proofErr w:type="spellStart"/>
            <w:r w:rsidRPr="00DF5688">
              <w:rPr>
                <w:rFonts w:ascii="Times" w:hAnsi="Times" w:cstheme="minorHAnsi"/>
                <w:i/>
                <w:iCs/>
                <w:color w:val="000000"/>
                <w:sz w:val="18"/>
                <w:szCs w:val="18"/>
              </w:rPr>
              <w:t>S</w:t>
            </w:r>
            <w:r w:rsidRPr="00DF5688">
              <w:rPr>
                <w:rFonts w:ascii="Times" w:hAnsi="Times" w:cstheme="minorHAnsi"/>
                <w:color w:val="000000"/>
                <w:sz w:val="18"/>
                <w:szCs w:val="18"/>
                <w:vertAlign w:val="subscript"/>
              </w:rPr>
              <w:t>total</w:t>
            </w:r>
            <w:proofErr w:type="spellEnd"/>
          </w:p>
        </w:tc>
        <w:tc>
          <w:tcPr>
            <w:tcW w:w="0" w:type="auto"/>
            <w:noWrap/>
            <w:hideMark/>
          </w:tcPr>
          <w:p w14:paraId="07D2D26C"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3DDF1F86"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 Nd m</w:t>
            </w:r>
            <w:r w:rsidRPr="00DF5688">
              <w:rPr>
                <w:rFonts w:ascii="Times" w:hAnsi="Times" w:cstheme="minorHAnsi"/>
                <w:color w:val="000000"/>
                <w:sz w:val="18"/>
                <w:szCs w:val="18"/>
                <w:vertAlign w:val="superscript"/>
              </w:rPr>
              <w:t>-3</w:t>
            </w:r>
            <w:r w:rsidRPr="00DF5688">
              <w:rPr>
                <w:rFonts w:ascii="Times" w:hAnsi="Times" w:cstheme="minorHAnsi"/>
                <w:color w:val="000000"/>
                <w:sz w:val="18"/>
                <w:szCs w:val="18"/>
              </w:rPr>
              <w:t xml:space="preserve"> </w:t>
            </w:r>
            <w:r w:rsidRPr="00DF5688">
              <w:rPr>
                <w:rFonts w:ascii="Times" w:hAnsi="Times" w:cstheme="minorHAnsi"/>
                <w:color w:val="000000"/>
                <w:sz w:val="18"/>
                <w:szCs w:val="18"/>
                <w:vertAlign w:val="superscript"/>
              </w:rPr>
              <w:t>yr-1</w:t>
            </w:r>
          </w:p>
        </w:tc>
      </w:tr>
      <w:tr w:rsidR="00DF5688" w:rsidRPr="00DF5688" w14:paraId="2F3C2AD6" w14:textId="77777777" w:rsidTr="00DF5688">
        <w:trPr>
          <w:trHeight w:val="320"/>
        </w:trPr>
        <w:tc>
          <w:tcPr>
            <w:tcW w:w="0" w:type="auto"/>
            <w:noWrap/>
            <w:hideMark/>
          </w:tcPr>
          <w:p w14:paraId="47723904"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Dust source, total</w:t>
            </w:r>
          </w:p>
        </w:tc>
        <w:tc>
          <w:tcPr>
            <w:tcW w:w="0" w:type="auto"/>
            <w:noWrap/>
            <w:hideMark/>
          </w:tcPr>
          <w:p w14:paraId="04022779"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f</w:t>
            </w:r>
            <w:r w:rsidRPr="00DF5688">
              <w:rPr>
                <w:rFonts w:ascii="Times" w:hAnsi="Times" w:cstheme="minorHAnsi"/>
                <w:color w:val="000000"/>
                <w:sz w:val="18"/>
                <w:szCs w:val="18"/>
                <w:vertAlign w:val="subscript"/>
              </w:rPr>
              <w:t>dust</w:t>
            </w:r>
            <w:proofErr w:type="spellEnd"/>
          </w:p>
        </w:tc>
        <w:tc>
          <w:tcPr>
            <w:tcW w:w="0" w:type="auto"/>
            <w:noWrap/>
            <w:hideMark/>
          </w:tcPr>
          <w:p w14:paraId="61B0F857" w14:textId="77777777" w:rsidR="00DF5688" w:rsidRPr="00DF5688" w:rsidRDefault="00DF5688" w:rsidP="00553AA4">
            <w:pPr>
              <w:jc w:val="right"/>
              <w:rPr>
                <w:rFonts w:ascii="Times" w:hAnsi="Times" w:cstheme="minorHAnsi"/>
                <w:sz w:val="18"/>
                <w:szCs w:val="18"/>
              </w:rPr>
            </w:pPr>
            <w:r w:rsidRPr="00DF5688">
              <w:rPr>
                <w:rFonts w:ascii="Times" w:hAnsi="Times" w:cstheme="minorHAnsi"/>
                <w:color w:val="000000"/>
                <w:sz w:val="18"/>
                <w:szCs w:val="18"/>
              </w:rPr>
              <w:t xml:space="preserve">3.3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8</w:t>
            </w:r>
          </w:p>
        </w:tc>
        <w:tc>
          <w:tcPr>
            <w:tcW w:w="0" w:type="auto"/>
            <w:noWrap/>
            <w:hideMark/>
          </w:tcPr>
          <w:p w14:paraId="5D3401F6"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 Nd yr</w:t>
            </w:r>
            <w:r w:rsidRPr="00DF5688">
              <w:rPr>
                <w:rFonts w:ascii="Times" w:hAnsi="Times" w:cstheme="minorHAnsi"/>
                <w:color w:val="000000"/>
                <w:sz w:val="18"/>
                <w:szCs w:val="18"/>
                <w:vertAlign w:val="superscript"/>
              </w:rPr>
              <w:t>-1</w:t>
            </w:r>
          </w:p>
        </w:tc>
      </w:tr>
      <w:tr w:rsidR="00DF5688" w:rsidRPr="00DF5688" w14:paraId="5080438F" w14:textId="77777777" w:rsidTr="00DF5688">
        <w:trPr>
          <w:trHeight w:val="320"/>
        </w:trPr>
        <w:tc>
          <w:tcPr>
            <w:tcW w:w="0" w:type="auto"/>
            <w:noWrap/>
            <w:hideMark/>
          </w:tcPr>
          <w:p w14:paraId="32441FDF"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Dust source, density</w:t>
            </w:r>
          </w:p>
        </w:tc>
        <w:tc>
          <w:tcPr>
            <w:tcW w:w="0" w:type="auto"/>
            <w:noWrap/>
            <w:hideMark/>
          </w:tcPr>
          <w:p w14:paraId="7A877677"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S</w:t>
            </w:r>
            <w:r w:rsidRPr="00DF5688">
              <w:rPr>
                <w:rFonts w:ascii="Times" w:hAnsi="Times" w:cstheme="minorHAnsi"/>
                <w:color w:val="000000"/>
                <w:sz w:val="18"/>
                <w:szCs w:val="18"/>
                <w:vertAlign w:val="subscript"/>
              </w:rPr>
              <w:t>dust</w:t>
            </w:r>
            <w:proofErr w:type="spellEnd"/>
          </w:p>
        </w:tc>
        <w:tc>
          <w:tcPr>
            <w:tcW w:w="0" w:type="auto"/>
            <w:noWrap/>
            <w:hideMark/>
          </w:tcPr>
          <w:p w14:paraId="39D8A5DF"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4760328E"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 Nd m</w:t>
            </w:r>
            <w:r w:rsidRPr="00DF5688">
              <w:rPr>
                <w:rFonts w:ascii="Times" w:hAnsi="Times" w:cstheme="minorHAnsi"/>
                <w:color w:val="000000"/>
                <w:sz w:val="18"/>
                <w:szCs w:val="18"/>
                <w:vertAlign w:val="superscript"/>
              </w:rPr>
              <w:t>-3</w:t>
            </w:r>
            <w:r w:rsidRPr="00DF5688">
              <w:rPr>
                <w:rFonts w:ascii="Times" w:hAnsi="Times" w:cstheme="minorHAnsi"/>
                <w:color w:val="000000"/>
                <w:sz w:val="18"/>
                <w:szCs w:val="18"/>
              </w:rPr>
              <w:t xml:space="preserve"> yr</w:t>
            </w:r>
            <w:r w:rsidRPr="00DF5688">
              <w:rPr>
                <w:rFonts w:ascii="Times" w:hAnsi="Times" w:cstheme="minorHAnsi"/>
                <w:color w:val="000000"/>
                <w:sz w:val="18"/>
                <w:szCs w:val="18"/>
                <w:vertAlign w:val="superscript"/>
              </w:rPr>
              <w:t>-1</w:t>
            </w:r>
          </w:p>
        </w:tc>
      </w:tr>
      <w:tr w:rsidR="00DF5688" w:rsidRPr="00DF5688" w14:paraId="5AAD439C" w14:textId="77777777" w:rsidTr="00DF5688">
        <w:trPr>
          <w:trHeight w:val="320"/>
        </w:trPr>
        <w:tc>
          <w:tcPr>
            <w:tcW w:w="0" w:type="auto"/>
            <w:noWrap/>
            <w:hideMark/>
          </w:tcPr>
          <w:p w14:paraId="63AC93D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xml:space="preserve">Flux of dust </w:t>
            </w:r>
          </w:p>
        </w:tc>
        <w:tc>
          <w:tcPr>
            <w:tcW w:w="0" w:type="auto"/>
            <w:noWrap/>
            <w:hideMark/>
          </w:tcPr>
          <w:p w14:paraId="6EB0CFEF"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color w:val="000000"/>
                <w:sz w:val="18"/>
                <w:szCs w:val="18"/>
              </w:rPr>
              <w:t>F</w:t>
            </w:r>
            <w:r w:rsidRPr="00DF5688">
              <w:rPr>
                <w:rFonts w:ascii="Times" w:hAnsi="Times" w:cstheme="minorHAnsi"/>
                <w:color w:val="000000"/>
                <w:sz w:val="18"/>
                <w:szCs w:val="18"/>
                <w:vertAlign w:val="subscript"/>
              </w:rPr>
              <w:t>dust</w:t>
            </w:r>
            <w:proofErr w:type="spellEnd"/>
          </w:p>
        </w:tc>
        <w:tc>
          <w:tcPr>
            <w:tcW w:w="0" w:type="auto"/>
            <w:noWrap/>
            <w:hideMark/>
          </w:tcPr>
          <w:p w14:paraId="1025F771"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 xml:space="preserve">Hopcroft </w:t>
            </w:r>
            <w:r w:rsidRPr="00DF5688">
              <w:rPr>
                <w:rFonts w:ascii="Times" w:hAnsi="Times" w:cstheme="minorHAnsi"/>
                <w:i/>
                <w:iCs/>
                <w:color w:val="000000"/>
                <w:sz w:val="18"/>
                <w:szCs w:val="18"/>
              </w:rPr>
              <w:t>et al.,</w:t>
            </w:r>
            <w:r w:rsidRPr="00DF5688">
              <w:rPr>
                <w:rFonts w:ascii="Times" w:hAnsi="Times" w:cstheme="minorHAnsi"/>
                <w:color w:val="000000"/>
                <w:sz w:val="18"/>
                <w:szCs w:val="18"/>
              </w:rPr>
              <w:t xml:space="preserve"> 2015</w:t>
            </w:r>
          </w:p>
        </w:tc>
        <w:tc>
          <w:tcPr>
            <w:tcW w:w="0" w:type="auto"/>
            <w:noWrap/>
            <w:hideMark/>
          </w:tcPr>
          <w:p w14:paraId="1B926805"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 m</w:t>
            </w:r>
            <w:r w:rsidRPr="00DF5688">
              <w:rPr>
                <w:rFonts w:ascii="Times" w:hAnsi="Times" w:cstheme="minorHAnsi"/>
                <w:color w:val="000000"/>
                <w:sz w:val="18"/>
                <w:szCs w:val="18"/>
                <w:vertAlign w:val="superscript"/>
              </w:rPr>
              <w:t>-2</w:t>
            </w:r>
            <w:r w:rsidRPr="00DF5688">
              <w:rPr>
                <w:rFonts w:ascii="Times" w:hAnsi="Times" w:cstheme="minorHAnsi"/>
                <w:color w:val="000000"/>
                <w:sz w:val="18"/>
                <w:szCs w:val="18"/>
              </w:rPr>
              <w:t xml:space="preserve"> yr</w:t>
            </w:r>
            <w:r w:rsidRPr="00DF5688">
              <w:rPr>
                <w:rFonts w:ascii="Times" w:hAnsi="Times" w:cstheme="minorHAnsi"/>
                <w:color w:val="000000"/>
                <w:sz w:val="18"/>
                <w:szCs w:val="18"/>
                <w:vertAlign w:val="superscript"/>
              </w:rPr>
              <w:t>-1</w:t>
            </w:r>
          </w:p>
        </w:tc>
      </w:tr>
      <w:tr w:rsidR="00DF5688" w:rsidRPr="00DF5688" w14:paraId="439ACFED" w14:textId="77777777" w:rsidTr="00DF5688">
        <w:trPr>
          <w:trHeight w:val="381"/>
        </w:trPr>
        <w:tc>
          <w:tcPr>
            <w:tcW w:w="0" w:type="auto"/>
            <w:noWrap/>
            <w:hideMark/>
          </w:tcPr>
          <w:p w14:paraId="44078F9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Nd-concentration dust</w:t>
            </w:r>
          </w:p>
        </w:tc>
        <w:tc>
          <w:tcPr>
            <w:tcW w:w="0" w:type="auto"/>
            <w:noWrap/>
            <w:hideMark/>
          </w:tcPr>
          <w:p w14:paraId="711B639F"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sz w:val="18"/>
                <w:szCs w:val="18"/>
              </w:rPr>
              <w:t>C</w:t>
            </w:r>
            <w:r w:rsidRPr="00DF5688">
              <w:rPr>
                <w:rFonts w:ascii="Times" w:hAnsi="Times" w:cstheme="minorHAnsi"/>
                <w:sz w:val="18"/>
                <w:szCs w:val="18"/>
                <w:vertAlign w:val="subscript"/>
              </w:rPr>
              <w:t>dust</w:t>
            </w:r>
            <w:proofErr w:type="spellEnd"/>
          </w:p>
        </w:tc>
        <w:tc>
          <w:tcPr>
            <w:tcW w:w="0" w:type="auto"/>
            <w:noWrap/>
            <w:hideMark/>
          </w:tcPr>
          <w:p w14:paraId="42C9C292"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20</w:t>
            </w:r>
          </w:p>
        </w:tc>
        <w:tc>
          <w:tcPr>
            <w:tcW w:w="0" w:type="auto"/>
            <w:noWrap/>
            <w:hideMark/>
          </w:tcPr>
          <w:p w14:paraId="513A45F6" w14:textId="77777777" w:rsidR="00DF5688" w:rsidRPr="00DF5688" w:rsidRDefault="00DF5688" w:rsidP="00553AA4">
            <w:pPr>
              <w:rPr>
                <w:rFonts w:ascii="Times" w:hAnsi="Times" w:cstheme="minorHAnsi"/>
                <w:color w:val="222222"/>
                <w:sz w:val="18"/>
                <w:szCs w:val="18"/>
              </w:rPr>
            </w:pPr>
            <w:proofErr w:type="spellStart"/>
            <w:r w:rsidRPr="00DF5688">
              <w:rPr>
                <w:rFonts w:ascii="Times" w:hAnsi="Times" w:cstheme="minorHAnsi"/>
                <w:color w:val="222222"/>
                <w:sz w:val="18"/>
                <w:szCs w:val="18"/>
              </w:rPr>
              <w:t>μg</w:t>
            </w:r>
            <w:proofErr w:type="spellEnd"/>
            <w:r w:rsidRPr="00DF5688">
              <w:rPr>
                <w:rFonts w:ascii="Times" w:hAnsi="Times" w:cstheme="minorHAnsi"/>
                <w:color w:val="222222"/>
                <w:sz w:val="18"/>
                <w:szCs w:val="18"/>
              </w:rPr>
              <w:t xml:space="preserve"> g</w:t>
            </w:r>
            <w:r w:rsidRPr="00DF5688">
              <w:rPr>
                <w:rFonts w:ascii="Times" w:hAnsi="Times" w:cstheme="minorHAnsi"/>
                <w:color w:val="222222"/>
                <w:sz w:val="18"/>
                <w:szCs w:val="18"/>
                <w:vertAlign w:val="superscript"/>
              </w:rPr>
              <w:t>-1</w:t>
            </w:r>
            <w:r w:rsidRPr="00DF5688">
              <w:rPr>
                <w:rFonts w:ascii="Times" w:hAnsi="Times" w:cstheme="minorHAnsi"/>
                <w:color w:val="000000"/>
                <w:sz w:val="18"/>
                <w:szCs w:val="18"/>
              </w:rPr>
              <w:t> </w:t>
            </w:r>
          </w:p>
        </w:tc>
      </w:tr>
      <w:tr w:rsidR="00DF5688" w:rsidRPr="00DF5688" w14:paraId="48DC054E" w14:textId="77777777" w:rsidTr="00DF5688">
        <w:trPr>
          <w:trHeight w:val="320"/>
        </w:trPr>
        <w:tc>
          <w:tcPr>
            <w:tcW w:w="0" w:type="auto"/>
            <w:noWrap/>
            <w:hideMark/>
          </w:tcPr>
          <w:p w14:paraId="25277D9B"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Nd-release dust</w:t>
            </w:r>
          </w:p>
        </w:tc>
        <w:tc>
          <w:tcPr>
            <w:tcW w:w="0" w:type="auto"/>
            <w:noWrap/>
            <w:hideMark/>
          </w:tcPr>
          <w:p w14:paraId="770A7A39" w14:textId="77777777" w:rsidR="00DF5688" w:rsidRPr="00DF5688" w:rsidRDefault="00DF5688" w:rsidP="00553AA4">
            <w:pPr>
              <w:rPr>
                <w:rFonts w:ascii="Times" w:hAnsi="Times" w:cstheme="minorHAnsi"/>
                <w:color w:val="000000"/>
                <w:sz w:val="18"/>
                <w:szCs w:val="18"/>
              </w:rPr>
            </w:pPr>
            <w:r w:rsidRPr="00DF5688">
              <w:rPr>
                <w:rFonts w:ascii="Times" w:hAnsi="Times" w:cstheme="minorHAnsi"/>
                <w:i/>
                <w:iCs/>
                <w:sz w:val="18"/>
                <w:szCs w:val="18"/>
              </w:rPr>
              <w:t>β</w:t>
            </w:r>
            <w:r w:rsidRPr="00DF5688">
              <w:rPr>
                <w:rFonts w:ascii="Times" w:hAnsi="Times" w:cstheme="minorHAnsi"/>
                <w:sz w:val="18"/>
                <w:szCs w:val="18"/>
                <w:vertAlign w:val="subscript"/>
              </w:rPr>
              <w:t>dust</w:t>
            </w:r>
          </w:p>
        </w:tc>
        <w:tc>
          <w:tcPr>
            <w:tcW w:w="0" w:type="auto"/>
            <w:noWrap/>
            <w:hideMark/>
          </w:tcPr>
          <w:p w14:paraId="67FFD185"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0.02</w:t>
            </w:r>
          </w:p>
        </w:tc>
        <w:tc>
          <w:tcPr>
            <w:tcW w:w="0" w:type="auto"/>
            <w:noWrap/>
            <w:hideMark/>
          </w:tcPr>
          <w:p w14:paraId="5C15BC0C" w14:textId="77777777" w:rsidR="00DF5688" w:rsidRPr="00DF5688" w:rsidRDefault="00DF5688" w:rsidP="00553AA4">
            <w:pPr>
              <w:jc w:val="right"/>
              <w:rPr>
                <w:rFonts w:ascii="Times" w:hAnsi="Times" w:cstheme="minorHAnsi"/>
                <w:color w:val="000000"/>
                <w:sz w:val="18"/>
                <w:szCs w:val="18"/>
              </w:rPr>
            </w:pPr>
          </w:p>
        </w:tc>
      </w:tr>
      <w:tr w:rsidR="00DF5688" w:rsidRPr="00DF5688" w14:paraId="0662273D" w14:textId="77777777" w:rsidTr="00DF5688">
        <w:trPr>
          <w:trHeight w:val="320"/>
        </w:trPr>
        <w:tc>
          <w:tcPr>
            <w:tcW w:w="0" w:type="auto"/>
            <w:noWrap/>
            <w:hideMark/>
          </w:tcPr>
          <w:p w14:paraId="3BC45F3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Riverine source, total</w:t>
            </w:r>
          </w:p>
        </w:tc>
        <w:tc>
          <w:tcPr>
            <w:tcW w:w="0" w:type="auto"/>
            <w:noWrap/>
            <w:hideMark/>
          </w:tcPr>
          <w:p w14:paraId="7785D808"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f</w:t>
            </w:r>
            <w:r w:rsidRPr="00DF5688">
              <w:rPr>
                <w:rFonts w:ascii="Times" w:hAnsi="Times" w:cstheme="minorHAnsi"/>
                <w:color w:val="000000"/>
                <w:sz w:val="18"/>
                <w:szCs w:val="18"/>
                <w:vertAlign w:val="subscript"/>
              </w:rPr>
              <w:t>river</w:t>
            </w:r>
            <w:proofErr w:type="spellEnd"/>
          </w:p>
        </w:tc>
        <w:tc>
          <w:tcPr>
            <w:tcW w:w="0" w:type="auto"/>
            <w:noWrap/>
            <w:hideMark/>
          </w:tcPr>
          <w:p w14:paraId="64BDB24D"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 xml:space="preserve">1.8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9</w:t>
            </w:r>
          </w:p>
        </w:tc>
        <w:tc>
          <w:tcPr>
            <w:tcW w:w="0" w:type="auto"/>
            <w:noWrap/>
            <w:hideMark/>
          </w:tcPr>
          <w:p w14:paraId="5C6E168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 Nd yr</w:t>
            </w:r>
            <w:r w:rsidRPr="00DF5688">
              <w:rPr>
                <w:rFonts w:ascii="Times" w:hAnsi="Times" w:cstheme="minorHAnsi"/>
                <w:color w:val="000000"/>
                <w:sz w:val="18"/>
                <w:szCs w:val="18"/>
                <w:vertAlign w:val="superscript"/>
              </w:rPr>
              <w:t>-1</w:t>
            </w:r>
          </w:p>
        </w:tc>
      </w:tr>
      <w:tr w:rsidR="00DF5688" w:rsidRPr="00DF5688" w14:paraId="5042737A" w14:textId="77777777" w:rsidTr="00DF5688">
        <w:trPr>
          <w:trHeight w:val="320"/>
        </w:trPr>
        <w:tc>
          <w:tcPr>
            <w:tcW w:w="0" w:type="auto"/>
            <w:noWrap/>
            <w:hideMark/>
          </w:tcPr>
          <w:p w14:paraId="7E87F08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Riverine source, density</w:t>
            </w:r>
          </w:p>
        </w:tc>
        <w:tc>
          <w:tcPr>
            <w:tcW w:w="0" w:type="auto"/>
            <w:noWrap/>
            <w:hideMark/>
          </w:tcPr>
          <w:p w14:paraId="4022582F"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S</w:t>
            </w:r>
            <w:r w:rsidRPr="00DF5688">
              <w:rPr>
                <w:rFonts w:ascii="Times" w:hAnsi="Times" w:cstheme="minorHAnsi"/>
                <w:color w:val="000000"/>
                <w:sz w:val="18"/>
                <w:szCs w:val="18"/>
                <w:vertAlign w:val="subscript"/>
              </w:rPr>
              <w:t>river</w:t>
            </w:r>
            <w:proofErr w:type="spellEnd"/>
          </w:p>
        </w:tc>
        <w:tc>
          <w:tcPr>
            <w:tcW w:w="0" w:type="auto"/>
            <w:noWrap/>
            <w:hideMark/>
          </w:tcPr>
          <w:p w14:paraId="009DDC51"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4319CFB7"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 Nd m</w:t>
            </w:r>
            <w:r w:rsidRPr="00DF5688">
              <w:rPr>
                <w:rFonts w:ascii="Times" w:hAnsi="Times" w:cstheme="minorHAnsi"/>
                <w:color w:val="000000"/>
                <w:sz w:val="18"/>
                <w:szCs w:val="18"/>
                <w:vertAlign w:val="superscript"/>
              </w:rPr>
              <w:t>-3</w:t>
            </w:r>
            <w:r w:rsidRPr="00DF5688">
              <w:rPr>
                <w:rFonts w:ascii="Times" w:hAnsi="Times" w:cstheme="minorHAnsi"/>
                <w:color w:val="000000"/>
                <w:sz w:val="18"/>
                <w:szCs w:val="18"/>
              </w:rPr>
              <w:t xml:space="preserve"> yr</w:t>
            </w:r>
            <w:r w:rsidRPr="00DF5688">
              <w:rPr>
                <w:rFonts w:ascii="Times" w:hAnsi="Times" w:cstheme="minorHAnsi"/>
                <w:color w:val="000000"/>
                <w:sz w:val="18"/>
                <w:szCs w:val="18"/>
                <w:vertAlign w:val="superscript"/>
              </w:rPr>
              <w:t>-1</w:t>
            </w:r>
          </w:p>
        </w:tc>
      </w:tr>
      <w:tr w:rsidR="00DF5688" w:rsidRPr="00DF5688" w14:paraId="2AB5B28C" w14:textId="77777777" w:rsidTr="00DF5688">
        <w:trPr>
          <w:trHeight w:val="320"/>
        </w:trPr>
        <w:tc>
          <w:tcPr>
            <w:tcW w:w="0" w:type="auto"/>
            <w:noWrap/>
            <w:hideMark/>
          </w:tcPr>
          <w:p w14:paraId="2054E604"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River discharge</w:t>
            </w:r>
          </w:p>
        </w:tc>
        <w:tc>
          <w:tcPr>
            <w:tcW w:w="0" w:type="auto"/>
            <w:noWrap/>
            <w:hideMark/>
          </w:tcPr>
          <w:p w14:paraId="7408E0FF" w14:textId="77777777" w:rsidR="00DF5688" w:rsidRPr="00DF5688" w:rsidRDefault="00DF5688" w:rsidP="00553AA4">
            <w:pPr>
              <w:rPr>
                <w:rFonts w:ascii="Times" w:hAnsi="Times" w:cstheme="minorHAnsi"/>
                <w:i/>
                <w:iCs/>
                <w:color w:val="000000"/>
                <w:sz w:val="18"/>
                <w:szCs w:val="18"/>
              </w:rPr>
            </w:pPr>
            <w:r w:rsidRPr="00DF5688">
              <w:rPr>
                <w:rFonts w:ascii="Times" w:hAnsi="Times" w:cstheme="minorHAnsi"/>
                <w:i/>
                <w:iCs/>
                <w:color w:val="000000"/>
                <w:sz w:val="18"/>
                <w:szCs w:val="18"/>
              </w:rPr>
              <w:t>RIVER</w:t>
            </w:r>
          </w:p>
        </w:tc>
        <w:tc>
          <w:tcPr>
            <w:tcW w:w="0" w:type="auto"/>
            <w:noWrap/>
            <w:hideMark/>
          </w:tcPr>
          <w:p w14:paraId="13AC83A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5C43A8F5"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w:t>
            </w:r>
            <w:r w:rsidRPr="00DF5688">
              <w:rPr>
                <w:rFonts w:ascii="Times" w:hAnsi="Times" w:cstheme="minorHAnsi"/>
                <w:color w:val="000000"/>
                <w:sz w:val="18"/>
                <w:szCs w:val="18"/>
                <w:vertAlign w:val="superscript"/>
              </w:rPr>
              <w:t>3</w:t>
            </w:r>
            <w:r w:rsidRPr="00DF5688">
              <w:rPr>
                <w:rFonts w:ascii="Times" w:hAnsi="Times" w:cstheme="minorHAnsi"/>
                <w:color w:val="000000"/>
                <w:sz w:val="18"/>
                <w:szCs w:val="18"/>
              </w:rPr>
              <w:t xml:space="preserve"> yr</w:t>
            </w:r>
            <w:r w:rsidRPr="00DF5688">
              <w:rPr>
                <w:rFonts w:ascii="Times" w:hAnsi="Times" w:cstheme="minorHAnsi"/>
                <w:color w:val="000000"/>
                <w:sz w:val="18"/>
                <w:szCs w:val="18"/>
                <w:vertAlign w:val="superscript"/>
              </w:rPr>
              <w:t>-1</w:t>
            </w:r>
          </w:p>
        </w:tc>
      </w:tr>
      <w:tr w:rsidR="00DF5688" w:rsidRPr="00DF5688" w14:paraId="7F8F99C0" w14:textId="77777777" w:rsidTr="00DF5688">
        <w:trPr>
          <w:trHeight w:val="320"/>
        </w:trPr>
        <w:tc>
          <w:tcPr>
            <w:tcW w:w="0" w:type="auto"/>
            <w:noWrap/>
          </w:tcPr>
          <w:p w14:paraId="178F5BC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xml:space="preserve">Riverine scaling factor </w:t>
            </w:r>
          </w:p>
        </w:tc>
        <w:tc>
          <w:tcPr>
            <w:tcW w:w="0" w:type="auto"/>
            <w:noWrap/>
          </w:tcPr>
          <w:p w14:paraId="71C0E6F6" w14:textId="77777777" w:rsidR="00DF5688" w:rsidRPr="00DF5688" w:rsidRDefault="00DF5688" w:rsidP="00553AA4">
            <w:pPr>
              <w:rPr>
                <w:rFonts w:ascii="Times" w:hAnsi="Times" w:cstheme="minorHAnsi"/>
                <w:sz w:val="18"/>
                <w:szCs w:val="18"/>
              </w:rPr>
            </w:pPr>
            <w:r w:rsidRPr="00DF5688">
              <w:rPr>
                <w:rFonts w:ascii="Times" w:hAnsi="Times" w:cstheme="minorHAnsi"/>
                <w:i/>
                <w:iCs/>
                <w:sz w:val="18"/>
                <w:szCs w:val="18"/>
              </w:rPr>
              <w:t>α</w:t>
            </w:r>
            <w:r w:rsidRPr="00DF5688">
              <w:rPr>
                <w:rFonts w:ascii="Times" w:hAnsi="Times" w:cstheme="minorHAnsi"/>
                <w:sz w:val="18"/>
                <w:szCs w:val="18"/>
                <w:vertAlign w:val="subscript"/>
              </w:rPr>
              <w:t>river</w:t>
            </w:r>
            <w:r w:rsidRPr="00DF5688">
              <w:rPr>
                <w:rFonts w:ascii="Times" w:hAnsi="Times" w:cstheme="minorHAnsi"/>
                <w:sz w:val="18"/>
                <w:szCs w:val="18"/>
              </w:rPr>
              <w:t xml:space="preserve"> </w:t>
            </w:r>
          </w:p>
        </w:tc>
        <w:tc>
          <w:tcPr>
            <w:tcW w:w="0" w:type="auto"/>
            <w:noWrap/>
          </w:tcPr>
          <w:p w14:paraId="10696D5F"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4</w:t>
            </w:r>
          </w:p>
        </w:tc>
        <w:tc>
          <w:tcPr>
            <w:tcW w:w="0" w:type="auto"/>
            <w:noWrap/>
          </w:tcPr>
          <w:p w14:paraId="37958EAF" w14:textId="77777777" w:rsidR="00DF5688" w:rsidRPr="00DF5688" w:rsidRDefault="00DF5688" w:rsidP="00553AA4">
            <w:pPr>
              <w:rPr>
                <w:rFonts w:ascii="Times" w:hAnsi="Times" w:cstheme="minorHAnsi"/>
                <w:color w:val="000000"/>
                <w:sz w:val="18"/>
                <w:szCs w:val="18"/>
              </w:rPr>
            </w:pPr>
          </w:p>
        </w:tc>
      </w:tr>
      <w:tr w:rsidR="00DF5688" w:rsidRPr="00DF5688" w14:paraId="6DA154F7" w14:textId="77777777" w:rsidTr="00DF5688">
        <w:trPr>
          <w:trHeight w:val="320"/>
        </w:trPr>
        <w:tc>
          <w:tcPr>
            <w:tcW w:w="0" w:type="auto"/>
            <w:noWrap/>
            <w:hideMark/>
          </w:tcPr>
          <w:p w14:paraId="430A5435"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Nd concentration river</w:t>
            </w:r>
          </w:p>
        </w:tc>
        <w:tc>
          <w:tcPr>
            <w:tcW w:w="0" w:type="auto"/>
            <w:noWrap/>
            <w:hideMark/>
          </w:tcPr>
          <w:p w14:paraId="7E4D6006"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sz w:val="18"/>
                <w:szCs w:val="18"/>
              </w:rPr>
              <w:t>C</w:t>
            </w:r>
            <w:r w:rsidRPr="00DF5688">
              <w:rPr>
                <w:rFonts w:ascii="Times" w:hAnsi="Times" w:cstheme="minorHAnsi"/>
                <w:color w:val="000000"/>
                <w:sz w:val="18"/>
                <w:szCs w:val="18"/>
                <w:vertAlign w:val="subscript"/>
              </w:rPr>
              <w:t>river</w:t>
            </w:r>
            <w:proofErr w:type="spellEnd"/>
          </w:p>
        </w:tc>
        <w:tc>
          <w:tcPr>
            <w:tcW w:w="0" w:type="auto"/>
            <w:noWrap/>
            <w:hideMark/>
          </w:tcPr>
          <w:p w14:paraId="7969C02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68FDDA01"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color w:val="000000"/>
                <w:sz w:val="18"/>
                <w:szCs w:val="18"/>
              </w:rPr>
              <w:t>μg</w:t>
            </w:r>
            <w:proofErr w:type="spellEnd"/>
            <w:r w:rsidRPr="00DF5688">
              <w:rPr>
                <w:rFonts w:ascii="Times" w:hAnsi="Times" w:cstheme="minorHAnsi"/>
                <w:color w:val="000000"/>
                <w:sz w:val="18"/>
                <w:szCs w:val="18"/>
              </w:rPr>
              <w:t xml:space="preserve"> g</w:t>
            </w:r>
            <w:r w:rsidRPr="00DF5688">
              <w:rPr>
                <w:rFonts w:ascii="Times" w:hAnsi="Times" w:cstheme="minorHAnsi"/>
                <w:color w:val="000000"/>
                <w:sz w:val="18"/>
                <w:szCs w:val="18"/>
                <w:vertAlign w:val="superscript"/>
              </w:rPr>
              <w:t>-1</w:t>
            </w:r>
          </w:p>
        </w:tc>
      </w:tr>
      <w:tr w:rsidR="00DF5688" w:rsidRPr="00DF5688" w14:paraId="4FBF8423" w14:textId="77777777" w:rsidTr="00DF5688">
        <w:trPr>
          <w:trHeight w:val="320"/>
        </w:trPr>
        <w:tc>
          <w:tcPr>
            <w:tcW w:w="0" w:type="auto"/>
            <w:noWrap/>
            <w:hideMark/>
          </w:tcPr>
          <w:p w14:paraId="61458A8E"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Nd removal, estuaries</w:t>
            </w:r>
          </w:p>
        </w:tc>
        <w:tc>
          <w:tcPr>
            <w:tcW w:w="0" w:type="auto"/>
            <w:noWrap/>
            <w:hideMark/>
          </w:tcPr>
          <w:p w14:paraId="43E1491F" w14:textId="77777777" w:rsidR="00DF5688" w:rsidRPr="00DF5688" w:rsidRDefault="00DF5688" w:rsidP="00553AA4">
            <w:pPr>
              <w:rPr>
                <w:rFonts w:ascii="Times" w:hAnsi="Times" w:cstheme="minorHAnsi"/>
                <w:color w:val="000000"/>
                <w:sz w:val="18"/>
                <w:szCs w:val="18"/>
              </w:rPr>
            </w:pPr>
            <w:r w:rsidRPr="00DF5688">
              <w:rPr>
                <w:rFonts w:ascii="Calibri" w:hAnsi="Calibri" w:cs="Calibri"/>
                <w:sz w:val="18"/>
                <w:szCs w:val="18"/>
              </w:rPr>
              <w:t>﻿</w:t>
            </w:r>
            <w:proofErr w:type="spellStart"/>
            <w:r w:rsidRPr="00DF5688">
              <w:rPr>
                <w:rFonts w:ascii="Times" w:hAnsi="Times" w:cstheme="minorHAnsi"/>
                <w:i/>
                <w:iCs/>
                <w:sz w:val="18"/>
                <w:szCs w:val="18"/>
              </w:rPr>
              <w:t>γ</w:t>
            </w:r>
            <w:r w:rsidRPr="00DF5688">
              <w:rPr>
                <w:rFonts w:ascii="Times" w:hAnsi="Times" w:cstheme="minorHAnsi"/>
                <w:sz w:val="18"/>
                <w:szCs w:val="18"/>
                <w:vertAlign w:val="subscript"/>
              </w:rPr>
              <w:t>river</w:t>
            </w:r>
            <w:proofErr w:type="spellEnd"/>
          </w:p>
        </w:tc>
        <w:tc>
          <w:tcPr>
            <w:tcW w:w="0" w:type="auto"/>
            <w:noWrap/>
            <w:hideMark/>
          </w:tcPr>
          <w:p w14:paraId="34BEF471"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0.7</w:t>
            </w:r>
          </w:p>
        </w:tc>
        <w:tc>
          <w:tcPr>
            <w:tcW w:w="0" w:type="auto"/>
            <w:noWrap/>
            <w:hideMark/>
          </w:tcPr>
          <w:p w14:paraId="1CB46626" w14:textId="77777777" w:rsidR="00DF5688" w:rsidRPr="00DF5688" w:rsidRDefault="00DF5688" w:rsidP="00553AA4">
            <w:pPr>
              <w:jc w:val="right"/>
              <w:rPr>
                <w:rFonts w:ascii="Times" w:hAnsi="Times" w:cstheme="minorHAnsi"/>
                <w:color w:val="000000"/>
                <w:sz w:val="18"/>
                <w:szCs w:val="18"/>
              </w:rPr>
            </w:pPr>
          </w:p>
        </w:tc>
      </w:tr>
      <w:tr w:rsidR="00DF5688" w:rsidRPr="00DF5688" w14:paraId="10CC98B9" w14:textId="77777777" w:rsidTr="00DF5688">
        <w:trPr>
          <w:trHeight w:val="320"/>
        </w:trPr>
        <w:tc>
          <w:tcPr>
            <w:tcW w:w="0" w:type="auto"/>
            <w:noWrap/>
            <w:hideMark/>
          </w:tcPr>
          <w:p w14:paraId="013D25BC" w14:textId="77777777" w:rsidR="00DF5688" w:rsidRPr="00DF5688" w:rsidRDefault="00DF5688" w:rsidP="00553AA4">
            <w:pPr>
              <w:rPr>
                <w:rFonts w:ascii="Times" w:hAnsi="Times" w:cstheme="minorHAnsi"/>
                <w:color w:val="000000" w:themeColor="text1"/>
                <w:sz w:val="18"/>
                <w:szCs w:val="18"/>
              </w:rPr>
            </w:pPr>
            <w:r w:rsidRPr="00DF5688">
              <w:rPr>
                <w:rFonts w:ascii="Times" w:hAnsi="Times" w:cstheme="minorHAnsi"/>
                <w:color w:val="000000" w:themeColor="text1"/>
                <w:sz w:val="18"/>
                <w:szCs w:val="18"/>
              </w:rPr>
              <w:t>Sediment source, total</w:t>
            </w:r>
          </w:p>
        </w:tc>
        <w:tc>
          <w:tcPr>
            <w:tcW w:w="0" w:type="auto"/>
            <w:noWrap/>
            <w:hideMark/>
          </w:tcPr>
          <w:p w14:paraId="21DD49CE" w14:textId="77777777" w:rsidR="00DF5688" w:rsidRPr="00DF5688" w:rsidRDefault="00DF5688" w:rsidP="00553AA4">
            <w:pPr>
              <w:rPr>
                <w:rFonts w:ascii="Times" w:hAnsi="Times" w:cstheme="minorHAnsi"/>
                <w:color w:val="000000" w:themeColor="text1"/>
                <w:sz w:val="18"/>
                <w:szCs w:val="18"/>
              </w:rPr>
            </w:pPr>
            <w:proofErr w:type="spellStart"/>
            <w:r w:rsidRPr="00DF5688">
              <w:rPr>
                <w:rFonts w:ascii="Times" w:hAnsi="Times" w:cstheme="minorHAnsi"/>
                <w:i/>
                <w:iCs/>
                <w:color w:val="000000" w:themeColor="text1"/>
                <w:sz w:val="18"/>
                <w:szCs w:val="18"/>
              </w:rPr>
              <w:t>f</w:t>
            </w:r>
            <w:r w:rsidRPr="00DF5688">
              <w:rPr>
                <w:rFonts w:ascii="Times" w:hAnsi="Times" w:cstheme="minorHAnsi"/>
                <w:color w:val="000000" w:themeColor="text1"/>
                <w:sz w:val="18"/>
                <w:szCs w:val="18"/>
                <w:vertAlign w:val="subscript"/>
              </w:rPr>
              <w:t>sed</w:t>
            </w:r>
            <w:proofErr w:type="spellEnd"/>
          </w:p>
        </w:tc>
        <w:tc>
          <w:tcPr>
            <w:tcW w:w="0" w:type="auto"/>
            <w:noWrap/>
            <w:hideMark/>
          </w:tcPr>
          <w:p w14:paraId="416539A1" w14:textId="77777777" w:rsidR="00DF5688" w:rsidRPr="00DF5688" w:rsidRDefault="00DF5688" w:rsidP="00553AA4">
            <w:pPr>
              <w:jc w:val="right"/>
              <w:rPr>
                <w:rFonts w:ascii="Times" w:hAnsi="Times" w:cstheme="minorHAnsi"/>
                <w:color w:val="000000" w:themeColor="text1"/>
                <w:sz w:val="18"/>
                <w:szCs w:val="18"/>
              </w:rPr>
            </w:pPr>
            <w:r w:rsidRPr="00DF5688">
              <w:rPr>
                <w:rFonts w:ascii="Times" w:hAnsi="Times" w:cstheme="minorHAnsi"/>
                <w:color w:val="000000"/>
                <w:sz w:val="18"/>
                <w:szCs w:val="18"/>
              </w:rPr>
              <w:t xml:space="preserve">3.8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9</w:t>
            </w:r>
          </w:p>
        </w:tc>
        <w:tc>
          <w:tcPr>
            <w:tcW w:w="0" w:type="auto"/>
            <w:noWrap/>
            <w:hideMark/>
          </w:tcPr>
          <w:p w14:paraId="6360BA01" w14:textId="77777777" w:rsidR="00DF5688" w:rsidRPr="00DF5688" w:rsidRDefault="00DF5688" w:rsidP="00553AA4">
            <w:pPr>
              <w:rPr>
                <w:rFonts w:ascii="Times" w:hAnsi="Times" w:cstheme="minorHAnsi"/>
                <w:color w:val="000000" w:themeColor="text1"/>
                <w:sz w:val="18"/>
                <w:szCs w:val="18"/>
              </w:rPr>
            </w:pPr>
            <w:r w:rsidRPr="00DF5688">
              <w:rPr>
                <w:rFonts w:ascii="Times" w:hAnsi="Times" w:cstheme="minorHAnsi"/>
                <w:color w:val="000000" w:themeColor="text1"/>
                <w:sz w:val="18"/>
                <w:szCs w:val="18"/>
              </w:rPr>
              <w:t>g Nd yr</w:t>
            </w:r>
            <w:r w:rsidRPr="00DF5688">
              <w:rPr>
                <w:rFonts w:ascii="Times" w:hAnsi="Times" w:cstheme="minorHAnsi"/>
                <w:color w:val="000000" w:themeColor="text1"/>
                <w:sz w:val="18"/>
                <w:szCs w:val="18"/>
                <w:vertAlign w:val="superscript"/>
              </w:rPr>
              <w:t>-1</w:t>
            </w:r>
          </w:p>
        </w:tc>
      </w:tr>
      <w:tr w:rsidR="00DF5688" w:rsidRPr="00DF5688" w14:paraId="54363C01" w14:textId="77777777" w:rsidTr="00DF5688">
        <w:trPr>
          <w:trHeight w:val="320"/>
        </w:trPr>
        <w:tc>
          <w:tcPr>
            <w:tcW w:w="0" w:type="auto"/>
            <w:noWrap/>
            <w:hideMark/>
          </w:tcPr>
          <w:p w14:paraId="140BBB5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Sediment source, density</w:t>
            </w:r>
          </w:p>
        </w:tc>
        <w:tc>
          <w:tcPr>
            <w:tcW w:w="0" w:type="auto"/>
            <w:noWrap/>
            <w:hideMark/>
          </w:tcPr>
          <w:p w14:paraId="211DB831"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S</w:t>
            </w:r>
            <w:r w:rsidRPr="00DF5688">
              <w:rPr>
                <w:rFonts w:ascii="Times" w:hAnsi="Times" w:cstheme="minorHAnsi"/>
                <w:color w:val="000000"/>
                <w:sz w:val="18"/>
                <w:szCs w:val="18"/>
                <w:vertAlign w:val="subscript"/>
              </w:rPr>
              <w:t>sed</w:t>
            </w:r>
            <w:proofErr w:type="spellEnd"/>
          </w:p>
        </w:tc>
        <w:tc>
          <w:tcPr>
            <w:tcW w:w="0" w:type="auto"/>
            <w:noWrap/>
            <w:hideMark/>
          </w:tcPr>
          <w:p w14:paraId="0C2FF843"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2753C841"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 Nd m</w:t>
            </w:r>
            <w:r w:rsidRPr="00DF5688">
              <w:rPr>
                <w:rFonts w:ascii="Times" w:hAnsi="Times" w:cstheme="minorHAnsi"/>
                <w:color w:val="000000"/>
                <w:sz w:val="18"/>
                <w:szCs w:val="18"/>
                <w:vertAlign w:val="superscript"/>
              </w:rPr>
              <w:t>-3</w:t>
            </w:r>
            <w:r w:rsidRPr="00DF5688">
              <w:rPr>
                <w:rFonts w:ascii="Times" w:hAnsi="Times" w:cstheme="minorHAnsi"/>
                <w:color w:val="000000"/>
                <w:sz w:val="18"/>
                <w:szCs w:val="18"/>
              </w:rPr>
              <w:t xml:space="preserve"> yr</w:t>
            </w:r>
            <w:r w:rsidRPr="00DF5688">
              <w:rPr>
                <w:rFonts w:ascii="Times" w:hAnsi="Times" w:cstheme="minorHAnsi"/>
                <w:color w:val="000000"/>
                <w:sz w:val="18"/>
                <w:szCs w:val="18"/>
                <w:vertAlign w:val="superscript"/>
              </w:rPr>
              <w:t>-1</w:t>
            </w:r>
          </w:p>
        </w:tc>
      </w:tr>
      <w:tr w:rsidR="00DF5688" w:rsidRPr="00DF5688" w14:paraId="3CA5DDB4" w14:textId="77777777" w:rsidTr="00DF5688">
        <w:trPr>
          <w:trHeight w:val="320"/>
        </w:trPr>
        <w:tc>
          <w:tcPr>
            <w:tcW w:w="0" w:type="auto"/>
            <w:noWrap/>
            <w:hideMark/>
          </w:tcPr>
          <w:p w14:paraId="3FA8DCC3"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Total sediment surface</w:t>
            </w:r>
          </w:p>
        </w:tc>
        <w:tc>
          <w:tcPr>
            <w:tcW w:w="0" w:type="auto"/>
            <w:noWrap/>
            <w:hideMark/>
          </w:tcPr>
          <w:p w14:paraId="4C29FBFB"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A</w:t>
            </w:r>
            <w:r w:rsidRPr="00DF5688">
              <w:rPr>
                <w:rFonts w:ascii="Times" w:hAnsi="Times" w:cstheme="minorHAnsi"/>
                <w:color w:val="000000"/>
                <w:sz w:val="18"/>
                <w:szCs w:val="18"/>
                <w:vertAlign w:val="subscript"/>
              </w:rPr>
              <w:t>total</w:t>
            </w:r>
            <w:proofErr w:type="spellEnd"/>
          </w:p>
        </w:tc>
        <w:tc>
          <w:tcPr>
            <w:tcW w:w="0" w:type="auto"/>
            <w:noWrap/>
            <w:hideMark/>
          </w:tcPr>
          <w:p w14:paraId="01B4AF8B"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0BBF156E"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w:t>
            </w:r>
            <w:r w:rsidRPr="00DF5688">
              <w:rPr>
                <w:rFonts w:ascii="Times" w:hAnsi="Times" w:cstheme="minorHAnsi"/>
                <w:color w:val="000000"/>
                <w:sz w:val="18"/>
                <w:szCs w:val="18"/>
                <w:vertAlign w:val="superscript"/>
              </w:rPr>
              <w:t>2</w:t>
            </w:r>
          </w:p>
        </w:tc>
      </w:tr>
      <w:tr w:rsidR="00DF5688" w:rsidRPr="00DF5688" w14:paraId="1395FC6B" w14:textId="77777777" w:rsidTr="00DF5688">
        <w:trPr>
          <w:trHeight w:val="320"/>
        </w:trPr>
        <w:tc>
          <w:tcPr>
            <w:tcW w:w="0" w:type="auto"/>
            <w:noWrap/>
            <w:hideMark/>
          </w:tcPr>
          <w:p w14:paraId="42370A76"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color w:val="000000"/>
                <w:sz w:val="18"/>
                <w:szCs w:val="18"/>
              </w:rPr>
              <w:t>Gridbox</w:t>
            </w:r>
            <w:proofErr w:type="spellEnd"/>
            <w:r w:rsidRPr="00DF5688">
              <w:rPr>
                <w:rFonts w:ascii="Times" w:hAnsi="Times" w:cstheme="minorHAnsi"/>
                <w:color w:val="000000"/>
                <w:sz w:val="18"/>
                <w:szCs w:val="18"/>
              </w:rPr>
              <w:t xml:space="preserve"> sediment surface</w:t>
            </w:r>
          </w:p>
        </w:tc>
        <w:tc>
          <w:tcPr>
            <w:tcW w:w="0" w:type="auto"/>
            <w:noWrap/>
            <w:hideMark/>
          </w:tcPr>
          <w:p w14:paraId="549937BE" w14:textId="77777777" w:rsidR="00DF5688" w:rsidRPr="00DF5688" w:rsidRDefault="00DF5688" w:rsidP="00553AA4">
            <w:pPr>
              <w:rPr>
                <w:rFonts w:ascii="Times" w:hAnsi="Times" w:cstheme="minorHAnsi"/>
                <w:color w:val="000000"/>
                <w:sz w:val="18"/>
                <w:szCs w:val="18"/>
              </w:rPr>
            </w:pPr>
            <w:proofErr w:type="gramStart"/>
            <w:r w:rsidRPr="00DF5688">
              <w:rPr>
                <w:rFonts w:ascii="Times" w:hAnsi="Times" w:cstheme="minorHAnsi"/>
                <w:i/>
                <w:iCs/>
                <w:color w:val="000000"/>
                <w:sz w:val="18"/>
                <w:szCs w:val="18"/>
              </w:rPr>
              <w:t>A</w:t>
            </w:r>
            <w:r w:rsidRPr="00DF5688">
              <w:rPr>
                <w:rFonts w:ascii="Times" w:hAnsi="Times" w:cstheme="minorHAnsi"/>
                <w:color w:val="000000"/>
                <w:sz w:val="18"/>
                <w:szCs w:val="18"/>
              </w:rPr>
              <w:t>(</w:t>
            </w:r>
            <w:proofErr w:type="spellStart"/>
            <w:proofErr w:type="gramEnd"/>
            <w:r w:rsidRPr="00DF5688">
              <w:rPr>
                <w:rFonts w:ascii="Times" w:hAnsi="Times" w:cstheme="minorHAnsi"/>
                <w:i/>
                <w:iCs/>
                <w:color w:val="000000"/>
                <w:sz w:val="18"/>
                <w:szCs w:val="18"/>
              </w:rPr>
              <w:t>i</w:t>
            </w:r>
            <w:proofErr w:type="spellEnd"/>
            <w:r w:rsidRPr="00DF5688">
              <w:rPr>
                <w:rFonts w:ascii="Times" w:hAnsi="Times" w:cstheme="minorHAnsi"/>
                <w:color w:val="000000"/>
                <w:sz w:val="18"/>
                <w:szCs w:val="18"/>
              </w:rPr>
              <w:t xml:space="preserve">, </w:t>
            </w:r>
            <w:r w:rsidRPr="00DF5688">
              <w:rPr>
                <w:rFonts w:ascii="Times" w:hAnsi="Times" w:cstheme="minorHAnsi"/>
                <w:i/>
                <w:iCs/>
                <w:color w:val="000000"/>
                <w:sz w:val="18"/>
                <w:szCs w:val="18"/>
              </w:rPr>
              <w:t>k</w:t>
            </w:r>
            <w:r w:rsidRPr="00DF5688">
              <w:rPr>
                <w:rFonts w:ascii="Times" w:hAnsi="Times" w:cstheme="minorHAnsi"/>
                <w:color w:val="000000"/>
                <w:sz w:val="18"/>
                <w:szCs w:val="18"/>
              </w:rPr>
              <w:t>)</w:t>
            </w:r>
          </w:p>
        </w:tc>
        <w:tc>
          <w:tcPr>
            <w:tcW w:w="0" w:type="auto"/>
            <w:noWrap/>
            <w:hideMark/>
          </w:tcPr>
          <w:p w14:paraId="14FC5CED"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3085AEF7"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w:t>
            </w:r>
            <w:r w:rsidRPr="00DF5688">
              <w:rPr>
                <w:rFonts w:ascii="Times" w:hAnsi="Times" w:cstheme="minorHAnsi"/>
                <w:color w:val="000000"/>
                <w:sz w:val="18"/>
                <w:szCs w:val="18"/>
                <w:vertAlign w:val="superscript"/>
              </w:rPr>
              <w:t>2</w:t>
            </w:r>
          </w:p>
        </w:tc>
      </w:tr>
      <w:tr w:rsidR="00DF5688" w:rsidRPr="00DF5688" w14:paraId="3178893B" w14:textId="77777777" w:rsidTr="00DF5688">
        <w:trPr>
          <w:trHeight w:val="320"/>
        </w:trPr>
        <w:tc>
          <w:tcPr>
            <w:tcW w:w="0" w:type="auto"/>
            <w:noWrap/>
            <w:hideMark/>
          </w:tcPr>
          <w:p w14:paraId="7C0161AB"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color w:val="000000"/>
                <w:sz w:val="18"/>
                <w:szCs w:val="18"/>
              </w:rPr>
              <w:t>Gridbox</w:t>
            </w:r>
            <w:proofErr w:type="spellEnd"/>
            <w:r w:rsidRPr="00DF5688">
              <w:rPr>
                <w:rFonts w:ascii="Times" w:hAnsi="Times" w:cstheme="minorHAnsi"/>
                <w:color w:val="000000"/>
                <w:sz w:val="18"/>
                <w:szCs w:val="18"/>
              </w:rPr>
              <w:t xml:space="preserve"> volume</w:t>
            </w:r>
          </w:p>
        </w:tc>
        <w:tc>
          <w:tcPr>
            <w:tcW w:w="0" w:type="auto"/>
            <w:noWrap/>
            <w:hideMark/>
          </w:tcPr>
          <w:p w14:paraId="5C0CE44A" w14:textId="77777777" w:rsidR="00DF5688" w:rsidRPr="00DF5688" w:rsidRDefault="00DF5688" w:rsidP="00553AA4">
            <w:pPr>
              <w:rPr>
                <w:rFonts w:ascii="Times" w:hAnsi="Times" w:cstheme="minorHAnsi"/>
                <w:color w:val="000000"/>
                <w:sz w:val="18"/>
                <w:szCs w:val="18"/>
              </w:rPr>
            </w:pPr>
            <w:proofErr w:type="gramStart"/>
            <w:r w:rsidRPr="00DF5688">
              <w:rPr>
                <w:rFonts w:ascii="Times" w:hAnsi="Times" w:cstheme="minorHAnsi"/>
                <w:i/>
                <w:iCs/>
                <w:color w:val="000000"/>
                <w:sz w:val="18"/>
                <w:szCs w:val="18"/>
              </w:rPr>
              <w:t>V</w:t>
            </w:r>
            <w:r w:rsidRPr="00DF5688">
              <w:rPr>
                <w:rFonts w:ascii="Times" w:hAnsi="Times" w:cstheme="minorHAnsi"/>
                <w:color w:val="000000"/>
                <w:sz w:val="18"/>
                <w:szCs w:val="18"/>
              </w:rPr>
              <w:t>(</w:t>
            </w:r>
            <w:proofErr w:type="spellStart"/>
            <w:proofErr w:type="gramEnd"/>
            <w:r w:rsidRPr="00DF5688">
              <w:rPr>
                <w:rFonts w:ascii="Times" w:hAnsi="Times" w:cstheme="minorHAnsi"/>
                <w:i/>
                <w:iCs/>
                <w:color w:val="000000"/>
                <w:sz w:val="18"/>
                <w:szCs w:val="18"/>
              </w:rPr>
              <w:t>i</w:t>
            </w:r>
            <w:proofErr w:type="spellEnd"/>
            <w:r w:rsidRPr="00DF5688">
              <w:rPr>
                <w:rFonts w:ascii="Times" w:hAnsi="Times" w:cstheme="minorHAnsi"/>
                <w:color w:val="000000"/>
                <w:sz w:val="18"/>
                <w:szCs w:val="18"/>
              </w:rPr>
              <w:t xml:space="preserve">, </w:t>
            </w:r>
            <w:r w:rsidRPr="00DF5688">
              <w:rPr>
                <w:rFonts w:ascii="Times" w:hAnsi="Times" w:cstheme="minorHAnsi"/>
                <w:i/>
                <w:iCs/>
                <w:color w:val="000000"/>
                <w:sz w:val="18"/>
                <w:szCs w:val="18"/>
              </w:rPr>
              <w:t>k</w:t>
            </w:r>
            <w:r w:rsidRPr="00DF5688">
              <w:rPr>
                <w:rFonts w:ascii="Times" w:hAnsi="Times" w:cstheme="minorHAnsi"/>
                <w:color w:val="000000"/>
                <w:sz w:val="18"/>
                <w:szCs w:val="18"/>
              </w:rPr>
              <w:t>)</w:t>
            </w:r>
          </w:p>
        </w:tc>
        <w:tc>
          <w:tcPr>
            <w:tcW w:w="0" w:type="auto"/>
            <w:noWrap/>
            <w:hideMark/>
          </w:tcPr>
          <w:p w14:paraId="759EDECB"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w:t>
            </w:r>
          </w:p>
        </w:tc>
        <w:tc>
          <w:tcPr>
            <w:tcW w:w="0" w:type="auto"/>
            <w:noWrap/>
            <w:hideMark/>
          </w:tcPr>
          <w:p w14:paraId="6AD611DF"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w:t>
            </w:r>
            <w:r w:rsidRPr="00DF5688">
              <w:rPr>
                <w:rFonts w:ascii="Times" w:hAnsi="Times" w:cstheme="minorHAnsi"/>
                <w:color w:val="000000"/>
                <w:sz w:val="18"/>
                <w:szCs w:val="18"/>
                <w:vertAlign w:val="superscript"/>
              </w:rPr>
              <w:t>3</w:t>
            </w:r>
          </w:p>
        </w:tc>
      </w:tr>
      <w:tr w:rsidR="00DF5688" w:rsidRPr="00DF5688" w14:paraId="7974A9C8" w14:textId="77777777" w:rsidTr="00DF5688">
        <w:trPr>
          <w:trHeight w:val="320"/>
        </w:trPr>
        <w:tc>
          <w:tcPr>
            <w:tcW w:w="0" w:type="auto"/>
            <w:noWrap/>
            <w:hideMark/>
          </w:tcPr>
          <w:p w14:paraId="78356197"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xml:space="preserve">Thickness of euphotic </w:t>
            </w:r>
            <w:proofErr w:type="spellStart"/>
            <w:r w:rsidRPr="00DF5688">
              <w:rPr>
                <w:rFonts w:ascii="Times" w:hAnsi="Times" w:cstheme="minorHAnsi"/>
                <w:color w:val="000000"/>
                <w:sz w:val="18"/>
                <w:szCs w:val="18"/>
              </w:rPr>
              <w:t>layter</w:t>
            </w:r>
            <w:proofErr w:type="spellEnd"/>
          </w:p>
        </w:tc>
        <w:tc>
          <w:tcPr>
            <w:tcW w:w="0" w:type="auto"/>
            <w:noWrap/>
            <w:hideMark/>
          </w:tcPr>
          <w:p w14:paraId="32EDD0CC"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z</w:t>
            </w:r>
            <w:r w:rsidRPr="00DF5688">
              <w:rPr>
                <w:rFonts w:ascii="Times" w:hAnsi="Times" w:cstheme="minorHAnsi"/>
                <w:color w:val="000000"/>
                <w:sz w:val="18"/>
                <w:szCs w:val="18"/>
                <w:vertAlign w:val="subscript"/>
              </w:rPr>
              <w:t>eu</w:t>
            </w:r>
            <w:proofErr w:type="spellEnd"/>
          </w:p>
        </w:tc>
        <w:tc>
          <w:tcPr>
            <w:tcW w:w="0" w:type="auto"/>
            <w:noWrap/>
            <w:hideMark/>
          </w:tcPr>
          <w:p w14:paraId="686FEE29"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81</w:t>
            </w:r>
          </w:p>
        </w:tc>
        <w:tc>
          <w:tcPr>
            <w:tcW w:w="0" w:type="auto"/>
            <w:noWrap/>
            <w:hideMark/>
          </w:tcPr>
          <w:p w14:paraId="291082BF"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w:t>
            </w:r>
          </w:p>
        </w:tc>
      </w:tr>
      <w:tr w:rsidR="00DF5688" w:rsidRPr="00DF5688" w14:paraId="6B214B3A" w14:textId="77777777" w:rsidTr="00DF5688">
        <w:trPr>
          <w:trHeight w:val="320"/>
        </w:trPr>
        <w:tc>
          <w:tcPr>
            <w:tcW w:w="0" w:type="auto"/>
            <w:noWrap/>
            <w:hideMark/>
          </w:tcPr>
          <w:p w14:paraId="0BA25A0A"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Penetration depth of opal</w:t>
            </w:r>
          </w:p>
        </w:tc>
        <w:tc>
          <w:tcPr>
            <w:tcW w:w="0" w:type="auto"/>
            <w:noWrap/>
            <w:hideMark/>
          </w:tcPr>
          <w:p w14:paraId="6E64F930"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l</w:t>
            </w:r>
            <w:r w:rsidRPr="00DF5688">
              <w:rPr>
                <w:rFonts w:ascii="Times" w:hAnsi="Times" w:cstheme="minorHAnsi"/>
                <w:color w:val="000000"/>
                <w:sz w:val="18"/>
                <w:szCs w:val="18"/>
                <w:vertAlign w:val="subscript"/>
              </w:rPr>
              <w:t>opal</w:t>
            </w:r>
            <w:proofErr w:type="spellEnd"/>
          </w:p>
        </w:tc>
        <w:tc>
          <w:tcPr>
            <w:tcW w:w="0" w:type="auto"/>
            <w:noWrap/>
            <w:hideMark/>
          </w:tcPr>
          <w:p w14:paraId="32B8922F"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10,000</w:t>
            </w:r>
          </w:p>
        </w:tc>
        <w:tc>
          <w:tcPr>
            <w:tcW w:w="0" w:type="auto"/>
            <w:noWrap/>
            <w:hideMark/>
          </w:tcPr>
          <w:p w14:paraId="6DCCF6B4"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w:t>
            </w:r>
          </w:p>
        </w:tc>
      </w:tr>
      <w:tr w:rsidR="00DF5688" w:rsidRPr="00DF5688" w14:paraId="7DC8F5FD" w14:textId="77777777" w:rsidTr="00DF5688">
        <w:trPr>
          <w:trHeight w:val="320"/>
        </w:trPr>
        <w:tc>
          <w:tcPr>
            <w:tcW w:w="0" w:type="auto"/>
            <w:noWrap/>
            <w:hideMark/>
          </w:tcPr>
          <w:p w14:paraId="774FE96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Penetration depth of CaCO3</w:t>
            </w:r>
          </w:p>
        </w:tc>
        <w:tc>
          <w:tcPr>
            <w:tcW w:w="0" w:type="auto"/>
            <w:noWrap/>
            <w:hideMark/>
          </w:tcPr>
          <w:p w14:paraId="4FB90B13"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l</w:t>
            </w:r>
            <w:r w:rsidRPr="00DF5688">
              <w:rPr>
                <w:rFonts w:ascii="Times" w:hAnsi="Times" w:cstheme="minorHAnsi"/>
                <w:color w:val="000000"/>
                <w:sz w:val="18"/>
                <w:szCs w:val="18"/>
                <w:vertAlign w:val="subscript"/>
              </w:rPr>
              <w:t>calcite</w:t>
            </w:r>
            <w:proofErr w:type="spellEnd"/>
          </w:p>
        </w:tc>
        <w:tc>
          <w:tcPr>
            <w:tcW w:w="0" w:type="auto"/>
            <w:noWrap/>
            <w:hideMark/>
          </w:tcPr>
          <w:p w14:paraId="08EAB3D8"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3,500</w:t>
            </w:r>
          </w:p>
        </w:tc>
        <w:tc>
          <w:tcPr>
            <w:tcW w:w="0" w:type="auto"/>
            <w:noWrap/>
            <w:hideMark/>
          </w:tcPr>
          <w:p w14:paraId="2F021413"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w:t>
            </w:r>
          </w:p>
        </w:tc>
      </w:tr>
      <w:tr w:rsidR="00DF5688" w:rsidRPr="00DF5688" w14:paraId="04C70DA9" w14:textId="77777777" w:rsidTr="00DF5688">
        <w:trPr>
          <w:trHeight w:val="320"/>
        </w:trPr>
        <w:tc>
          <w:tcPr>
            <w:tcW w:w="0" w:type="auto"/>
            <w:noWrap/>
            <w:hideMark/>
          </w:tcPr>
          <w:p w14:paraId="2191E9FE"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Particle settling velocity</w:t>
            </w:r>
          </w:p>
        </w:tc>
        <w:tc>
          <w:tcPr>
            <w:tcW w:w="0" w:type="auto"/>
            <w:noWrap/>
            <w:hideMark/>
          </w:tcPr>
          <w:p w14:paraId="75CA6B25"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xml:space="preserve"> </w:t>
            </w:r>
            <m:oMath>
              <m:r>
                <w:rPr>
                  <w:rFonts w:ascii="Cambria Math" w:hAnsi="Cambria Math" w:cstheme="minorHAnsi"/>
                  <w:sz w:val="18"/>
                  <w:szCs w:val="18"/>
                </w:rPr>
                <m:t>ω</m:t>
              </m:r>
            </m:oMath>
          </w:p>
        </w:tc>
        <w:tc>
          <w:tcPr>
            <w:tcW w:w="0" w:type="auto"/>
            <w:noWrap/>
            <w:hideMark/>
          </w:tcPr>
          <w:p w14:paraId="717D5B48"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1,000</w:t>
            </w:r>
          </w:p>
        </w:tc>
        <w:tc>
          <w:tcPr>
            <w:tcW w:w="0" w:type="auto"/>
            <w:noWrap/>
            <w:hideMark/>
          </w:tcPr>
          <w:p w14:paraId="7123C846"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m yr</w:t>
            </w:r>
            <w:r w:rsidRPr="00DF5688">
              <w:rPr>
                <w:rFonts w:ascii="Times" w:hAnsi="Times" w:cstheme="minorHAnsi"/>
                <w:color w:val="000000"/>
                <w:sz w:val="18"/>
                <w:szCs w:val="18"/>
                <w:vertAlign w:val="superscript"/>
              </w:rPr>
              <w:t>-1</w:t>
            </w:r>
          </w:p>
        </w:tc>
      </w:tr>
      <w:tr w:rsidR="00DF5688" w:rsidRPr="00DF5688" w14:paraId="4646105E" w14:textId="77777777" w:rsidTr="00DF5688">
        <w:trPr>
          <w:trHeight w:val="320"/>
        </w:trPr>
        <w:tc>
          <w:tcPr>
            <w:tcW w:w="0" w:type="auto"/>
            <w:noWrap/>
            <w:hideMark/>
          </w:tcPr>
          <w:p w14:paraId="6363B2FB" w14:textId="77777777" w:rsidR="00DF5688" w:rsidRPr="00DF5688" w:rsidRDefault="00DF5688" w:rsidP="00553AA4">
            <w:pPr>
              <w:rPr>
                <w:rFonts w:ascii="Times" w:hAnsi="Times" w:cstheme="minorHAnsi"/>
                <w:color w:val="000000" w:themeColor="text1"/>
                <w:sz w:val="18"/>
                <w:szCs w:val="18"/>
              </w:rPr>
            </w:pPr>
            <w:r w:rsidRPr="00DF5688">
              <w:rPr>
                <w:rFonts w:ascii="Times" w:hAnsi="Times" w:cstheme="minorHAnsi"/>
                <w:color w:val="000000" w:themeColor="text1"/>
                <w:sz w:val="18"/>
                <w:szCs w:val="18"/>
              </w:rPr>
              <w:t>Ratio [</w:t>
            </w:r>
            <w:r w:rsidRPr="00DF5688">
              <w:rPr>
                <w:rFonts w:ascii="Times" w:hAnsi="Times" w:cstheme="minorHAnsi"/>
                <w:i/>
                <w:iCs/>
                <w:color w:val="000000" w:themeColor="text1"/>
                <w:sz w:val="18"/>
                <w:szCs w:val="18"/>
              </w:rPr>
              <w:t>Nd</w:t>
            </w:r>
            <w:r w:rsidRPr="00DF5688">
              <w:rPr>
                <w:rFonts w:ascii="Times" w:hAnsi="Times" w:cstheme="minorHAnsi"/>
                <w:color w:val="000000" w:themeColor="text1"/>
                <w:sz w:val="18"/>
                <w:szCs w:val="18"/>
              </w:rPr>
              <w:t>]</w:t>
            </w:r>
            <w:r w:rsidRPr="00DF5688">
              <w:rPr>
                <w:rFonts w:ascii="Times" w:hAnsi="Times" w:cstheme="minorHAnsi"/>
                <w:i/>
                <w:iCs/>
                <w:color w:val="000000" w:themeColor="text1"/>
                <w:sz w:val="18"/>
                <w:szCs w:val="18"/>
                <w:vertAlign w:val="subscript"/>
              </w:rPr>
              <w:t>p</w:t>
            </w:r>
            <w:r w:rsidRPr="00DF5688">
              <w:rPr>
                <w:rFonts w:ascii="Times" w:hAnsi="Times" w:cstheme="minorHAnsi"/>
                <w:color w:val="000000" w:themeColor="text1"/>
                <w:sz w:val="18"/>
                <w:szCs w:val="18"/>
              </w:rPr>
              <w:t xml:space="preserve"> to [</w:t>
            </w:r>
            <w:r w:rsidRPr="00DF5688">
              <w:rPr>
                <w:rFonts w:ascii="Times" w:hAnsi="Times" w:cstheme="minorHAnsi"/>
                <w:i/>
                <w:iCs/>
                <w:color w:val="000000" w:themeColor="text1"/>
                <w:sz w:val="18"/>
                <w:szCs w:val="18"/>
              </w:rPr>
              <w:t>Nd</w:t>
            </w:r>
            <w:r w:rsidRPr="00DF5688">
              <w:rPr>
                <w:rFonts w:ascii="Times" w:hAnsi="Times" w:cstheme="minorHAnsi"/>
                <w:color w:val="000000" w:themeColor="text1"/>
                <w:sz w:val="18"/>
                <w:szCs w:val="18"/>
              </w:rPr>
              <w:t>]</w:t>
            </w:r>
            <w:r w:rsidRPr="00DF5688">
              <w:rPr>
                <w:rFonts w:ascii="Times" w:hAnsi="Times" w:cstheme="minorHAnsi"/>
                <w:i/>
                <w:iCs/>
                <w:color w:val="000000" w:themeColor="text1"/>
                <w:sz w:val="18"/>
                <w:szCs w:val="18"/>
                <w:vertAlign w:val="subscript"/>
              </w:rPr>
              <w:t>d</w:t>
            </w:r>
          </w:p>
        </w:tc>
        <w:tc>
          <w:tcPr>
            <w:tcW w:w="0" w:type="auto"/>
            <w:noWrap/>
            <w:hideMark/>
          </w:tcPr>
          <w:p w14:paraId="02D635EF" w14:textId="77777777" w:rsidR="00DF5688" w:rsidRPr="00DF5688" w:rsidRDefault="00DF5688" w:rsidP="00553AA4">
            <w:pPr>
              <w:rPr>
                <w:rFonts w:ascii="Times" w:hAnsi="Times" w:cstheme="minorHAnsi"/>
                <w:color w:val="000000" w:themeColor="text1"/>
                <w:sz w:val="18"/>
                <w:szCs w:val="18"/>
              </w:rPr>
            </w:pPr>
            <w:r w:rsidRPr="00DF5688">
              <w:rPr>
                <w:rFonts w:ascii="Times" w:hAnsi="Times" w:cstheme="minorHAnsi"/>
                <w:color w:val="000000" w:themeColor="text1"/>
                <w:sz w:val="18"/>
                <w:szCs w:val="18"/>
              </w:rPr>
              <w:t>[</w:t>
            </w:r>
            <w:r w:rsidRPr="00DF5688">
              <w:rPr>
                <w:rFonts w:ascii="Times" w:hAnsi="Times" w:cstheme="minorHAnsi"/>
                <w:i/>
                <w:iCs/>
                <w:color w:val="000000" w:themeColor="text1"/>
                <w:sz w:val="18"/>
                <w:szCs w:val="18"/>
              </w:rPr>
              <w:t>Nd</w:t>
            </w:r>
            <w:r w:rsidRPr="00DF5688">
              <w:rPr>
                <w:rFonts w:ascii="Times" w:hAnsi="Times" w:cstheme="minorHAnsi"/>
                <w:color w:val="000000" w:themeColor="text1"/>
                <w:sz w:val="18"/>
                <w:szCs w:val="18"/>
              </w:rPr>
              <w:t>]</w:t>
            </w:r>
            <w:r w:rsidRPr="00DF5688">
              <w:rPr>
                <w:rFonts w:ascii="Times" w:hAnsi="Times" w:cstheme="minorHAnsi"/>
                <w:i/>
                <w:iCs/>
                <w:color w:val="000000" w:themeColor="text1"/>
                <w:sz w:val="18"/>
                <w:szCs w:val="18"/>
                <w:vertAlign w:val="subscript"/>
              </w:rPr>
              <w:t>p</w:t>
            </w:r>
            <w:r w:rsidRPr="00DF5688">
              <w:rPr>
                <w:rFonts w:ascii="Times" w:hAnsi="Times" w:cstheme="minorHAnsi"/>
                <w:color w:val="000000" w:themeColor="text1"/>
                <w:sz w:val="18"/>
                <w:szCs w:val="18"/>
              </w:rPr>
              <w:t>/[</w:t>
            </w:r>
            <w:r w:rsidRPr="00DF5688">
              <w:rPr>
                <w:rFonts w:ascii="Times" w:hAnsi="Times" w:cstheme="minorHAnsi"/>
                <w:i/>
                <w:iCs/>
                <w:color w:val="000000" w:themeColor="text1"/>
                <w:sz w:val="18"/>
                <w:szCs w:val="18"/>
              </w:rPr>
              <w:t>Nd</w:t>
            </w:r>
            <w:r w:rsidRPr="00DF5688">
              <w:rPr>
                <w:rFonts w:ascii="Times" w:hAnsi="Times" w:cstheme="minorHAnsi"/>
                <w:color w:val="000000" w:themeColor="text1"/>
                <w:sz w:val="18"/>
                <w:szCs w:val="18"/>
              </w:rPr>
              <w:t>]</w:t>
            </w:r>
            <w:r w:rsidRPr="00DF5688">
              <w:rPr>
                <w:rFonts w:ascii="Times" w:hAnsi="Times" w:cstheme="minorHAnsi"/>
                <w:i/>
                <w:iCs/>
                <w:color w:val="000000" w:themeColor="text1"/>
                <w:sz w:val="18"/>
                <w:szCs w:val="18"/>
                <w:vertAlign w:val="subscript"/>
              </w:rPr>
              <w:t>d</w:t>
            </w:r>
          </w:p>
        </w:tc>
        <w:tc>
          <w:tcPr>
            <w:tcW w:w="0" w:type="auto"/>
            <w:noWrap/>
            <w:hideMark/>
          </w:tcPr>
          <w:p w14:paraId="6EDFB0C4" w14:textId="77777777" w:rsidR="00DF5688" w:rsidRPr="00DF5688" w:rsidRDefault="00DF5688" w:rsidP="00553AA4">
            <w:pPr>
              <w:jc w:val="right"/>
              <w:rPr>
                <w:rFonts w:ascii="Times" w:hAnsi="Times" w:cstheme="minorHAnsi"/>
                <w:color w:val="000000" w:themeColor="text1"/>
                <w:sz w:val="18"/>
                <w:szCs w:val="18"/>
              </w:rPr>
            </w:pPr>
            <w:r w:rsidRPr="00DF5688">
              <w:rPr>
                <w:rFonts w:ascii="Times" w:hAnsi="Times" w:cstheme="minorHAnsi"/>
                <w:sz w:val="18"/>
                <w:szCs w:val="18"/>
                <w:lang w:eastAsia="en-US"/>
              </w:rPr>
              <w:t>0.00448</w:t>
            </w:r>
          </w:p>
        </w:tc>
        <w:tc>
          <w:tcPr>
            <w:tcW w:w="0" w:type="auto"/>
            <w:noWrap/>
            <w:hideMark/>
          </w:tcPr>
          <w:p w14:paraId="168D5016" w14:textId="77777777" w:rsidR="00DF5688" w:rsidRPr="00DF5688" w:rsidRDefault="00DF5688" w:rsidP="00553AA4">
            <w:pPr>
              <w:jc w:val="right"/>
              <w:rPr>
                <w:rFonts w:ascii="Times" w:hAnsi="Times" w:cstheme="minorHAnsi"/>
                <w:color w:val="000000" w:themeColor="text1"/>
                <w:sz w:val="18"/>
                <w:szCs w:val="18"/>
              </w:rPr>
            </w:pPr>
          </w:p>
        </w:tc>
      </w:tr>
      <w:tr w:rsidR="00DF5688" w:rsidRPr="00DF5688" w14:paraId="3FEF8A0D" w14:textId="77777777" w:rsidTr="00DF5688">
        <w:trPr>
          <w:trHeight w:val="320"/>
        </w:trPr>
        <w:tc>
          <w:tcPr>
            <w:tcW w:w="0" w:type="auto"/>
            <w:noWrap/>
            <w:hideMark/>
          </w:tcPr>
          <w:p w14:paraId="08EEBEB8"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Global average density of seawater</w:t>
            </w:r>
          </w:p>
        </w:tc>
        <w:tc>
          <w:tcPr>
            <w:tcW w:w="0" w:type="auto"/>
            <w:noWrap/>
            <w:hideMark/>
          </w:tcPr>
          <w:p w14:paraId="4A1740C8" w14:textId="77777777" w:rsidR="00DF5688" w:rsidRPr="00DF5688" w:rsidRDefault="00DF5688" w:rsidP="00553AA4">
            <w:pPr>
              <w:rPr>
                <w:rFonts w:ascii="Times" w:hAnsi="Times" w:cstheme="minorHAnsi"/>
                <w:i/>
                <w:iCs/>
                <w:color w:val="000000"/>
                <w:sz w:val="18"/>
                <w:szCs w:val="18"/>
              </w:rPr>
            </w:pPr>
            <w:r w:rsidRPr="00DF5688">
              <w:rPr>
                <w:rFonts w:ascii="Times" w:hAnsi="Times" w:cstheme="minorHAnsi"/>
                <w:i/>
                <w:iCs/>
                <w:color w:val="000000"/>
                <w:sz w:val="18"/>
                <w:szCs w:val="18"/>
              </w:rPr>
              <w:t>p</w:t>
            </w:r>
          </w:p>
        </w:tc>
        <w:tc>
          <w:tcPr>
            <w:tcW w:w="0" w:type="auto"/>
            <w:noWrap/>
            <w:hideMark/>
          </w:tcPr>
          <w:p w14:paraId="791D0B60"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1024.5</w:t>
            </w:r>
          </w:p>
        </w:tc>
        <w:tc>
          <w:tcPr>
            <w:tcW w:w="0" w:type="auto"/>
            <w:noWrap/>
            <w:hideMark/>
          </w:tcPr>
          <w:p w14:paraId="6A4A5018"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kg m</w:t>
            </w:r>
            <w:r w:rsidRPr="00DF5688">
              <w:rPr>
                <w:rFonts w:ascii="Times" w:hAnsi="Times" w:cstheme="minorHAnsi"/>
                <w:color w:val="000000"/>
                <w:sz w:val="18"/>
                <w:szCs w:val="18"/>
                <w:vertAlign w:val="superscript"/>
              </w:rPr>
              <w:t>-3</w:t>
            </w:r>
          </w:p>
        </w:tc>
      </w:tr>
      <w:tr w:rsidR="00DF5688" w:rsidRPr="00DF5688" w14:paraId="461CFA09" w14:textId="77777777" w:rsidTr="00DF5688">
        <w:trPr>
          <w:trHeight w:val="320"/>
        </w:trPr>
        <w:tc>
          <w:tcPr>
            <w:tcW w:w="0" w:type="auto"/>
            <w:noWrap/>
            <w:hideMark/>
          </w:tcPr>
          <w:p w14:paraId="638FECB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Reversible scavenging, density</w:t>
            </w:r>
          </w:p>
        </w:tc>
        <w:tc>
          <w:tcPr>
            <w:tcW w:w="0" w:type="auto"/>
            <w:noWrap/>
            <w:hideMark/>
          </w:tcPr>
          <w:p w14:paraId="2377FF38" w14:textId="77777777" w:rsidR="00DF5688" w:rsidRPr="00DF5688" w:rsidRDefault="00DF5688" w:rsidP="00553AA4">
            <w:pPr>
              <w:rPr>
                <w:rFonts w:ascii="Times" w:hAnsi="Times" w:cstheme="minorHAnsi"/>
                <w:color w:val="000000"/>
                <w:sz w:val="18"/>
                <w:szCs w:val="18"/>
              </w:rPr>
            </w:pPr>
            <w:proofErr w:type="spellStart"/>
            <w:r w:rsidRPr="00DF5688">
              <w:rPr>
                <w:rFonts w:ascii="Times" w:hAnsi="Times" w:cstheme="minorHAnsi"/>
                <w:i/>
                <w:iCs/>
                <w:color w:val="000000"/>
                <w:sz w:val="18"/>
                <w:szCs w:val="18"/>
              </w:rPr>
              <w:t>S</w:t>
            </w:r>
            <w:r w:rsidRPr="00DF5688">
              <w:rPr>
                <w:rFonts w:ascii="Times" w:hAnsi="Times" w:cstheme="minorHAnsi"/>
                <w:color w:val="000000"/>
                <w:sz w:val="18"/>
                <w:szCs w:val="18"/>
                <w:vertAlign w:val="subscript"/>
              </w:rPr>
              <w:t>rs</w:t>
            </w:r>
            <w:proofErr w:type="spellEnd"/>
          </w:p>
        </w:tc>
        <w:tc>
          <w:tcPr>
            <w:tcW w:w="0" w:type="auto"/>
            <w:noWrap/>
            <w:hideMark/>
          </w:tcPr>
          <w:p w14:paraId="4D86D4AB"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w:t>
            </w:r>
          </w:p>
        </w:tc>
        <w:tc>
          <w:tcPr>
            <w:tcW w:w="0" w:type="auto"/>
            <w:noWrap/>
            <w:hideMark/>
          </w:tcPr>
          <w:p w14:paraId="48998F58" w14:textId="77777777" w:rsidR="00DF5688" w:rsidRPr="00DF5688" w:rsidRDefault="00DF5688" w:rsidP="00553AA4">
            <w:pPr>
              <w:rPr>
                <w:rFonts w:ascii="Times" w:hAnsi="Times" w:cstheme="minorHAnsi"/>
                <w:sz w:val="18"/>
                <w:szCs w:val="18"/>
              </w:rPr>
            </w:pPr>
            <w:r w:rsidRPr="00DF5688">
              <w:rPr>
                <w:rFonts w:ascii="Times" w:hAnsi="Times" w:cstheme="minorHAnsi"/>
                <w:color w:val="000000"/>
                <w:sz w:val="18"/>
                <w:szCs w:val="18"/>
              </w:rPr>
              <w:t>g Nd m</w:t>
            </w:r>
            <w:r w:rsidRPr="00DF5688">
              <w:rPr>
                <w:rFonts w:ascii="Times" w:hAnsi="Times" w:cstheme="minorHAnsi"/>
                <w:color w:val="000000"/>
                <w:sz w:val="18"/>
                <w:szCs w:val="18"/>
                <w:vertAlign w:val="superscript"/>
              </w:rPr>
              <w:t>-3</w:t>
            </w:r>
            <w:r w:rsidRPr="00DF5688">
              <w:rPr>
                <w:rFonts w:ascii="Times" w:hAnsi="Times" w:cstheme="minorHAnsi"/>
                <w:color w:val="000000"/>
                <w:sz w:val="18"/>
                <w:szCs w:val="18"/>
              </w:rPr>
              <w:t xml:space="preserve"> yr</w:t>
            </w:r>
            <w:r w:rsidRPr="00DF5688">
              <w:rPr>
                <w:rFonts w:ascii="Times" w:hAnsi="Times" w:cstheme="minorHAnsi"/>
                <w:color w:val="000000"/>
                <w:sz w:val="18"/>
                <w:szCs w:val="18"/>
                <w:vertAlign w:val="superscript"/>
              </w:rPr>
              <w:t>-1</w:t>
            </w:r>
          </w:p>
        </w:tc>
      </w:tr>
      <w:tr w:rsidR="00DF5688" w:rsidRPr="00DF5688" w14:paraId="17107AFE" w14:textId="77777777" w:rsidTr="00DF5688">
        <w:trPr>
          <w:trHeight w:val="320"/>
        </w:trPr>
        <w:tc>
          <w:tcPr>
            <w:tcW w:w="0" w:type="auto"/>
            <w:noWrap/>
          </w:tcPr>
          <w:p w14:paraId="60B107A8"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Partition coefficient for POC</w:t>
            </w:r>
          </w:p>
        </w:tc>
        <w:tc>
          <w:tcPr>
            <w:tcW w:w="0" w:type="auto"/>
            <w:noWrap/>
          </w:tcPr>
          <w:p w14:paraId="027F9073" w14:textId="77777777" w:rsidR="00DF5688" w:rsidRPr="00DF5688" w:rsidRDefault="00DF5688" w:rsidP="00553AA4">
            <w:pPr>
              <w:rPr>
                <w:rFonts w:ascii="Times" w:hAnsi="Times" w:cstheme="minorHAnsi"/>
                <w:color w:val="000000"/>
                <w:sz w:val="18"/>
                <w:szCs w:val="18"/>
                <w:vertAlign w:val="subscript"/>
              </w:rPr>
            </w:pPr>
            <w:r w:rsidRPr="00DF5688">
              <w:rPr>
                <w:rFonts w:ascii="Times" w:hAnsi="Times" w:cstheme="minorHAnsi"/>
                <w:i/>
                <w:iCs/>
                <w:color w:val="000000"/>
                <w:sz w:val="18"/>
                <w:szCs w:val="18"/>
              </w:rPr>
              <w:t>K</w:t>
            </w:r>
            <w:r w:rsidRPr="00DF5688">
              <w:rPr>
                <w:rFonts w:ascii="Times" w:hAnsi="Times" w:cstheme="minorHAnsi"/>
                <w:color w:val="000000"/>
                <w:sz w:val="18"/>
                <w:szCs w:val="18"/>
                <w:vertAlign w:val="subscript"/>
              </w:rPr>
              <w:t>POC</w:t>
            </w:r>
          </w:p>
        </w:tc>
        <w:tc>
          <w:tcPr>
            <w:tcW w:w="0" w:type="auto"/>
            <w:noWrap/>
          </w:tcPr>
          <w:p w14:paraId="7BD6DC0A" w14:textId="210385C0" w:rsidR="00DF5688" w:rsidRPr="00DF5688" w:rsidRDefault="00DF5688" w:rsidP="00934C7A">
            <w:pPr>
              <w:jc w:val="right"/>
              <w:rPr>
                <w:rFonts w:ascii="Times" w:hAnsi="Times" w:cstheme="minorHAnsi"/>
                <w:color w:val="000000"/>
                <w:sz w:val="18"/>
                <w:szCs w:val="18"/>
              </w:rPr>
            </w:pPr>
            <w:r w:rsidRPr="00DF5688">
              <w:rPr>
                <w:rFonts w:ascii="Times" w:hAnsi="Times" w:cstheme="minorHAnsi"/>
                <w:color w:val="000000"/>
                <w:sz w:val="18"/>
                <w:szCs w:val="18"/>
              </w:rPr>
              <w:t xml:space="preserve">1.53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6</w:t>
            </w:r>
          </w:p>
        </w:tc>
        <w:tc>
          <w:tcPr>
            <w:tcW w:w="0" w:type="auto"/>
            <w:noWrap/>
          </w:tcPr>
          <w:p w14:paraId="7CC4702D" w14:textId="77777777" w:rsidR="00DF5688" w:rsidRPr="00DF5688" w:rsidRDefault="00DF5688" w:rsidP="00553AA4">
            <w:pPr>
              <w:rPr>
                <w:rFonts w:ascii="Times" w:hAnsi="Times" w:cstheme="minorHAnsi"/>
                <w:color w:val="000000"/>
                <w:sz w:val="18"/>
                <w:szCs w:val="18"/>
              </w:rPr>
            </w:pPr>
          </w:p>
        </w:tc>
      </w:tr>
      <w:tr w:rsidR="00DF5688" w:rsidRPr="00DF5688" w14:paraId="32881387" w14:textId="77777777" w:rsidTr="00DF5688">
        <w:trPr>
          <w:trHeight w:val="320"/>
        </w:trPr>
        <w:tc>
          <w:tcPr>
            <w:tcW w:w="0" w:type="auto"/>
            <w:noWrap/>
          </w:tcPr>
          <w:p w14:paraId="6E4B138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Partition coefficient for CaCO</w:t>
            </w:r>
            <w:r w:rsidRPr="00DF5688">
              <w:rPr>
                <w:rFonts w:ascii="Times" w:hAnsi="Times" w:cstheme="minorHAnsi"/>
                <w:color w:val="000000"/>
                <w:sz w:val="18"/>
                <w:szCs w:val="18"/>
                <w:vertAlign w:val="subscript"/>
              </w:rPr>
              <w:t>3</w:t>
            </w:r>
            <w:r w:rsidRPr="00DF5688">
              <w:rPr>
                <w:rFonts w:ascii="Times" w:hAnsi="Times" w:cstheme="minorHAnsi"/>
                <w:color w:val="000000"/>
                <w:sz w:val="18"/>
                <w:szCs w:val="18"/>
              </w:rPr>
              <w:t xml:space="preserve"> </w:t>
            </w:r>
          </w:p>
        </w:tc>
        <w:tc>
          <w:tcPr>
            <w:tcW w:w="0" w:type="auto"/>
            <w:noWrap/>
          </w:tcPr>
          <w:p w14:paraId="5137FC4D" w14:textId="77777777" w:rsidR="00DF5688" w:rsidRPr="00DF5688" w:rsidRDefault="00DF5688" w:rsidP="00553AA4">
            <w:pPr>
              <w:rPr>
                <w:rFonts w:ascii="Times" w:hAnsi="Times" w:cstheme="minorHAnsi"/>
                <w:color w:val="000000"/>
                <w:sz w:val="18"/>
                <w:szCs w:val="18"/>
                <w:vertAlign w:val="subscript"/>
              </w:rPr>
            </w:pPr>
            <w:r w:rsidRPr="00DF5688">
              <w:rPr>
                <w:rFonts w:ascii="Times" w:hAnsi="Times" w:cstheme="minorHAnsi"/>
                <w:i/>
                <w:iCs/>
                <w:color w:val="000000"/>
                <w:sz w:val="18"/>
                <w:szCs w:val="18"/>
              </w:rPr>
              <w:t>K</w:t>
            </w:r>
            <w:r w:rsidRPr="00DF5688">
              <w:rPr>
                <w:rFonts w:ascii="Times" w:hAnsi="Times" w:cstheme="minorHAnsi"/>
                <w:color w:val="000000"/>
                <w:sz w:val="18"/>
                <w:szCs w:val="18"/>
                <w:vertAlign w:val="subscript"/>
              </w:rPr>
              <w:t>CaCO3</w:t>
            </w:r>
          </w:p>
        </w:tc>
        <w:tc>
          <w:tcPr>
            <w:tcW w:w="0" w:type="auto"/>
            <w:noWrap/>
          </w:tcPr>
          <w:p w14:paraId="6BD6F7E7"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 xml:space="preserve">7.14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5</w:t>
            </w:r>
          </w:p>
        </w:tc>
        <w:tc>
          <w:tcPr>
            <w:tcW w:w="0" w:type="auto"/>
            <w:noWrap/>
          </w:tcPr>
          <w:p w14:paraId="30F14245" w14:textId="77777777" w:rsidR="00DF5688" w:rsidRPr="00DF5688" w:rsidRDefault="00DF5688" w:rsidP="00553AA4">
            <w:pPr>
              <w:rPr>
                <w:rFonts w:ascii="Times" w:hAnsi="Times" w:cstheme="minorHAnsi"/>
                <w:color w:val="000000"/>
                <w:sz w:val="18"/>
                <w:szCs w:val="18"/>
              </w:rPr>
            </w:pPr>
          </w:p>
        </w:tc>
      </w:tr>
      <w:tr w:rsidR="00DF5688" w:rsidRPr="00DF5688" w14:paraId="79FC830C" w14:textId="77777777" w:rsidTr="00DF5688">
        <w:trPr>
          <w:trHeight w:val="320"/>
        </w:trPr>
        <w:tc>
          <w:tcPr>
            <w:tcW w:w="0" w:type="auto"/>
            <w:noWrap/>
          </w:tcPr>
          <w:p w14:paraId="2962004E"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xml:space="preserve">Partition coefficient for opal </w:t>
            </w:r>
          </w:p>
        </w:tc>
        <w:tc>
          <w:tcPr>
            <w:tcW w:w="0" w:type="auto"/>
            <w:noWrap/>
          </w:tcPr>
          <w:p w14:paraId="2FB27725" w14:textId="77777777" w:rsidR="00DF5688" w:rsidRPr="00DF5688" w:rsidRDefault="00DF5688" w:rsidP="00553AA4">
            <w:pPr>
              <w:rPr>
                <w:rFonts w:ascii="Times" w:hAnsi="Times" w:cstheme="minorHAnsi"/>
                <w:color w:val="000000"/>
                <w:sz w:val="18"/>
                <w:szCs w:val="18"/>
                <w:vertAlign w:val="subscript"/>
              </w:rPr>
            </w:pPr>
            <w:proofErr w:type="spellStart"/>
            <w:r w:rsidRPr="00DF5688">
              <w:rPr>
                <w:rFonts w:ascii="Times" w:hAnsi="Times" w:cstheme="minorHAnsi"/>
                <w:i/>
                <w:iCs/>
                <w:color w:val="000000"/>
                <w:sz w:val="18"/>
                <w:szCs w:val="18"/>
              </w:rPr>
              <w:t>K</w:t>
            </w:r>
            <w:r w:rsidRPr="00DF5688">
              <w:rPr>
                <w:rFonts w:ascii="Times" w:hAnsi="Times" w:cstheme="minorHAnsi"/>
                <w:color w:val="000000"/>
                <w:sz w:val="18"/>
                <w:szCs w:val="18"/>
                <w:vertAlign w:val="subscript"/>
              </w:rPr>
              <w:t>opal</w:t>
            </w:r>
            <w:proofErr w:type="spellEnd"/>
          </w:p>
        </w:tc>
        <w:tc>
          <w:tcPr>
            <w:tcW w:w="0" w:type="auto"/>
            <w:noWrap/>
          </w:tcPr>
          <w:p w14:paraId="6C9192DE" w14:textId="77777777" w:rsidR="00DF5688" w:rsidRPr="00DF5688" w:rsidRDefault="00DF5688" w:rsidP="00553AA4">
            <w:pPr>
              <w:jc w:val="right"/>
              <w:rPr>
                <w:rFonts w:ascii="Times" w:hAnsi="Times" w:cstheme="minorHAnsi"/>
                <w:color w:val="000000"/>
                <w:sz w:val="18"/>
                <w:szCs w:val="18"/>
                <w:vertAlign w:val="superscript"/>
              </w:rPr>
            </w:pPr>
            <w:r w:rsidRPr="00DF5688">
              <w:rPr>
                <w:rFonts w:ascii="Times" w:hAnsi="Times" w:cstheme="minorHAnsi"/>
                <w:color w:val="000000"/>
                <w:sz w:val="18"/>
                <w:szCs w:val="18"/>
              </w:rPr>
              <w:t xml:space="preserve">8.6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5</w:t>
            </w:r>
          </w:p>
        </w:tc>
        <w:tc>
          <w:tcPr>
            <w:tcW w:w="0" w:type="auto"/>
            <w:noWrap/>
          </w:tcPr>
          <w:p w14:paraId="27BC32FB" w14:textId="77777777" w:rsidR="00DF5688" w:rsidRPr="00DF5688" w:rsidRDefault="00DF5688" w:rsidP="00553AA4">
            <w:pPr>
              <w:rPr>
                <w:rFonts w:ascii="Times" w:hAnsi="Times" w:cstheme="minorHAnsi"/>
                <w:color w:val="000000"/>
                <w:sz w:val="18"/>
                <w:szCs w:val="18"/>
              </w:rPr>
            </w:pPr>
          </w:p>
        </w:tc>
      </w:tr>
      <w:tr w:rsidR="00DF5688" w:rsidRPr="00DF5688" w14:paraId="31618577" w14:textId="77777777" w:rsidTr="00DF5688">
        <w:trPr>
          <w:trHeight w:val="320"/>
        </w:trPr>
        <w:tc>
          <w:tcPr>
            <w:tcW w:w="0" w:type="auto"/>
            <w:noWrap/>
          </w:tcPr>
          <w:p w14:paraId="673C6894"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xml:space="preserve">Partition coefficient for dust </w:t>
            </w:r>
          </w:p>
        </w:tc>
        <w:tc>
          <w:tcPr>
            <w:tcW w:w="0" w:type="auto"/>
            <w:noWrap/>
          </w:tcPr>
          <w:p w14:paraId="1384F479" w14:textId="77777777" w:rsidR="00DF5688" w:rsidRPr="00DF5688" w:rsidRDefault="00DF5688" w:rsidP="00553AA4">
            <w:pPr>
              <w:rPr>
                <w:rFonts w:ascii="Times" w:hAnsi="Times" w:cstheme="minorHAnsi"/>
                <w:color w:val="000000"/>
                <w:sz w:val="18"/>
                <w:szCs w:val="18"/>
                <w:vertAlign w:val="subscript"/>
              </w:rPr>
            </w:pPr>
            <w:proofErr w:type="spellStart"/>
            <w:r w:rsidRPr="00DF5688">
              <w:rPr>
                <w:rFonts w:ascii="Times" w:hAnsi="Times" w:cstheme="minorHAnsi"/>
                <w:i/>
                <w:iCs/>
                <w:color w:val="000000"/>
                <w:sz w:val="18"/>
                <w:szCs w:val="18"/>
              </w:rPr>
              <w:t>K</w:t>
            </w:r>
            <w:r w:rsidRPr="00DF5688">
              <w:rPr>
                <w:rFonts w:ascii="Times" w:hAnsi="Times" w:cstheme="minorHAnsi"/>
                <w:color w:val="000000"/>
                <w:sz w:val="18"/>
                <w:szCs w:val="18"/>
                <w:vertAlign w:val="subscript"/>
              </w:rPr>
              <w:t>dust</w:t>
            </w:r>
            <w:proofErr w:type="spellEnd"/>
          </w:p>
        </w:tc>
        <w:tc>
          <w:tcPr>
            <w:tcW w:w="0" w:type="auto"/>
            <w:noWrap/>
          </w:tcPr>
          <w:p w14:paraId="6EA37F59"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 xml:space="preserve">2.59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6</w:t>
            </w:r>
          </w:p>
        </w:tc>
        <w:tc>
          <w:tcPr>
            <w:tcW w:w="0" w:type="auto"/>
            <w:noWrap/>
          </w:tcPr>
          <w:p w14:paraId="11597EC8" w14:textId="77777777" w:rsidR="00DF5688" w:rsidRPr="00DF5688" w:rsidRDefault="00DF5688" w:rsidP="00553AA4">
            <w:pPr>
              <w:rPr>
                <w:rFonts w:ascii="Times" w:hAnsi="Times" w:cstheme="minorHAnsi"/>
                <w:color w:val="000000"/>
                <w:sz w:val="18"/>
                <w:szCs w:val="18"/>
              </w:rPr>
            </w:pPr>
          </w:p>
        </w:tc>
      </w:tr>
      <w:tr w:rsidR="00DF5688" w:rsidRPr="00DF5688" w14:paraId="508F0FF5" w14:textId="77777777" w:rsidTr="00DF5688">
        <w:trPr>
          <w:trHeight w:val="320"/>
        </w:trPr>
        <w:tc>
          <w:tcPr>
            <w:tcW w:w="0" w:type="auto"/>
            <w:noWrap/>
          </w:tcPr>
          <w:p w14:paraId="0549F2A9"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 xml:space="preserve">Total Nd inventory after equilibrium </w:t>
            </w:r>
          </w:p>
        </w:tc>
        <w:tc>
          <w:tcPr>
            <w:tcW w:w="0" w:type="auto"/>
            <w:noWrap/>
          </w:tcPr>
          <w:p w14:paraId="00EEFB5D" w14:textId="77777777" w:rsidR="00DF5688" w:rsidRPr="00DF5688" w:rsidRDefault="00DF5688" w:rsidP="00553AA4">
            <w:pPr>
              <w:rPr>
                <w:rFonts w:ascii="Times" w:hAnsi="Times" w:cstheme="minorHAnsi"/>
                <w:color w:val="000000"/>
                <w:sz w:val="18"/>
                <w:szCs w:val="18"/>
              </w:rPr>
            </w:pPr>
            <w:r w:rsidRPr="00DF5688">
              <w:rPr>
                <w:rFonts w:ascii="Times" w:hAnsi="Times" w:cstheme="minorHAnsi"/>
                <w:i/>
                <w:iCs/>
                <w:color w:val="000000"/>
                <w:sz w:val="18"/>
                <w:szCs w:val="18"/>
              </w:rPr>
              <w:t>Nd</w:t>
            </w:r>
            <w:r w:rsidRPr="00DF5688">
              <w:rPr>
                <w:rFonts w:ascii="Times" w:hAnsi="Times" w:cstheme="minorHAnsi"/>
                <w:color w:val="000000"/>
                <w:sz w:val="18"/>
                <w:szCs w:val="18"/>
              </w:rPr>
              <w:t>(</w:t>
            </w:r>
            <w:r w:rsidRPr="00DF5688">
              <w:rPr>
                <w:rFonts w:ascii="Times" w:hAnsi="Times" w:cstheme="minorHAnsi"/>
                <w:i/>
                <w:iCs/>
                <w:color w:val="000000"/>
                <w:sz w:val="18"/>
                <w:szCs w:val="18"/>
              </w:rPr>
              <w:t>I</w:t>
            </w:r>
            <w:r w:rsidRPr="00DF5688">
              <w:rPr>
                <w:rFonts w:ascii="Times" w:hAnsi="Times" w:cstheme="minorHAnsi"/>
                <w:color w:val="000000"/>
                <w:sz w:val="18"/>
                <w:szCs w:val="18"/>
              </w:rPr>
              <w:t>)</w:t>
            </w:r>
          </w:p>
        </w:tc>
        <w:tc>
          <w:tcPr>
            <w:tcW w:w="0" w:type="auto"/>
            <w:noWrap/>
          </w:tcPr>
          <w:p w14:paraId="6B2DDA93"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 xml:space="preserve">4.27 </w:t>
            </w:r>
            <w:r w:rsidRPr="00DF5688">
              <w:rPr>
                <w:rFonts w:ascii="Times" w:hAnsi="Times" w:cstheme="minorHAnsi"/>
                <w:color w:val="202124"/>
                <w:sz w:val="18"/>
                <w:szCs w:val="18"/>
                <w:shd w:val="clear" w:color="auto" w:fill="FFFFFF"/>
              </w:rPr>
              <w:t xml:space="preserve">× </w:t>
            </w:r>
            <w:r w:rsidRPr="00DF5688">
              <w:rPr>
                <w:rFonts w:ascii="Times" w:hAnsi="Times" w:cstheme="minorHAnsi"/>
                <w:color w:val="000000"/>
                <w:sz w:val="18"/>
                <w:szCs w:val="18"/>
              </w:rPr>
              <w:t>10</w:t>
            </w:r>
            <w:r w:rsidRPr="00DF5688">
              <w:rPr>
                <w:rFonts w:ascii="Times" w:hAnsi="Times" w:cstheme="minorHAnsi"/>
                <w:color w:val="000000"/>
                <w:sz w:val="18"/>
                <w:szCs w:val="18"/>
                <w:vertAlign w:val="superscript"/>
              </w:rPr>
              <w:t>12</w:t>
            </w:r>
          </w:p>
        </w:tc>
        <w:tc>
          <w:tcPr>
            <w:tcW w:w="0" w:type="auto"/>
            <w:noWrap/>
          </w:tcPr>
          <w:p w14:paraId="592737A8"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g</w:t>
            </w:r>
          </w:p>
        </w:tc>
      </w:tr>
      <w:tr w:rsidR="00DF5688" w:rsidRPr="00DF5688" w14:paraId="06CB96DE" w14:textId="77777777" w:rsidTr="00DF5688">
        <w:trPr>
          <w:trHeight w:val="320"/>
        </w:trPr>
        <w:tc>
          <w:tcPr>
            <w:tcW w:w="0" w:type="auto"/>
            <w:tcBorders>
              <w:bottom w:val="single" w:sz="4" w:space="0" w:color="auto"/>
            </w:tcBorders>
            <w:noWrap/>
          </w:tcPr>
          <w:p w14:paraId="1B64015F"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Residence time</w:t>
            </w:r>
          </w:p>
        </w:tc>
        <w:tc>
          <w:tcPr>
            <w:tcW w:w="0" w:type="auto"/>
            <w:tcBorders>
              <w:bottom w:val="single" w:sz="4" w:space="0" w:color="auto"/>
            </w:tcBorders>
            <w:noWrap/>
          </w:tcPr>
          <w:p w14:paraId="66956B68" w14:textId="77777777" w:rsidR="00DF5688" w:rsidRPr="00DF5688" w:rsidRDefault="00DF5688" w:rsidP="00553AA4">
            <w:pPr>
              <w:rPr>
                <w:rFonts w:ascii="Times" w:hAnsi="Times" w:cstheme="minorHAnsi"/>
                <w:color w:val="000000"/>
                <w:sz w:val="18"/>
                <w:szCs w:val="18"/>
              </w:rPr>
            </w:pPr>
            <w:r w:rsidRPr="00DF5688">
              <w:rPr>
                <w:rFonts w:ascii="Cambria Math" w:hAnsi="Cambria Math" w:cs="Cambria Math"/>
                <w:i/>
                <w:iCs/>
                <w:color w:val="000000" w:themeColor="text1"/>
                <w:sz w:val="18"/>
                <w:szCs w:val="18"/>
                <w:shd w:val="clear" w:color="auto" w:fill="FFFFFF"/>
              </w:rPr>
              <w:t>𝜏</w:t>
            </w:r>
            <w:r w:rsidRPr="00DF5688">
              <w:rPr>
                <w:rFonts w:ascii="Times" w:hAnsi="Times" w:cstheme="minorHAnsi"/>
                <w:color w:val="000000" w:themeColor="text1"/>
                <w:sz w:val="18"/>
                <w:szCs w:val="18"/>
                <w:shd w:val="clear" w:color="auto" w:fill="FFFFFF"/>
                <w:vertAlign w:val="subscript"/>
              </w:rPr>
              <w:t>Nd</w:t>
            </w:r>
          </w:p>
        </w:tc>
        <w:tc>
          <w:tcPr>
            <w:tcW w:w="0" w:type="auto"/>
            <w:tcBorders>
              <w:bottom w:val="single" w:sz="4" w:space="0" w:color="auto"/>
            </w:tcBorders>
            <w:noWrap/>
          </w:tcPr>
          <w:p w14:paraId="0D466314" w14:textId="77777777" w:rsidR="00DF5688" w:rsidRPr="00DF5688" w:rsidRDefault="00DF5688" w:rsidP="00553AA4">
            <w:pPr>
              <w:jc w:val="right"/>
              <w:rPr>
                <w:rFonts w:ascii="Times" w:hAnsi="Times" w:cstheme="minorHAnsi"/>
                <w:color w:val="000000"/>
                <w:sz w:val="18"/>
                <w:szCs w:val="18"/>
              </w:rPr>
            </w:pPr>
            <w:r w:rsidRPr="00DF5688">
              <w:rPr>
                <w:rFonts w:ascii="Times" w:hAnsi="Times" w:cstheme="minorHAnsi"/>
                <w:color w:val="000000"/>
                <w:sz w:val="18"/>
                <w:szCs w:val="18"/>
              </w:rPr>
              <w:t>727</w:t>
            </w:r>
          </w:p>
        </w:tc>
        <w:tc>
          <w:tcPr>
            <w:tcW w:w="0" w:type="auto"/>
            <w:tcBorders>
              <w:bottom w:val="single" w:sz="4" w:space="0" w:color="auto"/>
            </w:tcBorders>
            <w:noWrap/>
          </w:tcPr>
          <w:p w14:paraId="6053B820" w14:textId="77777777" w:rsidR="00DF5688" w:rsidRPr="00DF5688" w:rsidRDefault="00DF5688" w:rsidP="00553AA4">
            <w:pPr>
              <w:rPr>
                <w:rFonts w:ascii="Times" w:hAnsi="Times" w:cstheme="minorHAnsi"/>
                <w:color w:val="000000"/>
                <w:sz w:val="18"/>
                <w:szCs w:val="18"/>
              </w:rPr>
            </w:pPr>
            <w:r w:rsidRPr="00DF5688">
              <w:rPr>
                <w:rFonts w:ascii="Times" w:hAnsi="Times" w:cstheme="minorHAnsi"/>
                <w:color w:val="000000"/>
                <w:sz w:val="18"/>
                <w:szCs w:val="18"/>
              </w:rPr>
              <w:t>years</w:t>
            </w:r>
          </w:p>
        </w:tc>
      </w:tr>
    </w:tbl>
    <w:p w14:paraId="26AFBEDF" w14:textId="77777777" w:rsidR="006F4131" w:rsidRDefault="006F4131" w:rsidP="0009509B"/>
    <w:p w14:paraId="3603B0A9" w14:textId="77777777" w:rsidR="006F4131" w:rsidRDefault="006F4131" w:rsidP="0009509B"/>
    <w:p w14:paraId="10B463CC" w14:textId="77777777" w:rsidR="006F4131" w:rsidRDefault="006F4131" w:rsidP="0009509B"/>
    <w:p w14:paraId="2F76C776" w14:textId="77777777" w:rsidR="006F4131" w:rsidRDefault="006F4131" w:rsidP="0009509B"/>
    <w:p w14:paraId="67864780" w14:textId="77777777" w:rsidR="006F4131" w:rsidRDefault="006F4131" w:rsidP="0009509B"/>
    <w:p w14:paraId="25BAFF43" w14:textId="7ACEB86E" w:rsidR="0009509B" w:rsidRPr="0009509B" w:rsidRDefault="0009509B" w:rsidP="0009509B">
      <w:r>
        <w:rPr>
          <w:noProof/>
          <w:lang w:eastAsia="en-GB"/>
        </w:rPr>
        <w:lastRenderedPageBreak/>
        <w:drawing>
          <wp:anchor distT="0" distB="0" distL="114300" distR="114300" simplePos="0" relativeHeight="251658243" behindDoc="0" locked="0" layoutInCell="1" allowOverlap="1" wp14:anchorId="798958C0" wp14:editId="6C17380B">
            <wp:simplePos x="0" y="0"/>
            <wp:positionH relativeFrom="margin">
              <wp:align>center</wp:align>
            </wp:positionH>
            <wp:positionV relativeFrom="paragraph">
              <wp:posOffset>0</wp:posOffset>
            </wp:positionV>
            <wp:extent cx="5727700" cy="5271770"/>
            <wp:effectExtent l="0" t="0" r="0" b="0"/>
            <wp:wrapTopAndBottom/>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5271770"/>
                    </a:xfrm>
                    <a:prstGeom prst="rect">
                      <a:avLst/>
                    </a:prstGeom>
                  </pic:spPr>
                </pic:pic>
              </a:graphicData>
            </a:graphic>
            <wp14:sizeRelH relativeFrom="page">
              <wp14:pctWidth>0</wp14:pctWidth>
            </wp14:sizeRelH>
            <wp14:sizeRelV relativeFrom="page">
              <wp14:pctHeight>0</wp14:pctHeight>
            </wp14:sizeRelV>
          </wp:anchor>
        </w:drawing>
      </w:r>
    </w:p>
    <w:p w14:paraId="5A594419" w14:textId="2166AE96" w:rsidR="00B36D89" w:rsidRPr="00734358" w:rsidRDefault="00D427D0" w:rsidP="00C10A0F">
      <w:pPr>
        <w:pStyle w:val="Caption"/>
        <w:rPr>
          <w:rFonts w:ascii="Times" w:hAnsi="Times"/>
          <w:b w:val="0"/>
          <w:bCs w:val="0"/>
        </w:rPr>
      </w:pPr>
      <w:r w:rsidRPr="00734358">
        <w:rPr>
          <w:rFonts w:ascii="Times" w:hAnsi="Times"/>
          <w:lang w:eastAsia="en-US"/>
        </w:rPr>
        <w:t>Figure S1:</w:t>
      </w:r>
      <w:r w:rsidR="005C6A18" w:rsidRPr="00734358">
        <w:rPr>
          <w:rFonts w:ascii="Times" w:hAnsi="Times"/>
        </w:rPr>
        <w:t xml:space="preserve"> </w:t>
      </w:r>
      <w:r w:rsidR="00756872" w:rsidRPr="00734358">
        <w:rPr>
          <w:rFonts w:ascii="Times" w:hAnsi="Times"/>
        </w:rPr>
        <w:t>C</w:t>
      </w:r>
      <w:r w:rsidR="00B36D89" w:rsidRPr="00734358">
        <w:rPr>
          <w:rFonts w:ascii="Times" w:hAnsi="Times"/>
        </w:rPr>
        <w:t>entral panel</w:t>
      </w:r>
      <w:r w:rsidR="0065532B" w:rsidRPr="00734358">
        <w:rPr>
          <w:rFonts w:ascii="Times" w:hAnsi="Times"/>
        </w:rPr>
        <w:t xml:space="preserve"> </w:t>
      </w:r>
      <w:r w:rsidR="00B36D89" w:rsidRPr="00734358">
        <w:rPr>
          <w:rFonts w:ascii="Times" w:hAnsi="Times"/>
        </w:rPr>
        <w:t>(g)</w:t>
      </w:r>
      <w:r w:rsidR="00C10A0F" w:rsidRPr="00734358">
        <w:rPr>
          <w:rFonts w:ascii="Times" w:hAnsi="Times"/>
        </w:rPr>
        <w:t xml:space="preserve"> displays </w:t>
      </w:r>
      <w:r w:rsidR="00B36D89" w:rsidRPr="00734358">
        <w:rPr>
          <w:rFonts w:ascii="Times" w:hAnsi="Times"/>
          <w:i/>
        </w:rPr>
        <w:t>[Nd]</w:t>
      </w:r>
      <w:r w:rsidR="00B36D89" w:rsidRPr="00734358">
        <w:rPr>
          <w:rFonts w:ascii="Times" w:hAnsi="Times"/>
          <w:i/>
          <w:vertAlign w:val="subscript"/>
        </w:rPr>
        <w:t>d</w:t>
      </w:r>
      <w:r w:rsidR="00B36D89" w:rsidRPr="00734358">
        <w:rPr>
          <w:rFonts w:ascii="Times" w:hAnsi="Times"/>
        </w:rPr>
        <w:t xml:space="preserve"> at the seafloor for the final, optimised model configuration, </w:t>
      </w:r>
      <w:r w:rsidR="00B36D89" w:rsidRPr="00734358">
        <w:rPr>
          <w:rFonts w:ascii="Times" w:hAnsi="Times"/>
          <w:i/>
        </w:rPr>
        <w:t>REF</w:t>
      </w:r>
      <w:r w:rsidR="00B36D89" w:rsidRPr="00734358">
        <w:rPr>
          <w:rFonts w:ascii="Times" w:hAnsi="Times"/>
        </w:rPr>
        <w:t xml:space="preserve"> (100-year mean from the end of the simulation), with superimposed water column measurements </w:t>
      </w:r>
      <w:r w:rsidR="00B36D89" w:rsidRPr="00734358">
        <w:rPr>
          <w:rFonts w:ascii="Times" w:hAnsi="Times"/>
          <w:lang w:eastAsia="en-GB"/>
        </w:rPr>
        <w:t xml:space="preserve">(Osborne et al., 2017, 2015; GEOTRACES Intermediate Data Product Group, 2021) from </w:t>
      </w:r>
      <w:r w:rsidR="00B36D89" w:rsidRPr="00734358">
        <w:rPr>
          <w:rFonts w:ascii="Times" w:hAnsi="Times"/>
          <w:color w:val="3A3F42"/>
          <w:lang w:eastAsia="en-GB"/>
        </w:rPr>
        <w:t xml:space="preserve">≥ </w:t>
      </w:r>
      <w:r w:rsidR="00B36D89" w:rsidRPr="00734358">
        <w:rPr>
          <w:rFonts w:ascii="Times" w:hAnsi="Times"/>
          <w:lang w:eastAsia="en-GB"/>
        </w:rPr>
        <w:t>3</w:t>
      </w:r>
      <w:r w:rsidR="005C1B7A">
        <w:rPr>
          <w:rFonts w:ascii="Times" w:hAnsi="Times"/>
          <w:lang w:eastAsia="en-GB"/>
        </w:rPr>
        <w:t>,</w:t>
      </w:r>
      <w:r w:rsidR="00B36D89" w:rsidRPr="00734358">
        <w:rPr>
          <w:rFonts w:ascii="Times" w:hAnsi="Times"/>
          <w:lang w:eastAsia="en-GB"/>
        </w:rPr>
        <w:t>000 m shown by filled coloured circles</w:t>
      </w:r>
      <w:r w:rsidR="0045174B" w:rsidRPr="00734358">
        <w:rPr>
          <w:rFonts w:ascii="Times" w:hAnsi="Times"/>
          <w:lang w:eastAsia="en-GB"/>
        </w:rPr>
        <w:t>.</w:t>
      </w:r>
      <w:r w:rsidR="00B36D89" w:rsidRPr="00734358">
        <w:rPr>
          <w:rFonts w:ascii="Times" w:hAnsi="Times"/>
          <w:lang w:eastAsia="en-GB"/>
        </w:rPr>
        <w:t xml:space="preserve"> </w:t>
      </w:r>
      <w:r w:rsidR="00756872" w:rsidRPr="00734358">
        <w:rPr>
          <w:rFonts w:ascii="Times" w:hAnsi="Times"/>
          <w:lang w:eastAsia="en-GB"/>
        </w:rPr>
        <w:t>S</w:t>
      </w:r>
      <w:r w:rsidR="00B36D89" w:rsidRPr="00734358">
        <w:rPr>
          <w:rFonts w:ascii="Times" w:hAnsi="Times"/>
          <w:lang w:eastAsia="en-GB"/>
        </w:rPr>
        <w:t>urrounding panels</w:t>
      </w:r>
      <w:r w:rsidR="00C10A0F" w:rsidRPr="00734358">
        <w:rPr>
          <w:rFonts w:ascii="Times" w:hAnsi="Times"/>
          <w:lang w:eastAsia="en-GB"/>
        </w:rPr>
        <w:t xml:space="preserve"> </w:t>
      </w:r>
      <w:r w:rsidR="00B36D89" w:rsidRPr="00734358">
        <w:rPr>
          <w:rFonts w:ascii="Times" w:hAnsi="Times"/>
          <w:lang w:eastAsia="en-GB"/>
        </w:rPr>
        <w:t>(a-f) and (h-m)</w:t>
      </w:r>
      <w:r w:rsidR="00C10A0F" w:rsidRPr="00734358">
        <w:rPr>
          <w:rFonts w:ascii="Times" w:hAnsi="Times"/>
          <w:lang w:eastAsia="en-GB"/>
        </w:rPr>
        <w:t xml:space="preserve"> display</w:t>
      </w:r>
      <w:r w:rsidR="0045174B" w:rsidRPr="00734358">
        <w:rPr>
          <w:rFonts w:ascii="Times" w:hAnsi="Times"/>
          <w:lang w:eastAsia="en-GB"/>
        </w:rPr>
        <w:t xml:space="preserve"> </w:t>
      </w:r>
      <w:r w:rsidR="00756872" w:rsidRPr="00734358">
        <w:rPr>
          <w:rFonts w:ascii="Times" w:hAnsi="Times"/>
          <w:lang w:eastAsia="en-GB"/>
        </w:rPr>
        <w:t>d</w:t>
      </w:r>
      <w:r w:rsidR="0045174B" w:rsidRPr="00734358">
        <w:rPr>
          <w:rFonts w:ascii="Times" w:hAnsi="Times"/>
          <w:lang w:eastAsia="en-GB"/>
        </w:rPr>
        <w:t>epth profiles of simulated (coloured line</w:t>
      </w:r>
      <w:r w:rsidR="00756872" w:rsidRPr="00734358">
        <w:rPr>
          <w:rFonts w:ascii="Times" w:hAnsi="Times"/>
          <w:lang w:eastAsia="en-GB"/>
        </w:rPr>
        <w:t xml:space="preserve">s: </w:t>
      </w:r>
      <w:r w:rsidR="00756872" w:rsidRPr="00734358">
        <w:rPr>
          <w:rFonts w:ascii="Times" w:hAnsi="Times"/>
          <w:i/>
          <w:lang w:eastAsia="en-GB"/>
        </w:rPr>
        <w:t>REF</w:t>
      </w:r>
      <w:r w:rsidR="00306676" w:rsidRPr="00734358">
        <w:rPr>
          <w:rFonts w:ascii="Times" w:hAnsi="Times"/>
          <w:i/>
          <w:lang w:eastAsia="en-GB"/>
        </w:rPr>
        <w:t xml:space="preserve"> </w:t>
      </w:r>
      <w:r w:rsidR="00F817E3">
        <w:rPr>
          <w:rFonts w:ascii="Times" w:hAnsi="Times"/>
          <w:lang w:eastAsia="en-GB"/>
        </w:rPr>
        <w:t xml:space="preserve">in </w:t>
      </w:r>
      <w:r w:rsidR="00756872" w:rsidRPr="00734358">
        <w:rPr>
          <w:rFonts w:ascii="Times" w:hAnsi="Times"/>
          <w:lang w:eastAsia="en-GB"/>
        </w:rPr>
        <w:t xml:space="preserve">red, </w:t>
      </w:r>
      <w:r w:rsidR="00756872" w:rsidRPr="00734358">
        <w:rPr>
          <w:rFonts w:ascii="Times" w:hAnsi="Times"/>
          <w:i/>
          <w:lang w:eastAsia="en-GB"/>
        </w:rPr>
        <w:t>REF_CONC1</w:t>
      </w:r>
      <w:r w:rsidR="00756872" w:rsidRPr="00734358">
        <w:rPr>
          <w:rFonts w:ascii="Times" w:hAnsi="Times"/>
          <w:lang w:eastAsia="en-GB"/>
        </w:rPr>
        <w:t xml:space="preserve"> </w:t>
      </w:r>
      <w:r w:rsidR="00F817E3">
        <w:rPr>
          <w:rFonts w:ascii="Times" w:hAnsi="Times"/>
          <w:lang w:eastAsia="en-GB"/>
        </w:rPr>
        <w:t xml:space="preserve">in </w:t>
      </w:r>
      <w:r w:rsidR="00756872" w:rsidRPr="00734358">
        <w:rPr>
          <w:rFonts w:ascii="Times" w:hAnsi="Times"/>
          <w:lang w:eastAsia="en-GB"/>
        </w:rPr>
        <w:t xml:space="preserve">green, </w:t>
      </w:r>
      <w:r w:rsidR="00756872" w:rsidRPr="00734358">
        <w:rPr>
          <w:rFonts w:ascii="Times" w:hAnsi="Times"/>
          <w:i/>
          <w:lang w:eastAsia="en-GB"/>
        </w:rPr>
        <w:t>REF_CONC2</w:t>
      </w:r>
      <w:r w:rsidR="00756872" w:rsidRPr="00734358">
        <w:rPr>
          <w:rFonts w:ascii="Times" w:hAnsi="Times"/>
          <w:lang w:eastAsia="en-GB"/>
        </w:rPr>
        <w:t xml:space="preserve"> </w:t>
      </w:r>
      <w:r w:rsidR="00F817E3">
        <w:rPr>
          <w:rFonts w:ascii="Times" w:hAnsi="Times"/>
          <w:lang w:eastAsia="en-GB"/>
        </w:rPr>
        <w:t xml:space="preserve">in </w:t>
      </w:r>
      <w:r w:rsidR="00756872" w:rsidRPr="00734358">
        <w:rPr>
          <w:rFonts w:ascii="Times" w:hAnsi="Times"/>
          <w:lang w:eastAsia="en-GB"/>
        </w:rPr>
        <w:t xml:space="preserve">black, and </w:t>
      </w:r>
      <w:r w:rsidR="00756872" w:rsidRPr="00734358">
        <w:rPr>
          <w:rFonts w:ascii="Times" w:hAnsi="Times"/>
          <w:i/>
          <w:lang w:eastAsia="en-GB"/>
        </w:rPr>
        <w:t>REF_IC</w:t>
      </w:r>
      <w:r w:rsidR="00756872" w:rsidRPr="00734358">
        <w:rPr>
          <w:rFonts w:ascii="Times" w:hAnsi="Times"/>
          <w:lang w:eastAsia="en-GB"/>
        </w:rPr>
        <w:t xml:space="preserve"> </w:t>
      </w:r>
      <w:r w:rsidR="00F817E3">
        <w:rPr>
          <w:rFonts w:ascii="Times" w:hAnsi="Times"/>
          <w:lang w:eastAsia="en-GB"/>
        </w:rPr>
        <w:t xml:space="preserve">in </w:t>
      </w:r>
      <w:r w:rsidR="00756872" w:rsidRPr="00734358">
        <w:rPr>
          <w:rFonts w:ascii="Times" w:hAnsi="Times"/>
          <w:lang w:eastAsia="en-GB"/>
        </w:rPr>
        <w:t>blue)</w:t>
      </w:r>
      <w:r w:rsidR="00C10A0F" w:rsidRPr="00734358">
        <w:rPr>
          <w:rFonts w:ascii="Times" w:hAnsi="Times"/>
          <w:lang w:eastAsia="en-GB"/>
        </w:rPr>
        <w:t xml:space="preserve"> and measured (</w:t>
      </w:r>
      <w:r w:rsidR="00F817E3">
        <w:rPr>
          <w:rFonts w:ascii="Times" w:hAnsi="Times"/>
          <w:lang w:eastAsia="en-GB"/>
        </w:rPr>
        <w:t>filled</w:t>
      </w:r>
      <w:r w:rsidR="00F817E3" w:rsidRPr="00734358">
        <w:rPr>
          <w:rFonts w:ascii="Times" w:hAnsi="Times"/>
          <w:lang w:eastAsia="en-GB"/>
        </w:rPr>
        <w:t xml:space="preserve"> </w:t>
      </w:r>
      <w:r w:rsidR="00C10A0F" w:rsidRPr="00734358">
        <w:rPr>
          <w:rFonts w:ascii="Times" w:hAnsi="Times"/>
          <w:lang w:eastAsia="en-GB"/>
        </w:rPr>
        <w:t xml:space="preserve">circles) </w:t>
      </w:r>
      <w:r w:rsidR="00C10A0F" w:rsidRPr="00B36D89">
        <w:rPr>
          <w:rFonts w:ascii="Times" w:hAnsi="Times"/>
          <w:lang w:eastAsia="en-GB"/>
        </w:rPr>
        <w:t>[</w:t>
      </w:r>
      <w:r w:rsidR="00C10A0F" w:rsidRPr="00B36D89">
        <w:rPr>
          <w:rFonts w:ascii="Times" w:hAnsi="Times"/>
          <w:i/>
          <w:iCs/>
          <w:lang w:eastAsia="en-GB"/>
        </w:rPr>
        <w:t>Nd</w:t>
      </w:r>
      <w:r w:rsidR="00C10A0F" w:rsidRPr="00B36D89">
        <w:rPr>
          <w:rFonts w:ascii="Times" w:hAnsi="Times"/>
          <w:lang w:eastAsia="en-GB"/>
        </w:rPr>
        <w:t>]</w:t>
      </w:r>
      <w:r w:rsidR="00C10A0F" w:rsidRPr="00941027">
        <w:rPr>
          <w:rFonts w:ascii="Times" w:hAnsi="Times"/>
          <w:i/>
          <w:iCs/>
          <w:vertAlign w:val="subscript"/>
          <w:lang w:eastAsia="en-GB"/>
        </w:rPr>
        <w:t>d</w:t>
      </w:r>
      <w:r w:rsidR="00306676" w:rsidRPr="00734358">
        <w:rPr>
          <w:rFonts w:ascii="Times" w:hAnsi="Times"/>
          <w:lang w:eastAsia="en-GB"/>
        </w:rPr>
        <w:t>; s</w:t>
      </w:r>
      <w:r w:rsidR="00C10A0F" w:rsidRPr="00734358">
        <w:rPr>
          <w:rFonts w:ascii="Times" w:hAnsi="Times"/>
          <w:lang w:eastAsia="en-GB"/>
        </w:rPr>
        <w:t xml:space="preserve">ee Sect. 2.1 of the main text for a full description of the optimised model configurations. </w:t>
      </w:r>
      <w:r w:rsidR="008F6750" w:rsidRPr="00734358">
        <w:rPr>
          <w:rFonts w:ascii="Times" w:hAnsi="Times"/>
          <w:lang w:eastAsia="en-GB"/>
        </w:rPr>
        <w:t>Note that simulated</w:t>
      </w:r>
      <w:r w:rsidR="00C10A0F" w:rsidRPr="00734358">
        <w:rPr>
          <w:rFonts w:ascii="Times" w:hAnsi="Times"/>
          <w:lang w:eastAsia="en-GB"/>
        </w:rPr>
        <w:t xml:space="preserve"> </w:t>
      </w:r>
      <w:r w:rsidR="008F6750" w:rsidRPr="00B36D89">
        <w:rPr>
          <w:rFonts w:ascii="Times" w:hAnsi="Times"/>
          <w:lang w:eastAsia="en-GB"/>
        </w:rPr>
        <w:t>[</w:t>
      </w:r>
      <w:r w:rsidR="008F6750" w:rsidRPr="00B36D89">
        <w:rPr>
          <w:rFonts w:ascii="Times" w:hAnsi="Times"/>
          <w:i/>
          <w:iCs/>
          <w:lang w:eastAsia="en-GB"/>
        </w:rPr>
        <w:t>Nd</w:t>
      </w:r>
      <w:r w:rsidR="008F6750" w:rsidRPr="00B36D89">
        <w:rPr>
          <w:rFonts w:ascii="Times" w:hAnsi="Times"/>
          <w:lang w:eastAsia="en-GB"/>
        </w:rPr>
        <w:t>]</w:t>
      </w:r>
      <w:r w:rsidR="008F6750" w:rsidRPr="00941027">
        <w:rPr>
          <w:rFonts w:ascii="Times" w:hAnsi="Times"/>
          <w:i/>
          <w:iCs/>
          <w:vertAlign w:val="subscript"/>
          <w:lang w:eastAsia="en-GB"/>
        </w:rPr>
        <w:t>d</w:t>
      </w:r>
      <w:r w:rsidR="008F6750" w:rsidRPr="00734358">
        <w:rPr>
          <w:rFonts w:ascii="Times" w:hAnsi="Times"/>
          <w:lang w:eastAsia="en-GB"/>
        </w:rPr>
        <w:t xml:space="preserve"> in </w:t>
      </w:r>
      <w:r w:rsidR="008F6750" w:rsidRPr="00734358">
        <w:rPr>
          <w:rFonts w:ascii="Times" w:hAnsi="Times"/>
          <w:i/>
        </w:rPr>
        <w:t>REF</w:t>
      </w:r>
      <w:r w:rsidR="008F6750" w:rsidRPr="00734358">
        <w:rPr>
          <w:rFonts w:ascii="Times" w:hAnsi="Times"/>
          <w:lang w:eastAsia="en-GB"/>
        </w:rPr>
        <w:t xml:space="preserve"> is consistently too low in much of the shallow-intermediate Atlantic (Sect.</w:t>
      </w:r>
      <w:r w:rsidR="00306676" w:rsidRPr="00734358">
        <w:rPr>
          <w:rFonts w:ascii="Times" w:hAnsi="Times"/>
          <w:lang w:eastAsia="en-GB"/>
        </w:rPr>
        <w:t xml:space="preserve"> 3.2,</w:t>
      </w:r>
      <w:r w:rsidR="008F6750" w:rsidRPr="00734358">
        <w:rPr>
          <w:rFonts w:ascii="Times" w:hAnsi="Times"/>
          <w:lang w:eastAsia="en-GB"/>
        </w:rPr>
        <w:t xml:space="preserve"> main text), alluding to</w:t>
      </w:r>
      <w:r w:rsidR="0009509B" w:rsidRPr="00734358">
        <w:rPr>
          <w:rFonts w:ascii="Times" w:hAnsi="Times"/>
          <w:lang w:eastAsia="en-GB"/>
        </w:rPr>
        <w:t xml:space="preserve"> the model not capturing localised surface point sources here</w:t>
      </w:r>
      <w:r w:rsidR="008F6750" w:rsidRPr="00734358">
        <w:rPr>
          <w:rFonts w:ascii="Times" w:hAnsi="Times"/>
          <w:lang w:eastAsia="en-GB"/>
        </w:rPr>
        <w:t xml:space="preserve">, but otherwise there is broadly very good agreement between simulated and measured </w:t>
      </w:r>
      <w:r w:rsidR="008F6750" w:rsidRPr="00734358">
        <w:rPr>
          <w:rFonts w:ascii="Times" w:hAnsi="Times"/>
          <w:i/>
        </w:rPr>
        <w:t>[Nd]</w:t>
      </w:r>
      <w:r w:rsidR="008F6750" w:rsidRPr="00734358">
        <w:rPr>
          <w:rFonts w:ascii="Times" w:hAnsi="Times"/>
          <w:i/>
          <w:vertAlign w:val="subscript"/>
        </w:rPr>
        <w:t>d</w:t>
      </w:r>
      <w:r w:rsidR="008F6750" w:rsidRPr="00734358">
        <w:rPr>
          <w:rFonts w:ascii="Times" w:hAnsi="Times"/>
          <w:i/>
        </w:rPr>
        <w:t xml:space="preserve">, </w:t>
      </w:r>
      <w:r w:rsidR="008F6750" w:rsidRPr="00734358">
        <w:rPr>
          <w:rFonts w:ascii="Times" w:hAnsi="Times"/>
          <w:iCs/>
        </w:rPr>
        <w:t>indicating that the mode</w:t>
      </w:r>
      <w:r w:rsidR="00306676" w:rsidRPr="00734358">
        <w:rPr>
          <w:rFonts w:ascii="Times" w:hAnsi="Times"/>
          <w:iCs/>
        </w:rPr>
        <w:t xml:space="preserve">l captures </w:t>
      </w:r>
      <w:r w:rsidR="0009509B" w:rsidRPr="00734358">
        <w:rPr>
          <w:rFonts w:ascii="Times" w:hAnsi="Times"/>
          <w:iCs/>
        </w:rPr>
        <w:t xml:space="preserve">the major sources, sinks and internal cycling governing marine </w:t>
      </w:r>
      <w:r w:rsidR="0009509B" w:rsidRPr="00B36D89">
        <w:rPr>
          <w:rFonts w:ascii="Times" w:hAnsi="Times"/>
          <w:lang w:eastAsia="en-GB"/>
        </w:rPr>
        <w:t>[</w:t>
      </w:r>
      <w:r w:rsidR="0009509B" w:rsidRPr="00B36D89">
        <w:rPr>
          <w:rFonts w:ascii="Times" w:hAnsi="Times"/>
          <w:i/>
          <w:iCs/>
          <w:lang w:eastAsia="en-GB"/>
        </w:rPr>
        <w:t>Nd</w:t>
      </w:r>
      <w:r w:rsidR="0009509B" w:rsidRPr="00B36D89">
        <w:rPr>
          <w:rFonts w:ascii="Times" w:hAnsi="Times"/>
          <w:lang w:eastAsia="en-GB"/>
        </w:rPr>
        <w:t>]</w:t>
      </w:r>
      <w:r w:rsidR="0009509B" w:rsidRPr="00941027">
        <w:rPr>
          <w:rFonts w:ascii="Times" w:hAnsi="Times"/>
          <w:i/>
          <w:iCs/>
          <w:vertAlign w:val="subscript"/>
          <w:lang w:eastAsia="en-GB"/>
        </w:rPr>
        <w:t>d</w:t>
      </w:r>
      <w:r w:rsidR="0009509B" w:rsidRPr="00734358">
        <w:rPr>
          <w:rFonts w:ascii="Times" w:hAnsi="Times"/>
          <w:b w:val="0"/>
          <w:bCs w:val="0"/>
          <w:lang w:eastAsia="en-GB"/>
        </w:rPr>
        <w:t>.</w:t>
      </w:r>
    </w:p>
    <w:p w14:paraId="222A5D8B" w14:textId="7DF37E3C" w:rsidR="00B36D89" w:rsidRDefault="00B36D89" w:rsidP="00B36D89"/>
    <w:p w14:paraId="70B1AB75" w14:textId="33C765DF" w:rsidR="00B36D89" w:rsidRPr="00B36D89" w:rsidRDefault="00B36D89" w:rsidP="00B36D89"/>
    <w:p w14:paraId="6F8B77C9" w14:textId="7B448010" w:rsidR="0062591E" w:rsidRPr="00734358" w:rsidRDefault="00734358" w:rsidP="00734358">
      <w:pPr>
        <w:pStyle w:val="Heading2"/>
        <w:rPr>
          <w:rFonts w:ascii="Times" w:hAnsi="Times"/>
          <w:sz w:val="18"/>
          <w:szCs w:val="18"/>
        </w:rPr>
      </w:pPr>
      <w:r w:rsidRPr="00734358">
        <w:rPr>
          <w:rFonts w:ascii="Times" w:hAnsi="Times"/>
          <w:noProof/>
          <w:sz w:val="18"/>
          <w:szCs w:val="18"/>
          <w:lang w:eastAsia="en-GB"/>
        </w:rPr>
        <w:lastRenderedPageBreak/>
        <w:drawing>
          <wp:anchor distT="0" distB="0" distL="114300" distR="114300" simplePos="0" relativeHeight="251658249" behindDoc="0" locked="0" layoutInCell="1" allowOverlap="1" wp14:anchorId="70A970E4" wp14:editId="3BFD3EC2">
            <wp:simplePos x="0" y="0"/>
            <wp:positionH relativeFrom="margin">
              <wp:align>center</wp:align>
            </wp:positionH>
            <wp:positionV relativeFrom="paragraph">
              <wp:posOffset>0</wp:posOffset>
            </wp:positionV>
            <wp:extent cx="5727700" cy="5204460"/>
            <wp:effectExtent l="0" t="0" r="0" b="2540"/>
            <wp:wrapTopAndBottom/>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27700" cy="5204460"/>
                    </a:xfrm>
                    <a:prstGeom prst="rect">
                      <a:avLst/>
                    </a:prstGeom>
                  </pic:spPr>
                </pic:pic>
              </a:graphicData>
            </a:graphic>
            <wp14:sizeRelH relativeFrom="page">
              <wp14:pctWidth>0</wp14:pctWidth>
            </wp14:sizeRelH>
            <wp14:sizeRelV relativeFrom="page">
              <wp14:pctHeight>0</wp14:pctHeight>
            </wp14:sizeRelV>
          </wp:anchor>
        </w:drawing>
      </w:r>
      <w:r w:rsidR="0009509B" w:rsidRPr="00734358">
        <w:rPr>
          <w:rFonts w:ascii="Times" w:hAnsi="Times"/>
          <w:sz w:val="18"/>
          <w:szCs w:val="18"/>
          <w:lang w:eastAsia="en-US"/>
        </w:rPr>
        <w:t>Figure S2:</w:t>
      </w:r>
      <w:r w:rsidR="0009509B" w:rsidRPr="00734358">
        <w:rPr>
          <w:rFonts w:ascii="Times" w:hAnsi="Times"/>
          <w:sz w:val="18"/>
          <w:szCs w:val="18"/>
        </w:rPr>
        <w:t xml:space="preserve"> Central panel</w:t>
      </w:r>
      <w:r w:rsidR="0065532B" w:rsidRPr="00734358">
        <w:rPr>
          <w:rFonts w:ascii="Times" w:hAnsi="Times"/>
          <w:sz w:val="18"/>
          <w:szCs w:val="18"/>
        </w:rPr>
        <w:t xml:space="preserve"> </w:t>
      </w:r>
      <w:r w:rsidR="0009509B" w:rsidRPr="00734358">
        <w:rPr>
          <w:rFonts w:ascii="Times" w:hAnsi="Times"/>
          <w:sz w:val="18"/>
          <w:szCs w:val="18"/>
        </w:rPr>
        <w:t xml:space="preserve">(g) displays </w:t>
      </w:r>
      <w:r w:rsidR="0009509B" w:rsidRPr="00734358">
        <w:rPr>
          <w:rFonts w:ascii="Times" w:hAnsi="Times" w:cs="Times"/>
          <w:sz w:val="18"/>
          <w:szCs w:val="18"/>
        </w:rPr>
        <w:t>ε</w:t>
      </w:r>
      <w:r w:rsidR="0009509B" w:rsidRPr="00734358">
        <w:rPr>
          <w:rFonts w:ascii="Times" w:hAnsi="Times" w:cs="Times"/>
          <w:sz w:val="18"/>
          <w:szCs w:val="18"/>
          <w:vertAlign w:val="subscript"/>
        </w:rPr>
        <w:t>Nd</w:t>
      </w:r>
      <w:r w:rsidR="0009509B" w:rsidRPr="00734358">
        <w:rPr>
          <w:rFonts w:ascii="Times" w:hAnsi="Times"/>
          <w:sz w:val="18"/>
          <w:szCs w:val="18"/>
        </w:rPr>
        <w:t xml:space="preserve"> </w:t>
      </w:r>
      <w:r w:rsidR="0009509B" w:rsidRPr="00734358">
        <w:rPr>
          <w:rFonts w:ascii="Times" w:hAnsi="Times"/>
          <w:iCs w:val="0"/>
          <w:sz w:val="18"/>
          <w:szCs w:val="18"/>
        </w:rPr>
        <w:t xml:space="preserve">at the seafloor for the final, optimised model configuration, </w:t>
      </w:r>
      <w:r w:rsidR="0009509B" w:rsidRPr="00734358">
        <w:rPr>
          <w:rFonts w:ascii="Times" w:hAnsi="Times"/>
          <w:i/>
          <w:sz w:val="18"/>
          <w:szCs w:val="18"/>
        </w:rPr>
        <w:t>REF</w:t>
      </w:r>
      <w:r w:rsidR="0009509B" w:rsidRPr="00734358">
        <w:rPr>
          <w:rFonts w:ascii="Times" w:hAnsi="Times"/>
          <w:iCs w:val="0"/>
          <w:sz w:val="18"/>
          <w:szCs w:val="18"/>
        </w:rPr>
        <w:t xml:space="preserve"> (100-year mean from the end of the simulation), with superimposed water column measurements </w:t>
      </w:r>
      <w:r w:rsidR="0009509B" w:rsidRPr="00734358">
        <w:rPr>
          <w:rFonts w:ascii="Times" w:hAnsi="Times"/>
          <w:sz w:val="18"/>
          <w:szCs w:val="18"/>
          <w:lang w:eastAsia="en-GB"/>
        </w:rPr>
        <w:t xml:space="preserve">(Osborne et al., 2017, 2015; GEOTRACES Intermediate Data Product Group, 2021) from </w:t>
      </w:r>
      <w:r w:rsidR="0009509B" w:rsidRPr="00734358">
        <w:rPr>
          <w:rFonts w:ascii="Times" w:hAnsi="Times"/>
          <w:color w:val="3A3F42"/>
          <w:sz w:val="18"/>
          <w:szCs w:val="18"/>
          <w:lang w:eastAsia="en-GB"/>
        </w:rPr>
        <w:t xml:space="preserve">≥ </w:t>
      </w:r>
      <w:r w:rsidR="0009509B" w:rsidRPr="00734358">
        <w:rPr>
          <w:rFonts w:ascii="Times" w:hAnsi="Times"/>
          <w:sz w:val="18"/>
          <w:szCs w:val="18"/>
          <w:lang w:eastAsia="en-GB"/>
        </w:rPr>
        <w:t>3</w:t>
      </w:r>
      <w:r w:rsidR="005C1B7A">
        <w:rPr>
          <w:rFonts w:ascii="Times" w:hAnsi="Times"/>
          <w:sz w:val="18"/>
          <w:szCs w:val="18"/>
          <w:lang w:eastAsia="en-GB"/>
        </w:rPr>
        <w:t>,</w:t>
      </w:r>
      <w:r w:rsidR="0009509B" w:rsidRPr="00734358">
        <w:rPr>
          <w:rFonts w:ascii="Times" w:hAnsi="Times"/>
          <w:sz w:val="18"/>
          <w:szCs w:val="18"/>
          <w:lang w:eastAsia="en-GB"/>
        </w:rPr>
        <w:t xml:space="preserve">000 m shown by filled coloured circles. Surrounding panels (a-f) and (h-m) display depth profiles of simulated (coloured lines: </w:t>
      </w:r>
      <w:r w:rsidR="0009509B" w:rsidRPr="00734358">
        <w:rPr>
          <w:rFonts w:ascii="Times" w:hAnsi="Times"/>
          <w:i/>
          <w:iCs w:val="0"/>
          <w:sz w:val="18"/>
          <w:szCs w:val="18"/>
          <w:lang w:eastAsia="en-GB"/>
        </w:rPr>
        <w:t>REF</w:t>
      </w:r>
      <w:r w:rsidR="00F817E3">
        <w:rPr>
          <w:rFonts w:ascii="Times" w:hAnsi="Times"/>
          <w:i/>
          <w:iCs w:val="0"/>
          <w:sz w:val="18"/>
          <w:szCs w:val="18"/>
          <w:lang w:eastAsia="en-GB"/>
        </w:rPr>
        <w:t xml:space="preserve"> </w:t>
      </w:r>
      <w:r w:rsidR="00F817E3" w:rsidRPr="00EB70AB">
        <w:rPr>
          <w:rFonts w:ascii="Times" w:hAnsi="Times"/>
          <w:iCs w:val="0"/>
          <w:sz w:val="18"/>
          <w:szCs w:val="18"/>
          <w:lang w:eastAsia="en-GB"/>
        </w:rPr>
        <w:t>in</w:t>
      </w:r>
      <w:r w:rsidR="0009509B" w:rsidRPr="00734358">
        <w:rPr>
          <w:rFonts w:ascii="Times" w:hAnsi="Times"/>
          <w:i/>
          <w:sz w:val="18"/>
          <w:szCs w:val="18"/>
          <w:lang w:eastAsia="en-GB"/>
        </w:rPr>
        <w:t xml:space="preserve"> </w:t>
      </w:r>
      <w:r w:rsidR="0009509B" w:rsidRPr="00734358">
        <w:rPr>
          <w:rFonts w:ascii="Times" w:hAnsi="Times"/>
          <w:sz w:val="18"/>
          <w:szCs w:val="18"/>
          <w:lang w:eastAsia="en-GB"/>
        </w:rPr>
        <w:t>red</w:t>
      </w:r>
      <w:r w:rsidR="00F817E3">
        <w:rPr>
          <w:rFonts w:ascii="Times" w:hAnsi="Times"/>
          <w:sz w:val="18"/>
          <w:szCs w:val="18"/>
          <w:lang w:eastAsia="en-GB"/>
        </w:rPr>
        <w:t>;</w:t>
      </w:r>
      <w:r w:rsidR="0009509B" w:rsidRPr="00734358">
        <w:rPr>
          <w:rFonts w:ascii="Times" w:hAnsi="Times"/>
          <w:sz w:val="18"/>
          <w:szCs w:val="18"/>
          <w:lang w:eastAsia="en-GB"/>
        </w:rPr>
        <w:t xml:space="preserve"> </w:t>
      </w:r>
      <w:r w:rsidR="0009509B" w:rsidRPr="00734358">
        <w:rPr>
          <w:rFonts w:ascii="Times" w:hAnsi="Times"/>
          <w:i/>
          <w:iCs w:val="0"/>
          <w:sz w:val="18"/>
          <w:szCs w:val="18"/>
          <w:lang w:eastAsia="en-GB"/>
        </w:rPr>
        <w:t>REF_CONC1</w:t>
      </w:r>
      <w:r w:rsidR="00F817E3">
        <w:rPr>
          <w:rFonts w:ascii="Times" w:hAnsi="Times"/>
          <w:i/>
          <w:iCs w:val="0"/>
          <w:sz w:val="18"/>
          <w:szCs w:val="18"/>
          <w:lang w:eastAsia="en-GB"/>
        </w:rPr>
        <w:t xml:space="preserve"> </w:t>
      </w:r>
      <w:r w:rsidR="00F817E3" w:rsidRPr="00EB70AB">
        <w:rPr>
          <w:rFonts w:ascii="Times" w:hAnsi="Times"/>
          <w:iCs w:val="0"/>
          <w:sz w:val="18"/>
          <w:szCs w:val="18"/>
          <w:lang w:eastAsia="en-GB"/>
        </w:rPr>
        <w:t>in</w:t>
      </w:r>
      <w:r w:rsidR="00F817E3">
        <w:rPr>
          <w:rFonts w:ascii="Times" w:hAnsi="Times"/>
          <w:sz w:val="18"/>
          <w:szCs w:val="18"/>
          <w:lang w:eastAsia="en-GB"/>
        </w:rPr>
        <w:t xml:space="preserve"> </w:t>
      </w:r>
      <w:r w:rsidR="0009509B" w:rsidRPr="00734358">
        <w:rPr>
          <w:rFonts w:ascii="Times" w:hAnsi="Times"/>
          <w:sz w:val="18"/>
          <w:szCs w:val="18"/>
          <w:lang w:eastAsia="en-GB"/>
        </w:rPr>
        <w:t>green</w:t>
      </w:r>
      <w:r w:rsidR="00F817E3">
        <w:rPr>
          <w:rFonts w:ascii="Times" w:hAnsi="Times"/>
          <w:sz w:val="18"/>
          <w:szCs w:val="18"/>
          <w:lang w:eastAsia="en-GB"/>
        </w:rPr>
        <w:t>;</w:t>
      </w:r>
      <w:r w:rsidR="0009509B" w:rsidRPr="00734358">
        <w:rPr>
          <w:rFonts w:ascii="Times" w:hAnsi="Times"/>
          <w:sz w:val="18"/>
          <w:szCs w:val="18"/>
          <w:lang w:eastAsia="en-GB"/>
        </w:rPr>
        <w:t xml:space="preserve"> </w:t>
      </w:r>
      <w:r w:rsidR="0009509B" w:rsidRPr="00734358">
        <w:rPr>
          <w:rFonts w:ascii="Times" w:hAnsi="Times"/>
          <w:i/>
          <w:iCs w:val="0"/>
          <w:sz w:val="18"/>
          <w:szCs w:val="18"/>
          <w:lang w:eastAsia="en-GB"/>
        </w:rPr>
        <w:t>REF_CONC2</w:t>
      </w:r>
      <w:r w:rsidR="00F817E3">
        <w:rPr>
          <w:rFonts w:ascii="Times" w:hAnsi="Times"/>
          <w:i/>
          <w:iCs w:val="0"/>
          <w:sz w:val="18"/>
          <w:szCs w:val="18"/>
          <w:lang w:eastAsia="en-GB"/>
        </w:rPr>
        <w:t xml:space="preserve"> </w:t>
      </w:r>
      <w:r w:rsidR="00F817E3" w:rsidRPr="00EB70AB">
        <w:rPr>
          <w:rFonts w:ascii="Times" w:hAnsi="Times"/>
          <w:iCs w:val="0"/>
          <w:sz w:val="18"/>
          <w:szCs w:val="18"/>
          <w:lang w:eastAsia="en-GB"/>
        </w:rPr>
        <w:t>in</w:t>
      </w:r>
      <w:r w:rsidR="0009509B" w:rsidRPr="00734358">
        <w:rPr>
          <w:rFonts w:ascii="Times" w:hAnsi="Times"/>
          <w:sz w:val="18"/>
          <w:szCs w:val="18"/>
          <w:lang w:eastAsia="en-GB"/>
        </w:rPr>
        <w:t xml:space="preserve"> black</w:t>
      </w:r>
      <w:r w:rsidR="00F817E3">
        <w:rPr>
          <w:rFonts w:ascii="Times" w:hAnsi="Times"/>
          <w:sz w:val="18"/>
          <w:szCs w:val="18"/>
          <w:lang w:eastAsia="en-GB"/>
        </w:rPr>
        <w:t>;</w:t>
      </w:r>
      <w:r w:rsidR="0009509B" w:rsidRPr="00734358">
        <w:rPr>
          <w:rFonts w:ascii="Times" w:hAnsi="Times"/>
          <w:sz w:val="18"/>
          <w:szCs w:val="18"/>
          <w:lang w:eastAsia="en-GB"/>
        </w:rPr>
        <w:t xml:space="preserve"> and </w:t>
      </w:r>
      <w:r w:rsidR="0009509B" w:rsidRPr="00734358">
        <w:rPr>
          <w:rFonts w:ascii="Times" w:hAnsi="Times"/>
          <w:i/>
          <w:iCs w:val="0"/>
          <w:sz w:val="18"/>
          <w:szCs w:val="18"/>
          <w:lang w:eastAsia="en-GB"/>
        </w:rPr>
        <w:t>REF_IC</w:t>
      </w:r>
      <w:r w:rsidR="0009509B" w:rsidRPr="00734358">
        <w:rPr>
          <w:rFonts w:ascii="Times" w:hAnsi="Times"/>
          <w:sz w:val="18"/>
          <w:szCs w:val="18"/>
          <w:lang w:eastAsia="en-GB"/>
        </w:rPr>
        <w:t xml:space="preserve"> </w:t>
      </w:r>
      <w:r w:rsidR="00F817E3">
        <w:rPr>
          <w:rFonts w:ascii="Times" w:hAnsi="Times"/>
          <w:sz w:val="18"/>
          <w:szCs w:val="18"/>
          <w:lang w:eastAsia="en-GB"/>
        </w:rPr>
        <w:t xml:space="preserve">in </w:t>
      </w:r>
      <w:r w:rsidR="0009509B" w:rsidRPr="00734358">
        <w:rPr>
          <w:rFonts w:ascii="Times" w:hAnsi="Times"/>
          <w:sz w:val="18"/>
          <w:szCs w:val="18"/>
          <w:lang w:eastAsia="en-GB"/>
        </w:rPr>
        <w:t>blue) and measured (</w:t>
      </w:r>
      <w:r w:rsidR="00F817E3">
        <w:rPr>
          <w:rFonts w:ascii="Times" w:hAnsi="Times"/>
          <w:sz w:val="18"/>
          <w:szCs w:val="18"/>
          <w:lang w:eastAsia="en-GB"/>
        </w:rPr>
        <w:t>filled</w:t>
      </w:r>
      <w:r w:rsidR="00F817E3" w:rsidRPr="00734358">
        <w:rPr>
          <w:rFonts w:ascii="Times" w:hAnsi="Times"/>
          <w:sz w:val="18"/>
          <w:szCs w:val="18"/>
          <w:lang w:eastAsia="en-GB"/>
        </w:rPr>
        <w:t xml:space="preserve"> </w:t>
      </w:r>
      <w:r w:rsidR="0009509B" w:rsidRPr="00734358">
        <w:rPr>
          <w:rFonts w:ascii="Times" w:hAnsi="Times"/>
          <w:sz w:val="18"/>
          <w:szCs w:val="18"/>
          <w:lang w:eastAsia="en-GB"/>
        </w:rPr>
        <w:t xml:space="preserve">circles) </w:t>
      </w:r>
      <w:r w:rsidR="0062591E" w:rsidRPr="00734358">
        <w:rPr>
          <w:rFonts w:ascii="Times" w:hAnsi="Times" w:cs="Times"/>
          <w:sz w:val="18"/>
          <w:szCs w:val="18"/>
        </w:rPr>
        <w:t>ε</w:t>
      </w:r>
      <w:r w:rsidR="0062591E" w:rsidRPr="00734358">
        <w:rPr>
          <w:rFonts w:ascii="Times" w:hAnsi="Times" w:cs="Times"/>
          <w:sz w:val="18"/>
          <w:szCs w:val="18"/>
          <w:vertAlign w:val="subscript"/>
        </w:rPr>
        <w:t>Nd</w:t>
      </w:r>
      <w:r w:rsidR="0009509B" w:rsidRPr="00734358">
        <w:rPr>
          <w:rFonts w:ascii="Times" w:hAnsi="Times"/>
          <w:sz w:val="18"/>
          <w:szCs w:val="18"/>
          <w:lang w:eastAsia="en-GB"/>
        </w:rPr>
        <w:t>; see Sect. 2.1 of the main text for a full description of the optimised model configurations.</w:t>
      </w:r>
      <w:r w:rsidR="0062591E" w:rsidRPr="00734358">
        <w:rPr>
          <w:rFonts w:ascii="Times" w:hAnsi="Times"/>
          <w:sz w:val="18"/>
          <w:szCs w:val="18"/>
          <w:lang w:eastAsia="en-GB"/>
        </w:rPr>
        <w:t xml:space="preserve"> Note that simulated </w:t>
      </w:r>
      <w:r w:rsidR="0062591E" w:rsidRPr="00734358">
        <w:rPr>
          <w:rFonts w:ascii="Times" w:hAnsi="Times" w:cs="Times"/>
          <w:sz w:val="18"/>
          <w:szCs w:val="18"/>
        </w:rPr>
        <w:t>ε</w:t>
      </w:r>
      <w:r w:rsidR="0062591E" w:rsidRPr="00734358">
        <w:rPr>
          <w:rFonts w:ascii="Times" w:hAnsi="Times" w:cs="Times"/>
          <w:sz w:val="18"/>
          <w:szCs w:val="18"/>
          <w:vertAlign w:val="subscript"/>
        </w:rPr>
        <w:t>Nd</w:t>
      </w:r>
      <w:r w:rsidR="0062591E" w:rsidRPr="00734358">
        <w:rPr>
          <w:rFonts w:ascii="Times" w:hAnsi="Times"/>
          <w:sz w:val="18"/>
          <w:szCs w:val="18"/>
          <w:lang w:eastAsia="en-GB"/>
        </w:rPr>
        <w:t xml:space="preserve"> in </w:t>
      </w:r>
      <w:r w:rsidR="0062591E" w:rsidRPr="00734358">
        <w:rPr>
          <w:rFonts w:ascii="Times" w:hAnsi="Times"/>
          <w:i/>
          <w:sz w:val="18"/>
          <w:szCs w:val="18"/>
        </w:rPr>
        <w:t>REF</w:t>
      </w:r>
      <w:r w:rsidR="0062591E" w:rsidRPr="00734358">
        <w:rPr>
          <w:rFonts w:ascii="Times" w:hAnsi="Times"/>
          <w:iCs w:val="0"/>
          <w:sz w:val="18"/>
          <w:szCs w:val="18"/>
        </w:rPr>
        <w:t xml:space="preserve"> is too unradiogenic in the Pacific (Sect. 3.2, main text), alluding to the preferential dissolution of radiogenic volcanic components of the sediment </w:t>
      </w:r>
      <w:r w:rsidR="00FA4026" w:rsidRPr="00734358">
        <w:rPr>
          <w:rFonts w:ascii="Times" w:hAnsi="Times"/>
          <w:iCs w:val="0"/>
          <w:sz w:val="18"/>
          <w:szCs w:val="18"/>
        </w:rPr>
        <w:t>across the seafloor</w:t>
      </w:r>
      <w:r w:rsidR="00F817E3">
        <w:rPr>
          <w:rFonts w:ascii="Times" w:hAnsi="Times"/>
          <w:iCs w:val="0"/>
          <w:sz w:val="18"/>
          <w:szCs w:val="18"/>
        </w:rPr>
        <w:t>,</w:t>
      </w:r>
      <w:r w:rsidR="00FA4026" w:rsidRPr="00734358">
        <w:rPr>
          <w:rFonts w:ascii="Times" w:hAnsi="Times"/>
          <w:iCs w:val="0"/>
          <w:sz w:val="18"/>
          <w:szCs w:val="18"/>
        </w:rPr>
        <w:t xml:space="preserve"> </w:t>
      </w:r>
      <w:r w:rsidR="0062591E" w:rsidRPr="00734358">
        <w:rPr>
          <w:rFonts w:ascii="Times" w:hAnsi="Times"/>
          <w:iCs w:val="0"/>
          <w:sz w:val="18"/>
          <w:szCs w:val="18"/>
        </w:rPr>
        <w:t xml:space="preserve">which are not </w:t>
      </w:r>
      <w:r w:rsidR="00FA4026" w:rsidRPr="00734358">
        <w:rPr>
          <w:rFonts w:ascii="Times" w:hAnsi="Times"/>
          <w:iCs w:val="0"/>
          <w:sz w:val="18"/>
          <w:szCs w:val="18"/>
        </w:rPr>
        <w:t xml:space="preserve">effectivity </w:t>
      </w:r>
      <w:r w:rsidR="0062591E" w:rsidRPr="00734358">
        <w:rPr>
          <w:rFonts w:ascii="Times" w:hAnsi="Times"/>
          <w:iCs w:val="0"/>
          <w:sz w:val="18"/>
          <w:szCs w:val="18"/>
        </w:rPr>
        <w:t xml:space="preserve">captured by the bulk sediment </w:t>
      </w:r>
      <w:r w:rsidR="0062591E" w:rsidRPr="00734358">
        <w:rPr>
          <w:rFonts w:ascii="Times" w:hAnsi="Times" w:cs="Times"/>
          <w:sz w:val="18"/>
          <w:szCs w:val="18"/>
        </w:rPr>
        <w:t>ε</w:t>
      </w:r>
      <w:r w:rsidR="0062591E" w:rsidRPr="00734358">
        <w:rPr>
          <w:rFonts w:ascii="Times" w:hAnsi="Times" w:cs="Times"/>
          <w:sz w:val="18"/>
          <w:szCs w:val="18"/>
          <w:vertAlign w:val="subscript"/>
        </w:rPr>
        <w:t>Nd</w:t>
      </w:r>
      <w:r w:rsidR="0062591E" w:rsidRPr="00734358">
        <w:rPr>
          <w:rFonts w:ascii="Times" w:hAnsi="Times" w:cs="Times"/>
          <w:sz w:val="18"/>
          <w:szCs w:val="18"/>
        </w:rPr>
        <w:t xml:space="preserve"> source. </w:t>
      </w:r>
    </w:p>
    <w:p w14:paraId="6CDF2A09" w14:textId="76D5EC78" w:rsidR="005C6A18" w:rsidRDefault="005C6A18" w:rsidP="005C6A18">
      <w:pPr>
        <w:pStyle w:val="Heading1"/>
      </w:pPr>
    </w:p>
    <w:p w14:paraId="07DDA657" w14:textId="5D431D10" w:rsidR="0062591E" w:rsidRDefault="0062591E" w:rsidP="0062591E"/>
    <w:p w14:paraId="72BED743" w14:textId="77777777" w:rsidR="0062591E" w:rsidRPr="0062591E" w:rsidRDefault="0062591E" w:rsidP="0062591E"/>
    <w:p w14:paraId="5F33169B" w14:textId="45F728A0" w:rsidR="00FA4026" w:rsidRDefault="00FA4026" w:rsidP="005C6A18">
      <w:pPr>
        <w:pStyle w:val="Heading1"/>
      </w:pPr>
    </w:p>
    <w:p w14:paraId="35DE66AE" w14:textId="11D86A60" w:rsidR="00FA4026" w:rsidRDefault="00FA4026" w:rsidP="00FA4026"/>
    <w:p w14:paraId="36758F36" w14:textId="77777777" w:rsidR="007D4FEE" w:rsidRDefault="007D4FEE" w:rsidP="00FA4026"/>
    <w:p w14:paraId="6B7B0879" w14:textId="77777777" w:rsidR="00C035BE" w:rsidRPr="00FA4026" w:rsidRDefault="00C035BE" w:rsidP="00FA4026"/>
    <w:p w14:paraId="1F8F5321" w14:textId="473E131B" w:rsidR="005C6A18" w:rsidRPr="00734358" w:rsidRDefault="00C035BE" w:rsidP="0054334E">
      <w:pPr>
        <w:pStyle w:val="Caption"/>
      </w:pPr>
      <w:r w:rsidRPr="00734358">
        <w:lastRenderedPageBreak/>
        <w:t>Table S</w:t>
      </w:r>
      <w:r w:rsidR="006F4131">
        <w:t>3</w:t>
      </w:r>
      <w:r w:rsidR="005C6A18" w:rsidRPr="00734358">
        <w:t xml:space="preserve">: Adjustments to </w:t>
      </w:r>
      <w:r w:rsidR="004B3EBD">
        <w:t xml:space="preserve">the </w:t>
      </w:r>
      <w:r w:rsidR="009867A8" w:rsidRPr="00734358">
        <w:t xml:space="preserve">seafloor </w:t>
      </w:r>
      <w:r w:rsidR="005C6A18" w:rsidRPr="00734358">
        <w:t>sediment ε</w:t>
      </w:r>
      <w:r w:rsidR="005C6A18" w:rsidRPr="00734358">
        <w:rPr>
          <w:vertAlign w:val="subscript"/>
        </w:rPr>
        <w:t>Nd</w:t>
      </w:r>
      <w:r w:rsidR="005C6A18" w:rsidRPr="00734358">
        <w:t xml:space="preserve"> </w:t>
      </w:r>
      <w:r w:rsidR="009867A8" w:rsidRPr="00734358">
        <w:t xml:space="preserve">distributions </w:t>
      </w:r>
      <w:r w:rsidR="005C6A18" w:rsidRPr="00734358">
        <w:t xml:space="preserve">used as a boundary condition for the </w:t>
      </w:r>
      <w:r w:rsidR="005C6A18" w:rsidRPr="00734358">
        <w:rPr>
          <w:i/>
        </w:rPr>
        <w:t xml:space="preserve">REF-SED2 </w:t>
      </w:r>
      <w:r w:rsidR="005C6A18" w:rsidRPr="00734358">
        <w:t xml:space="preserve">and </w:t>
      </w:r>
      <w:r w:rsidR="005C6A18" w:rsidRPr="00734358">
        <w:rPr>
          <w:i/>
        </w:rPr>
        <w:t>REF-SED3</w:t>
      </w:r>
      <w:r w:rsidR="005C6A18" w:rsidRPr="00734358">
        <w:t xml:space="preserve"> simulations (</w:t>
      </w:r>
      <w:r w:rsidR="0065490A" w:rsidRPr="00734358">
        <w:t>gridded maps shown in</w:t>
      </w:r>
      <w:r w:rsidR="005C6A18" w:rsidRPr="00734358">
        <w:t xml:space="preserve"> </w:t>
      </w:r>
      <w:r w:rsidR="0065490A" w:rsidRPr="00734358">
        <w:t>Supplementary Fig. S3</w:t>
      </w:r>
      <w:r w:rsidR="005C6A18" w:rsidRPr="00734358">
        <w:t xml:space="preserve">) compared to the seafloor-wide distributions produced by </w:t>
      </w:r>
      <w:r w:rsidR="0054334E" w:rsidRPr="00734358">
        <w:fldChar w:fldCharType="begin" w:fldLock="1"/>
      </w:r>
      <w:r w:rsidR="007E07E8" w:rsidRPr="00734358">
        <w:instrText>ADDIN CSL_CITATION {"citationItems":[{"id":"ITEM-1","itemData":{"DOI":"10.1016/j.chemgeo.2021.120119","ISSN":"00092541","abstract":"Understanding the role of sediment-water interactions in the oceanic cycling of neodymium (Nd) isotopes is essential for its reliable use as a modern and palaeoceanographic tracer of ocean circulation. However, the exact processes that control Nd cycling in the ocean are poorly defined and require an up-to-date knowledge of the sources, sinks and transformation of this tracer to and within the ocean (e.g. as per the GEOTRACES core mission). We propose a considerable improvement of Nd-source identification by providing an extensive and up-to-date compilation of published terrestrial and marine sedimentary Nd isotopic measurements. From this database, we construct high resolution, gridded, global maps that characterise the Nd-isotopic signature of the continental margins and seafloor sediment. Here, we present the database, interpolation methods, and final data products. Consistent with the previous studies that inform our compilation, our global results show unradiogenic detrital Nd isotopic values (εNd ≈ -20) in the North Atlantic, εNd values of ≈ -12 to -7 in the Indian and Southern Ocean, and radiogenic values (εNd ≈ -3 to +4) in the Pacific. The new, high-resolution interpolation is useful for improving conceptual knowledge of Nd sources and sinks and enables the application of isotope-enabled ocean models to understand targeted Nd behaviour in the oceans. Such applications may include: examining the strength and distribution of a possible benthic flux required to reconcile global Nd budgets, establishing the potential use of Nd isotopes as a kinematic tracer of ocean circulation, and a general quantification of the non-conservative sedimentary processes that may contribute to marine Nd cycling.","author":[{"dropping-particle":"","family":"Robinson","given":"Suzanne","non-dropping-particle":"","parse-names":false,"suffix":""},{"dropping-particle":"","family":"Ivanovic","given":"Ruza","non-dropping-particle":"","parse-names":false,"suffix":""},{"dropping-particle":"","family":"Flierdt","given":"Tina","non-dropping-particle":"van de","parse-names":false,"suffix":""},{"dropping-particle":"","family":"Blanchet","given":"Cécile L.","non-dropping-particle":"","parse-names":false,"suffix":""},{"dropping-particle":"","family":"Tachikawa","given":"Kazuyo","non-dropping-particle":"","parse-names":false,"suffix":""},{"dropping-particle":"","family":"Martin","given":"Ellen E.","non-dropping-particle":"","parse-names":false,"suffix":""},{"dropping-particle":"","family":"Cook","given":"Carys P.","non-dropping-particle":"","parse-names":false,"suffix":""},{"dropping-particle":"","family":"Williams","given":"Trevor","non-dropping-particle":"","parse-names":false,"suffix":""},{"dropping-particle":"","family":"Gregoire","given":"Lauren","non-dropping-particle":"","parse-names":false,"suffix":""},{"dropping-particle":"","family":"Plancherel","given":"Yves","non-dropping-particle":"","parse-names":false,"suffix":""},{"dropping-particle":"","family":"Jeandel","given":"Catherine","non-dropping-particle":"","parse-names":false,"suffix":""},{"dropping-particle":"","family":"Arsouze","given":"Thomas","non-dropping-particle":"","parse-names":false,"suffix":""}],"container-title":"Chemical Geology","id":"ITEM-1","issued":{"date-parts":[["2021","4","20"]]},"page":"120119","publisher":"Elsevier","title":"Global continental and marine detrital εNd: An updated compilation for use in understanding marine Nd cycling","type":"article-journal","volume":"567"},"uris":["http://www.mendeley.com/documents/?uuid=3b19c854-6586-3606-be07-fd8e457c5320"]}],"mendeley":{"formattedCitation":"(Robinson et al., 2021)","manualFormatting":"Robinson et al. (2021)","plainTextFormattedCitation":"(Robinson et al., 2021)","previouslyFormattedCitation":"(Robinson et al., 2021)"},"properties":{"noteIndex":0},"schema":"https://github.com/citation-style-language/schema/raw/master/csl-citation.json"}</w:instrText>
      </w:r>
      <w:r w:rsidR="0054334E" w:rsidRPr="00734358">
        <w:fldChar w:fldCharType="separate"/>
      </w:r>
      <w:r w:rsidR="0054334E" w:rsidRPr="00734358">
        <w:rPr>
          <w:noProof/>
        </w:rPr>
        <w:t>Robinson et al. (2021)</w:t>
      </w:r>
      <w:r w:rsidR="0054334E" w:rsidRPr="00734358">
        <w:fldChar w:fldCharType="end"/>
      </w:r>
      <w:r w:rsidR="0054334E" w:rsidRPr="00734358">
        <w:t xml:space="preserve"> </w:t>
      </w:r>
      <w:r w:rsidR="005C6A18" w:rsidRPr="00734358">
        <w:t xml:space="preserve">and used by Robinson et al. (submitted) and the </w:t>
      </w:r>
      <w:r w:rsidR="005C6A18" w:rsidRPr="00734358">
        <w:rPr>
          <w:i/>
        </w:rPr>
        <w:t>REF</w:t>
      </w:r>
      <w:r w:rsidR="005C6A18" w:rsidRPr="00734358">
        <w:t xml:space="preserve"> simulation in this study. Bounding longitude and latitude coordinates are given for the modified regions. The </w:t>
      </w:r>
      <w:r w:rsidR="00E43094">
        <w:t xml:space="preserve">imposed </w:t>
      </w:r>
      <w:r w:rsidR="005C6A18" w:rsidRPr="00734358">
        <w:rPr>
          <w:rFonts w:cs="Times"/>
        </w:rPr>
        <w:t>ε</w:t>
      </w:r>
      <w:r w:rsidR="005C6A18" w:rsidRPr="00734358">
        <w:rPr>
          <w:rFonts w:cs="Times"/>
          <w:vertAlign w:val="subscript"/>
        </w:rPr>
        <w:t>Nd</w:t>
      </w:r>
      <w:r w:rsidR="005C6A18" w:rsidRPr="00734358">
        <w:rPr>
          <w:rFonts w:cs="Times"/>
        </w:rPr>
        <w:t xml:space="preserve"> </w:t>
      </w:r>
      <w:r w:rsidR="00E43094">
        <w:rPr>
          <w:rFonts w:cs="Times"/>
        </w:rPr>
        <w:t>thresholds</w:t>
      </w:r>
      <w:r w:rsidR="00E43094" w:rsidRPr="00734358">
        <w:rPr>
          <w:rFonts w:cs="Times"/>
        </w:rPr>
        <w:t xml:space="preserve"> </w:t>
      </w:r>
      <w:r w:rsidR="005C6A18" w:rsidRPr="00734358">
        <w:rPr>
          <w:rFonts w:cs="Times"/>
        </w:rPr>
        <w:t xml:space="preserve">applied to the </w:t>
      </w:r>
      <w:r w:rsidR="005C6A18" w:rsidRPr="00734358">
        <w:rPr>
          <w:rFonts w:cs="Times"/>
          <w:i/>
        </w:rPr>
        <w:t>REF</w:t>
      </w:r>
      <w:r w:rsidR="004B3EBD">
        <w:rPr>
          <w:rFonts w:cs="Times"/>
          <w:i/>
        </w:rPr>
        <w:noBreakHyphen/>
      </w:r>
      <w:r w:rsidR="005C6A18" w:rsidRPr="00734358">
        <w:rPr>
          <w:rFonts w:cs="Times"/>
          <w:i/>
        </w:rPr>
        <w:t>SED2</w:t>
      </w:r>
      <w:r w:rsidR="005C6A18" w:rsidRPr="00734358">
        <w:rPr>
          <w:rFonts w:cs="Times"/>
        </w:rPr>
        <w:t xml:space="preserve"> and </w:t>
      </w:r>
      <w:r w:rsidR="005C6A18" w:rsidRPr="00734358">
        <w:rPr>
          <w:rFonts w:cs="Times"/>
          <w:i/>
        </w:rPr>
        <w:t>REF-SED3</w:t>
      </w:r>
      <w:r w:rsidR="005C6A18" w:rsidRPr="00734358">
        <w:rPr>
          <w:rFonts w:cs="Times"/>
        </w:rPr>
        <w:t xml:space="preserve"> </w:t>
      </w:r>
      <w:r w:rsidR="00E43094">
        <w:rPr>
          <w:rFonts w:cs="Times"/>
        </w:rPr>
        <w:t>seafloor source</w:t>
      </w:r>
      <w:r w:rsidR="00E43094" w:rsidRPr="00734358">
        <w:rPr>
          <w:rFonts w:cs="Times"/>
        </w:rPr>
        <w:t xml:space="preserve"> </w:t>
      </w:r>
      <w:r w:rsidR="005C6A18" w:rsidRPr="00734358">
        <w:rPr>
          <w:rFonts w:cs="Times"/>
        </w:rPr>
        <w:t xml:space="preserve">are based on information in the cited texts, as explained in </w:t>
      </w:r>
      <w:r w:rsidR="0054334E" w:rsidRPr="00734358">
        <w:rPr>
          <w:rFonts w:cs="Times"/>
        </w:rPr>
        <w:t>Supplementary</w:t>
      </w:r>
      <w:r w:rsidR="0060559E">
        <w:rPr>
          <w:rFonts w:cs="Times"/>
        </w:rPr>
        <w:t> </w:t>
      </w:r>
      <w:r w:rsidR="0054334E" w:rsidRPr="00734358">
        <w:rPr>
          <w:rFonts w:cs="Times"/>
        </w:rPr>
        <w:t>Text</w:t>
      </w:r>
      <w:r w:rsidR="0060559E">
        <w:rPr>
          <w:rFonts w:cs="Times"/>
        </w:rPr>
        <w:t> </w:t>
      </w:r>
      <w:r w:rsidR="0054334E" w:rsidRPr="00734358">
        <w:rPr>
          <w:rFonts w:cs="Times"/>
        </w:rPr>
        <w:t>S1</w:t>
      </w:r>
      <w:r w:rsidR="005C6A18" w:rsidRPr="00734358">
        <w:rPr>
          <w:rFonts w:cs="Times"/>
        </w:rPr>
        <w:t>.</w:t>
      </w:r>
      <w:r w:rsidR="005C6A18" w:rsidRPr="00734358">
        <w:t xml:space="preserve"> </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3251"/>
        <w:gridCol w:w="710"/>
        <w:gridCol w:w="739"/>
        <w:gridCol w:w="739"/>
        <w:gridCol w:w="765"/>
        <w:gridCol w:w="1408"/>
        <w:gridCol w:w="1408"/>
      </w:tblGrid>
      <w:tr w:rsidR="00541184" w:rsidRPr="004625EA" w14:paraId="54D38929" w14:textId="77777777" w:rsidTr="007E32D3">
        <w:trPr>
          <w:trHeight w:val="320"/>
        </w:trPr>
        <w:tc>
          <w:tcPr>
            <w:tcW w:w="0" w:type="auto"/>
            <w:tcBorders>
              <w:top w:val="single" w:sz="4" w:space="0" w:color="auto"/>
              <w:bottom w:val="single" w:sz="4" w:space="0" w:color="auto"/>
            </w:tcBorders>
            <w:hideMark/>
          </w:tcPr>
          <w:p w14:paraId="5874D6E1" w14:textId="77777777" w:rsidR="00541184" w:rsidRPr="00734358" w:rsidRDefault="00541184" w:rsidP="00553AA4">
            <w:pPr>
              <w:jc w:val="left"/>
              <w:rPr>
                <w:rFonts w:ascii="Times" w:hAnsi="Times" w:cstheme="minorHAnsi"/>
                <w:b/>
                <w:bCs/>
                <w:sz w:val="18"/>
                <w:szCs w:val="18"/>
                <w:lang w:eastAsia="en-US"/>
              </w:rPr>
            </w:pPr>
            <w:r w:rsidRPr="00734358">
              <w:rPr>
                <w:rFonts w:ascii="Times" w:hAnsi="Times" w:cstheme="minorHAnsi"/>
                <w:b/>
                <w:bCs/>
                <w:sz w:val="18"/>
                <w:szCs w:val="18"/>
                <w:lang w:eastAsia="en-US"/>
              </w:rPr>
              <w:t>Region</w:t>
            </w:r>
          </w:p>
        </w:tc>
        <w:tc>
          <w:tcPr>
            <w:tcW w:w="0" w:type="auto"/>
            <w:tcBorders>
              <w:top w:val="single" w:sz="4" w:space="0" w:color="auto"/>
              <w:bottom w:val="single" w:sz="4" w:space="0" w:color="auto"/>
            </w:tcBorders>
            <w:hideMark/>
          </w:tcPr>
          <w:p w14:paraId="156450EE" w14:textId="77777777" w:rsidR="00541184" w:rsidRPr="00734358" w:rsidRDefault="00541184" w:rsidP="00553AA4">
            <w:pPr>
              <w:jc w:val="left"/>
              <w:rPr>
                <w:rFonts w:ascii="Times" w:hAnsi="Times" w:cstheme="minorHAnsi"/>
                <w:b/>
                <w:bCs/>
                <w:sz w:val="18"/>
                <w:szCs w:val="18"/>
                <w:lang w:eastAsia="en-US"/>
              </w:rPr>
            </w:pPr>
            <w:r w:rsidRPr="00734358">
              <w:rPr>
                <w:rFonts w:ascii="Times" w:hAnsi="Times" w:cstheme="minorHAnsi"/>
                <w:b/>
                <w:bCs/>
                <w:sz w:val="18"/>
                <w:szCs w:val="18"/>
                <w:lang w:eastAsia="en-US"/>
              </w:rPr>
              <w:t>Lat min</w:t>
            </w:r>
          </w:p>
        </w:tc>
        <w:tc>
          <w:tcPr>
            <w:tcW w:w="0" w:type="auto"/>
            <w:tcBorders>
              <w:top w:val="single" w:sz="4" w:space="0" w:color="auto"/>
              <w:bottom w:val="single" w:sz="4" w:space="0" w:color="auto"/>
            </w:tcBorders>
            <w:hideMark/>
          </w:tcPr>
          <w:p w14:paraId="4481701C" w14:textId="77777777" w:rsidR="00541184" w:rsidRPr="00734358" w:rsidRDefault="00541184" w:rsidP="00553AA4">
            <w:pPr>
              <w:jc w:val="left"/>
              <w:rPr>
                <w:rFonts w:ascii="Times" w:hAnsi="Times" w:cstheme="minorHAnsi"/>
                <w:b/>
                <w:bCs/>
                <w:sz w:val="18"/>
                <w:szCs w:val="18"/>
                <w:lang w:eastAsia="en-US"/>
              </w:rPr>
            </w:pPr>
            <w:r w:rsidRPr="00734358">
              <w:rPr>
                <w:rFonts w:ascii="Times" w:hAnsi="Times" w:cstheme="minorHAnsi"/>
                <w:b/>
                <w:bCs/>
                <w:sz w:val="18"/>
                <w:szCs w:val="18"/>
                <w:lang w:eastAsia="en-US"/>
              </w:rPr>
              <w:t>Lat max</w:t>
            </w:r>
          </w:p>
        </w:tc>
        <w:tc>
          <w:tcPr>
            <w:tcW w:w="0" w:type="auto"/>
            <w:tcBorders>
              <w:top w:val="single" w:sz="4" w:space="0" w:color="auto"/>
              <w:bottom w:val="single" w:sz="4" w:space="0" w:color="auto"/>
            </w:tcBorders>
            <w:hideMark/>
          </w:tcPr>
          <w:p w14:paraId="34B6BE1C" w14:textId="77777777" w:rsidR="00541184" w:rsidRPr="00734358" w:rsidRDefault="00541184" w:rsidP="00553AA4">
            <w:pPr>
              <w:jc w:val="left"/>
              <w:rPr>
                <w:rFonts w:ascii="Times" w:hAnsi="Times" w:cstheme="minorHAnsi"/>
                <w:b/>
                <w:bCs/>
                <w:sz w:val="18"/>
                <w:szCs w:val="18"/>
                <w:lang w:eastAsia="en-US"/>
              </w:rPr>
            </w:pPr>
            <w:r w:rsidRPr="00734358">
              <w:rPr>
                <w:rFonts w:ascii="Times" w:hAnsi="Times" w:cstheme="minorHAnsi"/>
                <w:b/>
                <w:bCs/>
                <w:sz w:val="18"/>
                <w:szCs w:val="18"/>
                <w:lang w:eastAsia="en-US"/>
              </w:rPr>
              <w:t>Lon min</w:t>
            </w:r>
          </w:p>
        </w:tc>
        <w:tc>
          <w:tcPr>
            <w:tcW w:w="0" w:type="auto"/>
            <w:tcBorders>
              <w:top w:val="single" w:sz="4" w:space="0" w:color="auto"/>
              <w:bottom w:val="single" w:sz="4" w:space="0" w:color="auto"/>
            </w:tcBorders>
            <w:hideMark/>
          </w:tcPr>
          <w:p w14:paraId="61A80D24" w14:textId="77777777" w:rsidR="00541184" w:rsidRPr="00734358" w:rsidRDefault="00541184" w:rsidP="00553AA4">
            <w:pPr>
              <w:jc w:val="left"/>
              <w:rPr>
                <w:rFonts w:ascii="Times" w:hAnsi="Times" w:cstheme="minorHAnsi"/>
                <w:b/>
                <w:bCs/>
                <w:sz w:val="18"/>
                <w:szCs w:val="18"/>
                <w:lang w:eastAsia="en-US"/>
              </w:rPr>
            </w:pPr>
            <w:r w:rsidRPr="00734358">
              <w:rPr>
                <w:rFonts w:ascii="Times" w:hAnsi="Times" w:cstheme="minorHAnsi"/>
                <w:b/>
                <w:bCs/>
                <w:sz w:val="18"/>
                <w:szCs w:val="18"/>
                <w:lang w:eastAsia="en-US"/>
              </w:rPr>
              <w:t>Lon max</w:t>
            </w:r>
          </w:p>
        </w:tc>
        <w:tc>
          <w:tcPr>
            <w:tcW w:w="0" w:type="auto"/>
            <w:tcBorders>
              <w:top w:val="single" w:sz="4" w:space="0" w:color="auto"/>
              <w:bottom w:val="single" w:sz="4" w:space="0" w:color="auto"/>
            </w:tcBorders>
            <w:hideMark/>
          </w:tcPr>
          <w:p w14:paraId="070CF72C" w14:textId="77777777" w:rsidR="00541184" w:rsidRPr="00734358" w:rsidRDefault="00541184" w:rsidP="00553AA4">
            <w:pPr>
              <w:jc w:val="left"/>
              <w:rPr>
                <w:rFonts w:ascii="Times" w:hAnsi="Times" w:cstheme="minorHAnsi"/>
                <w:b/>
                <w:bCs/>
                <w:sz w:val="18"/>
                <w:szCs w:val="18"/>
                <w:lang w:eastAsia="en-US"/>
              </w:rPr>
            </w:pPr>
            <w:r w:rsidRPr="00734358">
              <w:rPr>
                <w:rFonts w:ascii="Times" w:hAnsi="Times" w:cstheme="minorHAnsi"/>
                <w:b/>
                <w:bCs/>
                <w:sz w:val="18"/>
                <w:szCs w:val="18"/>
                <w:lang w:eastAsia="en-US"/>
              </w:rPr>
              <w:t xml:space="preserve">SED2 </w:t>
            </w:r>
            <w:r w:rsidRPr="00734358">
              <w:rPr>
                <w:rFonts w:ascii="Times" w:hAnsi="Times"/>
                <w:b/>
                <w:bCs/>
                <w:sz w:val="18"/>
                <w:szCs w:val="18"/>
              </w:rPr>
              <w:t>ε</w:t>
            </w:r>
            <w:r w:rsidRPr="00734358">
              <w:rPr>
                <w:rFonts w:ascii="Times" w:hAnsi="Times"/>
                <w:b/>
                <w:bCs/>
                <w:sz w:val="18"/>
                <w:szCs w:val="18"/>
                <w:vertAlign w:val="subscript"/>
              </w:rPr>
              <w:t>Nd</w:t>
            </w:r>
            <w:r w:rsidRPr="00734358">
              <w:rPr>
                <w:rFonts w:ascii="Times" w:hAnsi="Times"/>
                <w:b/>
                <w:bCs/>
                <w:sz w:val="18"/>
                <w:szCs w:val="18"/>
              </w:rPr>
              <w:t xml:space="preserve"> threshold</w:t>
            </w:r>
          </w:p>
        </w:tc>
        <w:tc>
          <w:tcPr>
            <w:tcW w:w="0" w:type="auto"/>
            <w:tcBorders>
              <w:top w:val="single" w:sz="4" w:space="0" w:color="auto"/>
              <w:bottom w:val="single" w:sz="4" w:space="0" w:color="auto"/>
            </w:tcBorders>
            <w:hideMark/>
          </w:tcPr>
          <w:p w14:paraId="17730557" w14:textId="77777777" w:rsidR="00541184" w:rsidRPr="00734358" w:rsidRDefault="00541184" w:rsidP="00553AA4">
            <w:pPr>
              <w:jc w:val="left"/>
              <w:rPr>
                <w:rFonts w:ascii="Times" w:hAnsi="Times" w:cstheme="minorHAnsi"/>
                <w:b/>
                <w:bCs/>
                <w:sz w:val="18"/>
                <w:szCs w:val="18"/>
                <w:lang w:eastAsia="en-US"/>
              </w:rPr>
            </w:pPr>
            <w:r w:rsidRPr="00734358">
              <w:rPr>
                <w:rFonts w:ascii="Times" w:hAnsi="Times" w:cstheme="minorHAnsi"/>
                <w:b/>
                <w:bCs/>
                <w:sz w:val="18"/>
                <w:szCs w:val="18"/>
                <w:lang w:eastAsia="en-US"/>
              </w:rPr>
              <w:t xml:space="preserve">SED3 </w:t>
            </w:r>
            <w:r w:rsidRPr="00734358">
              <w:rPr>
                <w:rFonts w:ascii="Times" w:hAnsi="Times"/>
                <w:b/>
                <w:bCs/>
                <w:sz w:val="18"/>
                <w:szCs w:val="18"/>
              </w:rPr>
              <w:t>ε</w:t>
            </w:r>
            <w:r w:rsidRPr="00734358">
              <w:rPr>
                <w:rFonts w:ascii="Times" w:hAnsi="Times"/>
                <w:b/>
                <w:bCs/>
                <w:sz w:val="18"/>
                <w:szCs w:val="18"/>
                <w:vertAlign w:val="subscript"/>
              </w:rPr>
              <w:t>Nd</w:t>
            </w:r>
            <w:r w:rsidRPr="00734358">
              <w:rPr>
                <w:rFonts w:ascii="Times" w:hAnsi="Times"/>
                <w:b/>
                <w:bCs/>
                <w:sz w:val="18"/>
                <w:szCs w:val="18"/>
              </w:rPr>
              <w:t xml:space="preserve"> threshold</w:t>
            </w:r>
          </w:p>
        </w:tc>
      </w:tr>
      <w:tr w:rsidR="00541184" w:rsidRPr="004625EA" w14:paraId="4EF66CDC" w14:textId="77777777" w:rsidTr="007E32D3">
        <w:trPr>
          <w:trHeight w:val="320"/>
        </w:trPr>
        <w:tc>
          <w:tcPr>
            <w:tcW w:w="0" w:type="auto"/>
            <w:tcBorders>
              <w:top w:val="single" w:sz="4" w:space="0" w:color="auto"/>
            </w:tcBorders>
            <w:hideMark/>
          </w:tcPr>
          <w:p w14:paraId="5241D8DD"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Background Pacific</w:t>
            </w:r>
          </w:p>
        </w:tc>
        <w:tc>
          <w:tcPr>
            <w:tcW w:w="0" w:type="auto"/>
            <w:tcBorders>
              <w:top w:val="single" w:sz="4" w:space="0" w:color="auto"/>
            </w:tcBorders>
            <w:hideMark/>
          </w:tcPr>
          <w:p w14:paraId="43297080"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 xml:space="preserve">-40 </w:t>
            </w:r>
          </w:p>
        </w:tc>
        <w:tc>
          <w:tcPr>
            <w:tcW w:w="0" w:type="auto"/>
            <w:tcBorders>
              <w:top w:val="single" w:sz="4" w:space="0" w:color="auto"/>
            </w:tcBorders>
            <w:hideMark/>
          </w:tcPr>
          <w:p w14:paraId="27CDACA7"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70</w:t>
            </w:r>
          </w:p>
        </w:tc>
        <w:tc>
          <w:tcPr>
            <w:tcW w:w="0" w:type="auto"/>
            <w:tcBorders>
              <w:top w:val="single" w:sz="4" w:space="0" w:color="auto"/>
            </w:tcBorders>
            <w:hideMark/>
          </w:tcPr>
          <w:p w14:paraId="18654774"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117</w:t>
            </w:r>
          </w:p>
        </w:tc>
        <w:tc>
          <w:tcPr>
            <w:tcW w:w="0" w:type="auto"/>
            <w:tcBorders>
              <w:top w:val="single" w:sz="4" w:space="0" w:color="auto"/>
            </w:tcBorders>
            <w:hideMark/>
          </w:tcPr>
          <w:p w14:paraId="0072FD3E"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260</w:t>
            </w:r>
          </w:p>
        </w:tc>
        <w:tc>
          <w:tcPr>
            <w:tcW w:w="0" w:type="auto"/>
            <w:tcBorders>
              <w:top w:val="single" w:sz="4" w:space="0" w:color="auto"/>
            </w:tcBorders>
            <w:hideMark/>
          </w:tcPr>
          <w:p w14:paraId="5669EDAB"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&lt;-5</w:t>
            </w:r>
          </w:p>
        </w:tc>
        <w:tc>
          <w:tcPr>
            <w:tcW w:w="0" w:type="auto"/>
            <w:tcBorders>
              <w:top w:val="single" w:sz="4" w:space="0" w:color="auto"/>
            </w:tcBorders>
            <w:hideMark/>
          </w:tcPr>
          <w:p w14:paraId="38CF912A"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&lt;-4</w:t>
            </w:r>
          </w:p>
        </w:tc>
      </w:tr>
      <w:tr w:rsidR="00541184" w:rsidRPr="004625EA" w14:paraId="0EFEEE11" w14:textId="77777777" w:rsidTr="007E32D3">
        <w:trPr>
          <w:trHeight w:val="320"/>
        </w:trPr>
        <w:tc>
          <w:tcPr>
            <w:tcW w:w="0" w:type="auto"/>
            <w:hideMark/>
          </w:tcPr>
          <w:p w14:paraId="5EBB0ECF" w14:textId="180E221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Western Equatorial Pacific and northwest subtropical Pacific</w:t>
            </w:r>
          </w:p>
        </w:tc>
        <w:tc>
          <w:tcPr>
            <w:tcW w:w="0" w:type="auto"/>
            <w:hideMark/>
          </w:tcPr>
          <w:p w14:paraId="493401B3"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-5</w:t>
            </w:r>
          </w:p>
        </w:tc>
        <w:tc>
          <w:tcPr>
            <w:tcW w:w="0" w:type="auto"/>
            <w:hideMark/>
          </w:tcPr>
          <w:p w14:paraId="6B321C72"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30</w:t>
            </w:r>
          </w:p>
        </w:tc>
        <w:tc>
          <w:tcPr>
            <w:tcW w:w="0" w:type="auto"/>
            <w:hideMark/>
          </w:tcPr>
          <w:p w14:paraId="7C7A3B3E"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100</w:t>
            </w:r>
          </w:p>
        </w:tc>
        <w:tc>
          <w:tcPr>
            <w:tcW w:w="0" w:type="auto"/>
            <w:hideMark/>
          </w:tcPr>
          <w:p w14:paraId="783FC736"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130</w:t>
            </w:r>
          </w:p>
        </w:tc>
        <w:tc>
          <w:tcPr>
            <w:tcW w:w="0" w:type="auto"/>
            <w:hideMark/>
          </w:tcPr>
          <w:p w14:paraId="41CA4F0A" w14:textId="57162285"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&lt;+4</w:t>
            </w:r>
          </w:p>
        </w:tc>
        <w:tc>
          <w:tcPr>
            <w:tcW w:w="0" w:type="auto"/>
            <w:hideMark/>
          </w:tcPr>
          <w:p w14:paraId="0947062E" w14:textId="57B3EE14"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&lt;+4</w:t>
            </w:r>
          </w:p>
        </w:tc>
      </w:tr>
      <w:tr w:rsidR="00541184" w:rsidRPr="004625EA" w14:paraId="15535D44" w14:textId="77777777" w:rsidTr="007E32D3">
        <w:trPr>
          <w:trHeight w:val="320"/>
        </w:trPr>
        <w:tc>
          <w:tcPr>
            <w:tcW w:w="0" w:type="auto"/>
            <w:hideMark/>
          </w:tcPr>
          <w:p w14:paraId="64FFB0EE"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Oceania</w:t>
            </w:r>
          </w:p>
        </w:tc>
        <w:tc>
          <w:tcPr>
            <w:tcW w:w="0" w:type="auto"/>
            <w:hideMark/>
          </w:tcPr>
          <w:p w14:paraId="4033817D"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-15</w:t>
            </w:r>
          </w:p>
        </w:tc>
        <w:tc>
          <w:tcPr>
            <w:tcW w:w="0" w:type="auto"/>
            <w:hideMark/>
          </w:tcPr>
          <w:p w14:paraId="12FB68E3"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10</w:t>
            </w:r>
          </w:p>
        </w:tc>
        <w:tc>
          <w:tcPr>
            <w:tcW w:w="0" w:type="auto"/>
            <w:hideMark/>
          </w:tcPr>
          <w:p w14:paraId="51F38316"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130</w:t>
            </w:r>
          </w:p>
        </w:tc>
        <w:tc>
          <w:tcPr>
            <w:tcW w:w="0" w:type="auto"/>
            <w:hideMark/>
          </w:tcPr>
          <w:p w14:paraId="05F8CCCB"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165</w:t>
            </w:r>
          </w:p>
        </w:tc>
        <w:tc>
          <w:tcPr>
            <w:tcW w:w="0" w:type="auto"/>
            <w:hideMark/>
          </w:tcPr>
          <w:p w14:paraId="34D54D81" w14:textId="2CC16416"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&lt;+7</w:t>
            </w:r>
          </w:p>
        </w:tc>
        <w:tc>
          <w:tcPr>
            <w:tcW w:w="0" w:type="auto"/>
            <w:hideMark/>
          </w:tcPr>
          <w:p w14:paraId="760B2BD2" w14:textId="1075841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&lt;+8</w:t>
            </w:r>
          </w:p>
        </w:tc>
      </w:tr>
      <w:tr w:rsidR="00541184" w:rsidRPr="004625EA" w14:paraId="1B2CB14C" w14:textId="77777777" w:rsidTr="007E32D3">
        <w:trPr>
          <w:trHeight w:val="320"/>
        </w:trPr>
        <w:tc>
          <w:tcPr>
            <w:tcW w:w="0" w:type="auto"/>
            <w:hideMark/>
          </w:tcPr>
          <w:p w14:paraId="3A2DBD24" w14:textId="0924B8BD"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 xml:space="preserve">North-eastern Pacific </w:t>
            </w:r>
          </w:p>
        </w:tc>
        <w:tc>
          <w:tcPr>
            <w:tcW w:w="0" w:type="auto"/>
            <w:hideMark/>
          </w:tcPr>
          <w:p w14:paraId="07BDD3D7"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20</w:t>
            </w:r>
          </w:p>
        </w:tc>
        <w:tc>
          <w:tcPr>
            <w:tcW w:w="0" w:type="auto"/>
            <w:hideMark/>
          </w:tcPr>
          <w:p w14:paraId="187496B4"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50</w:t>
            </w:r>
          </w:p>
        </w:tc>
        <w:tc>
          <w:tcPr>
            <w:tcW w:w="0" w:type="auto"/>
            <w:hideMark/>
          </w:tcPr>
          <w:p w14:paraId="4BC648B0"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230</w:t>
            </w:r>
          </w:p>
        </w:tc>
        <w:tc>
          <w:tcPr>
            <w:tcW w:w="0" w:type="auto"/>
            <w:hideMark/>
          </w:tcPr>
          <w:p w14:paraId="10DF64DA"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260</w:t>
            </w:r>
          </w:p>
        </w:tc>
        <w:tc>
          <w:tcPr>
            <w:tcW w:w="0" w:type="auto"/>
            <w:hideMark/>
          </w:tcPr>
          <w:p w14:paraId="652CBBA9"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&lt;+1</w:t>
            </w:r>
          </w:p>
        </w:tc>
        <w:tc>
          <w:tcPr>
            <w:tcW w:w="0" w:type="auto"/>
            <w:hideMark/>
          </w:tcPr>
          <w:p w14:paraId="002832A4"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&lt;+1</w:t>
            </w:r>
          </w:p>
        </w:tc>
      </w:tr>
      <w:tr w:rsidR="00541184" w:rsidRPr="004625EA" w14:paraId="4714FF46" w14:textId="77777777" w:rsidTr="007E32D3">
        <w:trPr>
          <w:trHeight w:val="320"/>
        </w:trPr>
        <w:tc>
          <w:tcPr>
            <w:tcW w:w="0" w:type="auto"/>
            <w:hideMark/>
          </w:tcPr>
          <w:p w14:paraId="1C9A63CA"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Eastern Equatorial Pacific</w:t>
            </w:r>
          </w:p>
        </w:tc>
        <w:tc>
          <w:tcPr>
            <w:tcW w:w="0" w:type="auto"/>
            <w:hideMark/>
          </w:tcPr>
          <w:p w14:paraId="69F2F22E"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0</w:t>
            </w:r>
          </w:p>
        </w:tc>
        <w:tc>
          <w:tcPr>
            <w:tcW w:w="0" w:type="auto"/>
            <w:hideMark/>
          </w:tcPr>
          <w:p w14:paraId="2841B896"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20</w:t>
            </w:r>
          </w:p>
        </w:tc>
        <w:tc>
          <w:tcPr>
            <w:tcW w:w="0" w:type="auto"/>
            <w:hideMark/>
          </w:tcPr>
          <w:p w14:paraId="7C531F37"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245</w:t>
            </w:r>
          </w:p>
        </w:tc>
        <w:tc>
          <w:tcPr>
            <w:tcW w:w="0" w:type="auto"/>
            <w:hideMark/>
          </w:tcPr>
          <w:p w14:paraId="1BE1812F"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275</w:t>
            </w:r>
          </w:p>
        </w:tc>
        <w:tc>
          <w:tcPr>
            <w:tcW w:w="0" w:type="auto"/>
            <w:hideMark/>
          </w:tcPr>
          <w:p w14:paraId="3525B9D2"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&lt;+4</w:t>
            </w:r>
          </w:p>
        </w:tc>
        <w:tc>
          <w:tcPr>
            <w:tcW w:w="0" w:type="auto"/>
            <w:hideMark/>
          </w:tcPr>
          <w:p w14:paraId="03568DA7"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&lt;+10</w:t>
            </w:r>
          </w:p>
        </w:tc>
      </w:tr>
      <w:tr w:rsidR="00541184" w:rsidRPr="004625EA" w14:paraId="713663A0" w14:textId="77777777" w:rsidTr="007E32D3">
        <w:trPr>
          <w:trHeight w:val="320"/>
        </w:trPr>
        <w:tc>
          <w:tcPr>
            <w:tcW w:w="0" w:type="auto"/>
            <w:tcBorders>
              <w:bottom w:val="single" w:sz="4" w:space="0" w:color="auto"/>
            </w:tcBorders>
            <w:hideMark/>
          </w:tcPr>
          <w:p w14:paraId="0B91E8E4" w14:textId="23782025"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North-west North Atlantic</w:t>
            </w:r>
          </w:p>
        </w:tc>
        <w:tc>
          <w:tcPr>
            <w:tcW w:w="0" w:type="auto"/>
            <w:tcBorders>
              <w:bottom w:val="single" w:sz="4" w:space="0" w:color="auto"/>
            </w:tcBorders>
            <w:hideMark/>
          </w:tcPr>
          <w:p w14:paraId="77A018BD"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 xml:space="preserve">30 </w:t>
            </w:r>
          </w:p>
        </w:tc>
        <w:tc>
          <w:tcPr>
            <w:tcW w:w="0" w:type="auto"/>
            <w:tcBorders>
              <w:bottom w:val="single" w:sz="4" w:space="0" w:color="auto"/>
            </w:tcBorders>
            <w:hideMark/>
          </w:tcPr>
          <w:p w14:paraId="53E2076A"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75</w:t>
            </w:r>
          </w:p>
        </w:tc>
        <w:tc>
          <w:tcPr>
            <w:tcW w:w="0" w:type="auto"/>
            <w:tcBorders>
              <w:bottom w:val="single" w:sz="4" w:space="0" w:color="auto"/>
            </w:tcBorders>
            <w:hideMark/>
          </w:tcPr>
          <w:p w14:paraId="214357FC"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270</w:t>
            </w:r>
          </w:p>
        </w:tc>
        <w:tc>
          <w:tcPr>
            <w:tcW w:w="0" w:type="auto"/>
            <w:tcBorders>
              <w:bottom w:val="single" w:sz="4" w:space="0" w:color="auto"/>
            </w:tcBorders>
            <w:hideMark/>
          </w:tcPr>
          <w:p w14:paraId="2F93164B"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340</w:t>
            </w:r>
          </w:p>
        </w:tc>
        <w:tc>
          <w:tcPr>
            <w:tcW w:w="0" w:type="auto"/>
            <w:tcBorders>
              <w:bottom w:val="single" w:sz="4" w:space="0" w:color="auto"/>
            </w:tcBorders>
            <w:hideMark/>
          </w:tcPr>
          <w:p w14:paraId="38CB1A7B"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&gt;-28</w:t>
            </w:r>
          </w:p>
        </w:tc>
        <w:tc>
          <w:tcPr>
            <w:tcW w:w="0" w:type="auto"/>
            <w:tcBorders>
              <w:bottom w:val="single" w:sz="4" w:space="0" w:color="auto"/>
            </w:tcBorders>
            <w:hideMark/>
          </w:tcPr>
          <w:p w14:paraId="62C3B55A" w14:textId="77777777" w:rsidR="00541184" w:rsidRPr="00734358" w:rsidRDefault="00541184" w:rsidP="00553AA4">
            <w:pPr>
              <w:jc w:val="left"/>
              <w:rPr>
                <w:rFonts w:ascii="Times" w:hAnsi="Times" w:cstheme="minorHAnsi"/>
                <w:sz w:val="18"/>
                <w:szCs w:val="18"/>
                <w:lang w:eastAsia="en-US"/>
              </w:rPr>
            </w:pPr>
            <w:r w:rsidRPr="00734358">
              <w:rPr>
                <w:rFonts w:ascii="Times" w:hAnsi="Times" w:cstheme="minorHAnsi"/>
                <w:sz w:val="18"/>
                <w:szCs w:val="18"/>
                <w:lang w:eastAsia="en-US"/>
              </w:rPr>
              <w:t>&gt;-34</w:t>
            </w:r>
          </w:p>
        </w:tc>
      </w:tr>
    </w:tbl>
    <w:p w14:paraId="4E98F23A" w14:textId="2FBC4FA5" w:rsidR="005C6A18" w:rsidRPr="00EC507D" w:rsidRDefault="007D4FEE" w:rsidP="005C6A18">
      <w:pPr>
        <w:pStyle w:val="Heading1"/>
        <w:rPr>
          <w:rFonts w:ascii="Times" w:hAnsi="Times"/>
          <w:sz w:val="18"/>
          <w:szCs w:val="18"/>
        </w:rPr>
      </w:pPr>
      <w:r w:rsidRPr="00EC507D">
        <w:rPr>
          <w:rFonts w:ascii="Times" w:hAnsi="Times"/>
          <w:sz w:val="18"/>
          <w:szCs w:val="18"/>
        </w:rPr>
        <w:t>Text S1</w:t>
      </w:r>
      <w:r w:rsidR="005C6A18" w:rsidRPr="00EC507D">
        <w:rPr>
          <w:rFonts w:ascii="Times" w:hAnsi="Times"/>
          <w:sz w:val="18"/>
          <w:szCs w:val="18"/>
        </w:rPr>
        <w:t>: Choice of soluble</w:t>
      </w:r>
      <w:r w:rsidR="005C6A18" w:rsidRPr="00EC507D">
        <w:rPr>
          <w:rFonts w:ascii="Times" w:hAnsi="Times"/>
          <w:sz w:val="18"/>
          <w:szCs w:val="18"/>
          <w:lang w:eastAsia="en-US"/>
        </w:rPr>
        <w:t xml:space="preserve"> </w:t>
      </w:r>
      <w:r w:rsidR="005C6A18" w:rsidRPr="00EC507D">
        <w:rPr>
          <w:rFonts w:ascii="Times" w:hAnsi="Times"/>
          <w:sz w:val="18"/>
          <w:szCs w:val="18"/>
        </w:rPr>
        <w:t>ε</w:t>
      </w:r>
      <w:r w:rsidR="005C6A18" w:rsidRPr="00EC507D">
        <w:rPr>
          <w:rFonts w:ascii="Times" w:hAnsi="Times"/>
          <w:sz w:val="18"/>
          <w:szCs w:val="18"/>
          <w:vertAlign w:val="subscript"/>
        </w:rPr>
        <w:t>Nd</w:t>
      </w:r>
      <w:r w:rsidR="005C6A18" w:rsidRPr="00EC507D">
        <w:rPr>
          <w:rFonts w:ascii="Times" w:hAnsi="Times"/>
          <w:sz w:val="18"/>
          <w:szCs w:val="18"/>
          <w:lang w:eastAsia="en-US"/>
        </w:rPr>
        <w:t xml:space="preserve"> signals applied in the </w:t>
      </w:r>
      <w:r w:rsidR="005C6A18" w:rsidRPr="00EC507D">
        <w:rPr>
          <w:rFonts w:ascii="Times" w:hAnsi="Times"/>
          <w:i/>
          <w:iCs/>
          <w:sz w:val="18"/>
          <w:szCs w:val="18"/>
          <w:lang w:eastAsia="en-US"/>
        </w:rPr>
        <w:t>REF-SED2</w:t>
      </w:r>
      <w:r w:rsidR="005C6A18" w:rsidRPr="00EC507D">
        <w:rPr>
          <w:rFonts w:ascii="Times" w:hAnsi="Times"/>
          <w:sz w:val="18"/>
          <w:szCs w:val="18"/>
          <w:lang w:eastAsia="en-US"/>
        </w:rPr>
        <w:t xml:space="preserve"> and </w:t>
      </w:r>
      <w:r w:rsidR="005C6A18" w:rsidRPr="00EC507D">
        <w:rPr>
          <w:rFonts w:ascii="Times" w:hAnsi="Times"/>
          <w:i/>
          <w:iCs/>
          <w:sz w:val="18"/>
          <w:szCs w:val="18"/>
          <w:lang w:eastAsia="en-US"/>
        </w:rPr>
        <w:t>REF-SED3</w:t>
      </w:r>
      <w:r w:rsidR="005C6A18" w:rsidRPr="00EC507D">
        <w:rPr>
          <w:rFonts w:ascii="Times" w:hAnsi="Times"/>
          <w:sz w:val="18"/>
          <w:szCs w:val="18"/>
          <w:lang w:eastAsia="en-US"/>
        </w:rPr>
        <w:t xml:space="preserve"> sensitivity simulations</w:t>
      </w:r>
    </w:p>
    <w:p w14:paraId="391FACCD" w14:textId="77777777" w:rsidR="00786BF4" w:rsidRDefault="00786BF4" w:rsidP="007E07E8">
      <w:pPr>
        <w:rPr>
          <w:rFonts w:ascii="Times" w:hAnsi="Times"/>
          <w:sz w:val="18"/>
          <w:szCs w:val="18"/>
          <w:lang w:eastAsia="en-US"/>
        </w:rPr>
      </w:pPr>
      <w:r w:rsidRPr="00EC507D">
        <w:rPr>
          <w:rFonts w:ascii="Times" w:hAnsi="Times"/>
          <w:sz w:val="18"/>
          <w:szCs w:val="18"/>
          <w:lang w:eastAsia="en-US"/>
        </w:rPr>
        <w:t>Supplementary Table S</w:t>
      </w:r>
      <w:r>
        <w:rPr>
          <w:rFonts w:ascii="Times" w:hAnsi="Times"/>
          <w:sz w:val="18"/>
          <w:szCs w:val="18"/>
          <w:lang w:eastAsia="en-US"/>
        </w:rPr>
        <w:t xml:space="preserve">3 summaries the modifications we made to the seafloor </w:t>
      </w:r>
      <w:r>
        <w:rPr>
          <w:rFonts w:ascii="Times" w:hAnsi="Times" w:cs="Times"/>
          <w:sz w:val="18"/>
          <w:szCs w:val="18"/>
          <w:lang w:eastAsia="en-US"/>
        </w:rPr>
        <w:t>ε</w:t>
      </w:r>
      <w:r>
        <w:rPr>
          <w:rFonts w:ascii="Times" w:hAnsi="Times" w:cs="Times"/>
          <w:sz w:val="18"/>
          <w:szCs w:val="18"/>
          <w:vertAlign w:val="subscript"/>
          <w:lang w:eastAsia="en-US"/>
        </w:rPr>
        <w:t>Nd</w:t>
      </w:r>
      <w:r>
        <w:rPr>
          <w:rFonts w:ascii="Times" w:hAnsi="Times"/>
          <w:sz w:val="18"/>
          <w:szCs w:val="18"/>
          <w:lang w:eastAsia="en-US"/>
        </w:rPr>
        <w:t xml:space="preserve"> flux </w:t>
      </w:r>
      <w:r w:rsidRPr="00DD500E">
        <w:rPr>
          <w:sz w:val="18"/>
          <w:szCs w:val="18"/>
          <w:lang w:eastAsia="en-US"/>
        </w:rPr>
        <w:t xml:space="preserve">estimated by </w:t>
      </w:r>
      <w:r w:rsidRPr="00DD500E">
        <w:rPr>
          <w:sz w:val="18"/>
          <w:szCs w:val="18"/>
        </w:rPr>
        <w:fldChar w:fldCharType="begin" w:fldLock="1"/>
      </w:r>
      <w:r w:rsidRPr="00DD500E">
        <w:rPr>
          <w:sz w:val="18"/>
          <w:szCs w:val="18"/>
        </w:rPr>
        <w:instrText>ADDIN CSL_CITATION {"citationItems":[{"id":"ITEM-1","itemData":{"DOI":"10.1016/j.chemgeo.2021.120119","ISSN":"00092541","abstract":"Understanding the role of sediment-water interactions in the oceanic cycling of neodymium (Nd) isotopes is essential for its reliable use as a modern and palaeoceanographic tracer of ocean circulation. However, the exact processes that control Nd cycling in the ocean are poorly defined and require an up-to-date knowledge of the sources, sinks and transformation of this tracer to and within the ocean (e.g. as per the GEOTRACES core mission). We propose a considerable improvement of Nd-source identification by providing an extensive and up-to-date compilation of published terrestrial and marine sedimentary Nd isotopic measurements. From this database, we construct high resolution, gridded, global maps that characterise the Nd-isotopic signature of the continental margins and seafloor sediment. Here, we present the database, interpolation methods, and final data products. Consistent with the previous studies that inform our compilation, our global results show unradiogenic detrital Nd isotopic values (εNd ≈ -20) in the North Atlantic, εNd values of ≈ -12 to -7 in the Indian and Southern Ocean, and radiogenic values (εNd ≈ -3 to +4) in the Pacific. The new, high-resolution interpolation is useful for improving conceptual knowledge of Nd sources and sinks and enables the application of isotope-enabled ocean models to understand targeted Nd behaviour in the oceans. Such applications may include: examining the strength and distribution of a possible benthic flux required to reconcile global Nd budgets, establishing the potential use of Nd isotopes as a kinematic tracer of ocean circulation, and a general quantification of the non-conservative sedimentary processes that may contribute to marine Nd cycling.","author":[{"dropping-particle":"","family":"Robinson","given":"Suzanne","non-dropping-particle":"","parse-names":false,"suffix":""},{"dropping-particle":"","family":"Ivanovic","given":"Ruza","non-dropping-particle":"","parse-names":false,"suffix":""},{"dropping-particle":"","family":"Flierdt","given":"Tina","non-dropping-particle":"van de","parse-names":false,"suffix":""},{"dropping-particle":"","family":"Blanchet","given":"Cécile L.","non-dropping-particle":"","parse-names":false,"suffix":""},{"dropping-particle":"","family":"Tachikawa","given":"Kazuyo","non-dropping-particle":"","parse-names":false,"suffix":""},{"dropping-particle":"","family":"Martin","given":"Ellen E.","non-dropping-particle":"","parse-names":false,"suffix":""},{"dropping-particle":"","family":"Cook","given":"Carys P.","non-dropping-particle":"","parse-names":false,"suffix":""},{"dropping-particle":"","family":"Williams","given":"Trevor","non-dropping-particle":"","parse-names":false,"suffix":""},{"dropping-particle":"","family":"Gregoire","given":"Lauren","non-dropping-particle":"","parse-names":false,"suffix":""},{"dropping-particle":"","family":"Plancherel","given":"Yves","non-dropping-particle":"","parse-names":false,"suffix":""},{"dropping-particle":"","family":"Jeandel","given":"Catherine","non-dropping-particle":"","parse-names":false,"suffix":""},{"dropping-particle":"","family":"Arsouze","given":"Thomas","non-dropping-particle":"","parse-names":false,"suffix":""}],"container-title":"Chemical Geology","id":"ITEM-1","issued":{"date-parts":[["2021","4","20"]]},"page":"120119","publisher":"Elsevier","title":"Global continental and marine detrital εNd: An updated compilation for use in understanding marine Nd cycling","type":"article-journal","volume":"567"},"uris":["http://www.mendeley.com/documents/?uuid=3b19c854-6586-3606-be07-fd8e457c5320"]}],"mendeley":{"formattedCitation":"(Robinson et al., 2021)","manualFormatting":"Robinson et al. (2021)","plainTextFormattedCitation":"(Robinson et al., 2021)","previouslyFormattedCitation":"(Robinson et al., 2021)"},"properties":{"noteIndex":0},"schema":"https://github.com/citation-style-language/schema/raw/master/csl-citation.json"}</w:instrText>
      </w:r>
      <w:r w:rsidRPr="00DD500E">
        <w:rPr>
          <w:sz w:val="18"/>
          <w:szCs w:val="18"/>
        </w:rPr>
        <w:fldChar w:fldCharType="separate"/>
      </w:r>
      <w:r w:rsidRPr="00DD500E">
        <w:rPr>
          <w:noProof/>
          <w:sz w:val="18"/>
          <w:szCs w:val="18"/>
        </w:rPr>
        <w:t>Robinson et al. (2021)</w:t>
      </w:r>
      <w:r w:rsidRPr="00DD500E">
        <w:rPr>
          <w:sz w:val="18"/>
          <w:szCs w:val="18"/>
        </w:rPr>
        <w:fldChar w:fldCharType="end"/>
      </w:r>
      <w:r>
        <w:rPr>
          <w:sz w:val="18"/>
          <w:szCs w:val="18"/>
        </w:rPr>
        <w:t xml:space="preserve"> for the </w:t>
      </w:r>
      <w:r w:rsidRPr="00EC507D">
        <w:rPr>
          <w:rFonts w:ascii="Times" w:hAnsi="Times"/>
          <w:i/>
          <w:sz w:val="18"/>
          <w:szCs w:val="18"/>
          <w:lang w:eastAsia="en-US"/>
        </w:rPr>
        <w:t>REF-SED2</w:t>
      </w:r>
      <w:r w:rsidRPr="00EC507D">
        <w:rPr>
          <w:rFonts w:ascii="Times" w:hAnsi="Times"/>
          <w:sz w:val="18"/>
          <w:szCs w:val="18"/>
          <w:lang w:eastAsia="en-US"/>
        </w:rPr>
        <w:t xml:space="preserve"> and </w:t>
      </w:r>
      <w:r w:rsidRPr="00EC507D">
        <w:rPr>
          <w:rFonts w:ascii="Times" w:hAnsi="Times"/>
          <w:i/>
          <w:sz w:val="18"/>
          <w:szCs w:val="18"/>
          <w:lang w:eastAsia="en-US"/>
        </w:rPr>
        <w:t>REF-SED3</w:t>
      </w:r>
      <w:r>
        <w:rPr>
          <w:rFonts w:ascii="Times" w:hAnsi="Times"/>
          <w:sz w:val="18"/>
          <w:szCs w:val="18"/>
          <w:lang w:eastAsia="en-US"/>
        </w:rPr>
        <w:t xml:space="preserve"> sensitivity simulations. Here, we explain those choices.</w:t>
      </w:r>
    </w:p>
    <w:p w14:paraId="02C6157A" w14:textId="77777777" w:rsidR="00786BF4" w:rsidRDefault="00786BF4" w:rsidP="007E07E8">
      <w:pPr>
        <w:rPr>
          <w:rFonts w:ascii="Times" w:hAnsi="Times"/>
          <w:sz w:val="18"/>
          <w:szCs w:val="18"/>
          <w:lang w:eastAsia="en-US"/>
        </w:rPr>
      </w:pPr>
    </w:p>
    <w:p w14:paraId="5907270F" w14:textId="34594FE3" w:rsidR="007E07E8" w:rsidRPr="00EC507D" w:rsidRDefault="005C6A18" w:rsidP="007E07E8">
      <w:pPr>
        <w:rPr>
          <w:rFonts w:ascii="Times" w:hAnsi="Times"/>
          <w:sz w:val="18"/>
          <w:szCs w:val="18"/>
          <w:lang w:eastAsia="en-US"/>
        </w:rPr>
      </w:pPr>
      <w:r w:rsidRPr="00EC507D">
        <w:rPr>
          <w:rFonts w:ascii="Times" w:hAnsi="Times"/>
          <w:sz w:val="18"/>
          <w:szCs w:val="18"/>
          <w:lang w:eastAsia="en-US"/>
        </w:rPr>
        <w:t xml:space="preserve">The </w:t>
      </w:r>
      <w:r w:rsidR="00786BF4">
        <w:rPr>
          <w:rFonts w:ascii="Times" w:hAnsi="Times"/>
          <w:sz w:val="18"/>
          <w:szCs w:val="18"/>
          <w:lang w:eastAsia="en-US"/>
        </w:rPr>
        <w:t>updated</w:t>
      </w:r>
      <w:r w:rsidRPr="00EC507D">
        <w:rPr>
          <w:rFonts w:ascii="Times" w:hAnsi="Times"/>
          <w:sz w:val="18"/>
          <w:szCs w:val="18"/>
          <w:lang w:eastAsia="en-US"/>
        </w:rPr>
        <w:t xml:space="preserve"> soluble </w:t>
      </w:r>
      <w:r w:rsidRPr="00EC507D">
        <w:rPr>
          <w:rFonts w:ascii="Times" w:hAnsi="Times"/>
          <w:sz w:val="18"/>
          <w:szCs w:val="18"/>
        </w:rPr>
        <w:t>ε</w:t>
      </w:r>
      <w:r w:rsidRPr="00EC507D">
        <w:rPr>
          <w:rFonts w:ascii="Times" w:hAnsi="Times"/>
          <w:sz w:val="18"/>
          <w:szCs w:val="18"/>
          <w:vertAlign w:val="subscript"/>
        </w:rPr>
        <w:t>Nd</w:t>
      </w:r>
      <w:r w:rsidRPr="00EC507D">
        <w:rPr>
          <w:rFonts w:ascii="Times" w:hAnsi="Times"/>
          <w:sz w:val="18"/>
          <w:szCs w:val="18"/>
          <w:lang w:eastAsia="en-US"/>
        </w:rPr>
        <w:t xml:space="preserve"> signal in the Pacific for </w:t>
      </w:r>
      <w:r w:rsidRPr="00EC507D">
        <w:rPr>
          <w:rFonts w:ascii="Times" w:hAnsi="Times"/>
          <w:i/>
          <w:sz w:val="18"/>
          <w:szCs w:val="18"/>
          <w:lang w:eastAsia="en-US"/>
        </w:rPr>
        <w:t>REF-SED2</w:t>
      </w:r>
      <w:r w:rsidRPr="00EC507D">
        <w:rPr>
          <w:rFonts w:ascii="Times" w:hAnsi="Times"/>
          <w:sz w:val="18"/>
          <w:szCs w:val="18"/>
          <w:lang w:eastAsia="en-US"/>
        </w:rPr>
        <w:t xml:space="preserve"> and </w:t>
      </w:r>
      <w:r w:rsidRPr="00EC507D">
        <w:rPr>
          <w:rFonts w:ascii="Times" w:hAnsi="Times"/>
          <w:i/>
          <w:sz w:val="18"/>
          <w:szCs w:val="18"/>
          <w:lang w:eastAsia="en-US"/>
        </w:rPr>
        <w:t>REF-SED3</w:t>
      </w:r>
      <w:r w:rsidRPr="00EC507D">
        <w:rPr>
          <w:rFonts w:ascii="Times" w:hAnsi="Times"/>
          <w:sz w:val="18"/>
          <w:szCs w:val="18"/>
          <w:lang w:eastAsia="en-US"/>
        </w:rPr>
        <w:t xml:space="preserve"> is based upon evidence from substantial model-data imbalances in the </w:t>
      </w:r>
      <w:r w:rsidR="00650BA8" w:rsidRPr="00EC507D">
        <w:rPr>
          <w:rFonts w:ascii="Times" w:hAnsi="Times"/>
          <w:sz w:val="18"/>
          <w:szCs w:val="18"/>
          <w:lang w:eastAsia="en-US"/>
        </w:rPr>
        <w:t>Nd isotope</w:t>
      </w:r>
      <w:r w:rsidRPr="00EC507D">
        <w:rPr>
          <w:rFonts w:ascii="Times" w:hAnsi="Times"/>
          <w:sz w:val="18"/>
          <w:szCs w:val="18"/>
          <w:lang w:eastAsia="en-US"/>
        </w:rPr>
        <w:t xml:space="preserve"> budgets in the North Pacific </w:t>
      </w:r>
      <w:r w:rsidRPr="00EC507D">
        <w:rPr>
          <w:rFonts w:ascii="Times" w:hAnsi="Times"/>
          <w:sz w:val="18"/>
          <w:szCs w:val="18"/>
          <w:lang w:eastAsia="en-US"/>
        </w:rPr>
        <w:fldChar w:fldCharType="begin" w:fldLock="1"/>
      </w:r>
      <w:r w:rsidR="0065012F">
        <w:rPr>
          <w:rFonts w:ascii="Times" w:hAnsi="Times"/>
          <w:sz w:val="18"/>
          <w:szCs w:val="18"/>
          <w:lang w:eastAsia="en-US"/>
        </w:rPr>
        <w:instrText>ADDIN CSL_CITATION {"citationItems":[{"id":"ITEM-1","itemData":{"DOI":"10.1029/1999JC000285","ISBN":"0148-0227","ISSN":"0148-0227","PMID":"17439377","abstract":"The oceanic Nd budget is calculated using a steady state 10-box model and a compilation of field data. This is the first attempt to propose consistent estimates of the Nd fluxes entering the ocean, as well as indicating possible Nd sources and the proportion of Nd fluxes exchanged between dissolved and particulate fractions. With presently available Nd data the best estimates give a total Nd influx of 9 x 10(9) g/yr, which leads to an oceanic Nd residence time of 500 years. From modeling tests we suggest that the authigenic Nd scavenged by particulates is 100% remineralized in the deep ocean. The total exchanged Nd flux may be as high as 2 x 10(10) g/yr. The epsilon(Nd(0)) values of the influxes are -22, -11, +1, and -4 for the North Atlantic, surface Atlantic, North Pacific, and surface Indo-Pacific regions, respectively. Atmospheric and riverine Nd fluxes are insufficient to explain the magnitude and regional variability of calculated Nd influxes and epsilon(Nd(0)). We propose continental margins as an additional source supplying Nd to the ocean. Using the model calibrated for Nd, we examine the sensitivity of deep water epsilon(Nd(0)) to variations of Nd inputs to the ocean. Deep water Nd concentrations and epsilon(Nd(0)) vary with the changes in Nd influxes and their epsilon(Nd(0)). As Nd sources to the ocean may change during glacial/interglacial periods, the epsilon(Nd(0)) shifts recorded in ferromanganese nodules and crusts do not necessarily reflect changes in paleoceanic circulation. The effects of continental erosion should be considered in reconstructing patterns of ocean circulation using Nd isotopes.","author":[{"dropping-particle":"","family":"Tachikawa","given":"K.","non-dropping-particle":"","parse-names":false,"suffix":""},{"dropping-particle":"","family":"Athias","given":"V.","non-dropping-particle":"","parse-names":false,"suffix":""},{"dropping-particle":"","family":"Jeandel","given":"C.","non-dropping-particle":"","parse-names":false,"suffix":""}],"container-title":"Journal of Geophysical Research","id":"ITEM-1","issue":"C8","issued":{"date-parts":[["2003","8","1"]]},"note":"Purpose of the study is to constain the Nd inventory in the mordern ocean using both a compliation of all the available Nd data and a numerical model.","page":"3254","title":"Neodymium budget in the modern ocean and paleo-oceanographic implications","type":"article-journal","volume":"108"},"uris":["http://www.mendeley.com/documents/?uuid=0f9c0bfe-df00-3deb-81e5-6e21c394e160"]},{"id":"ITEM-2","itemData":{"DOI":"10.1016/j.epsl.2008.05.027","abstract":"Editor: H. Elderfield Keywords: Neodymium isotopes seawater ocean modeling ocean circulation general circulation model Nd isotopic compositions of authigenic phases in marine archives are increasingly used as a tracer of past changes in ocean circulation. Such applications assume that water masses are \"tagged\" with distinct Nd isotope compositions in source regions and that away from these regions the Nd isotope ratios observed in deep waters mainly reflect water mass mixing. However, the degree to which the simple assumption of \"quasi-conservative mixing\" reflects the complicated reality of general circulation in the oceans is not well understood. Here, we present numerical simulations of the Nd isotope distribution in seawater using an offline ocean general circulation model (OGCM), treating the Nd isotopic composition of seawater as a conservative tracer. Nd isotope data from modern surface waters are used to generate an interpolated map of Nd isotope compositions for the entire surface ocean. This map is treated as a fixed surface boundary condition that is propagated into the interior ocean by the advective-diffusive transport of the ocean model until a steady state is reached. This treatment of Nd isotopes was chosen because it mimics the behavior of well-known and well-understood conservative tracers, such as potential temperature and salinity. The model results for all non-surface grid points are then compared to published data. This simple approach produces Nd isotope estimates for North Atlantic Deep Water that are consistent with observations, but produces values lower than observed in the deep Pacific and Southern Oceans, indicating the need for a source of radiogenic Nd directly to the deep Pacific Ocean. Sensitivity tests show this to be a robust result. By fixing the return flow of the Pacific Ocean to the Southern Ocean with Nd isotope ratios that are consistent with modern observations, the model results are brought into close agreement with a majority of the available data. With the addition of a deep Pacific source of radiogenic Nd, more than half of the simulated values from the interior ocean fall within one ε-unit of the corresponding observations. Our results thus indicate that the deep Pacific Ocean requires a source of radiogenic Nd in addition to inputs to the surface ocean, and that when the deep waters of the North Atlantic and North Pacific are set with realistic values, a majority of intermediate areas are consistent with q…","author":[{"dropping-particle":"","family":"Jones","given":"Kevin M","non-dropping-particle":"","parse-names":false,"suffix":""},{"dropping-particle":"","family":"Khatiwala","given":"Samar P","non-dropping-particle":"","parse-names":false,"suffix":""},{"dropping-particle":"","family":"Goldstein","given":"Steven L","non-dropping-particle":"","parse-names":false,"suffix":""},{"dropping-particle":"","family":"Hemming","given":"Sidney R","non-dropping-particle":"","parse-names":false,"suffix":""},{"dropping-particle":"","family":"Flierdt","given":"Tina","non-dropping-particle":"van de","parse-names":false,"suffix":""}],"container-title":"Earth and Planetary Science Letters","id":"ITEM-2","issued":{"date-parts":[["2008"]]},"note":"Quasi-conservative tracer- a tracer that approximates conservative behavir) \n\nA major obstacle to a more complete understanding of the marine Nd cycle is the lack of a truly global dataset for the modern oceans, as many of the modern data are from only a few regions of the ocean. Nevertherless, even within the constraints of sparse data, a better understanding of the sources, and internal cycling of Nd may be reached through ocean modelling.","page":"610-619","title":"Modeling the distribution of Nd isotopes in the oceans using an ocean general circulation model","type":"article-journal","volume":"272"},"uris":["http://www.mendeley.com/documents/?uuid=62c58b6a-a273-30ab-a346-aa70b5b6185a"]},{"id":"ITEM-3","itemData":{"DOI":"10.1016/j.chemgeo.2017.03.018","ISSN":"00092541","abstract":"Neodymium isotopic compositions (143Nd/144Nd or εNd) have been used as a tracer of water masses and lithogenic inputs to the ocean. To further evaluate the faithfulness of this tracer, we have updated a global seawater εNddatabase and combined it with hydrography parameters (temperature, salinity, nutrients and oxygen concentrations), carbon isotopic ratio and radiocarbon of dissolved inorganic carbon. Archive εNddata are also compiled for leachates, foraminiferal tests, deep-sea corals and fish teeth/debris from the Holocene period (&lt; 10,000 years). At water depths ≥ 1500 m, property-property plots show clear correlations between seawater εNdand the other variables, suggesting that large-scale water mass mixing is a primary control of deepwater εNddistribution. At ≥ 200 m, basin-scale seawater T-S-εNddiagrams demonstrate the isotopic evolution of different water masses. Seawater and archive εNdvalues are compared using property-property plots and T-S-εNddiagrams. Archive values generally agree with corresponding seawater values although they tend to be at the upper limit in the Pacific. Both positive and negative offsets exist in the northern North Atlantic. Applying multiple regression analysis to deep (≥ 1500 m) seawater data, we established empirical equations that predict the main, large-scale, deepwater εNdtrends from hydrography parameters. Large offsets from the predicted values are interpreted as a sign of significant local/regional influence. Dominant continental influence on seawater and archive εNdis observed mainly within 1000 km from the continents. Generally, seawater and archive εNdvalues form gradual latitudinal trend in the Atlantic and Pacific at depths ≥ 600 m, consistent with the idea that Nd isotopes help distinguish between northern/southern sourced water contributions at intermediate and deep water depths.","author":[{"dropping-particle":"","family":"Tachikawa","given":"Kazuyo","non-dropping-particle":"","parse-names":false,"suffix":""},{"dropping-particle":"","family":"Arsouze","given":"Thomas","non-dropping-particle":"","parse-names":false,"suffix":""},{"dropping-particle":"","family":"Bayon","given":"Germain","non-dropping-particle":"","parse-names":false,"suffix":""},{"dropping-particle":"","family":"Bory","given":"Aloys","non-dropping-particle":"","parse-names":false,"suffix":""},{"dropping-particle":"","family":"Colin","given":"Christophe","non-dropping-particle":"","parse-names":false,"suffix":""},{"dropping-particle":"","family":"Dutay","given":"Jean Claude","non-dropping-particle":"","parse-names":false,"suffix":""},{"dropping-particle":"","family":"Frank","given":"Norbert","non-dropping-particle":"","parse-names":false,"suffix":""},{"dropping-particle":"","family":"Giraud","given":"Xavier","non-dropping-particle":"","parse-names":false,"suffix":""},{"dropping-particle":"","family":"Gourlan","given":"Alexandra T.","non-dropping-particle":"","parse-names":false,"suffix":""},{"dropping-particle":"","family":"Jeandel","given":"Catherine","non-dropping-particle":"","parse-names":false,"suffix":""},{"dropping-particle":"","family":"Lacan","given":"François","non-dropping-particle":"","parse-names":false,"suffix":""},{"dropping-particle":"","family":"Meynadier","given":"Laure","non-dropping-particle":"","parse-names":false,"suffix":""},{"dropping-particle":"","family":"Montagna","given":"Paolo","non-dropping-particle":"","parse-names":false,"suffix":""},{"dropping-particle":"","family":"Piotrowski","given":"Alexander M.","non-dropping-particle":"","parse-names":false,"suffix":""},{"dropping-particle":"","family":"Plancherel","given":"Yves","non-dropping-particle":"","parse-names":false,"suffix":""},{"dropping-particle":"","family":"Pucéat","given":"Emmanuelle","non-dropping-particle":"","parse-names":false,"suffix":""},{"dropping-particle":"","family":"Roy-Barman","given":"Matthieu","non-dropping-particle":"","parse-names":false,"suffix":""},{"dropping-particle":"","family":"Waelbroeck","given":"Claire","non-dropping-particle":"","parse-names":false,"suffix":""}],"container-title":"Chemical Geology","id":"ITEM-3","issued":{"date-parts":[["2017","5"]]},"note":"Updated gloval seawater eNd database and combined with hydrography parameters\nCompared predicted vs observed.\nLarge offsets from the predicted values are interpreted as a sign of significant local/regional influence. Dominant contiental infleunce on seawater and archive eNd is observed mainly within 100km from the contients.\n\nFig 7- good comparison of observations vs modelled. \n\nLarge offsets from the predicted values are interpreted as a sign of significant local/regional influence. Dominant detrital influences are observed mainly within 100 km from the continents. Archive data show more frequently positive offsets that may indicate radiogenic Nd contribution from labile detrital fraction to pore water and/or by chemical extraction of authigenic phases.","page":"131-148","title":"The large-scale evolution of neodymium isotopic composition in the global modern and Holocene ocean revealed from seawater and archive data","type":"article-journal","volume":"457"},"uris":["http://www.mendeley.com/documents/?uuid=bb2377a1-9393-35e4-971a-f0cd09dfc51c"]}],"mendeley":{"formattedCitation":"(Tachikawa et al., 2003; Jones et al., 2008; Tachikawa et al., 2017)","plainTextFormattedCitation":"(Tachikawa et al., 2003; Jones et al., 2008; Tachikawa et al., 2017)","previouslyFormattedCitation":"(Tachikawa et al., 2003; Jones et al., 2008; Tachikawa et al., 2017)"},"properties":{"noteIndex":0},"schema":"https://github.com/citation-style-language/schema/raw/master/csl-citation.json"}</w:instrText>
      </w:r>
      <w:r w:rsidRPr="00EC507D">
        <w:rPr>
          <w:rFonts w:ascii="Times" w:hAnsi="Times"/>
          <w:sz w:val="18"/>
          <w:szCs w:val="18"/>
          <w:lang w:eastAsia="en-US"/>
        </w:rPr>
        <w:fldChar w:fldCharType="separate"/>
      </w:r>
      <w:r w:rsidR="00734358" w:rsidRPr="00734358">
        <w:rPr>
          <w:rFonts w:ascii="Times" w:hAnsi="Times"/>
          <w:noProof/>
          <w:sz w:val="18"/>
          <w:szCs w:val="18"/>
          <w:lang w:eastAsia="en-US"/>
        </w:rPr>
        <w:t>(Tachikawa et al., 2003; Jones et al., 2008; Tachikawa et al., 2017)</w:t>
      </w:r>
      <w:r w:rsidRPr="00EC507D">
        <w:rPr>
          <w:rFonts w:ascii="Times" w:hAnsi="Times"/>
          <w:sz w:val="18"/>
          <w:szCs w:val="18"/>
          <w:lang w:eastAsia="en-US"/>
        </w:rPr>
        <w:fldChar w:fldCharType="end"/>
      </w:r>
      <w:r w:rsidR="00420005" w:rsidRPr="00EC507D">
        <w:rPr>
          <w:rFonts w:ascii="Times" w:hAnsi="Times"/>
          <w:sz w:val="18"/>
          <w:szCs w:val="18"/>
          <w:lang w:eastAsia="en-US"/>
        </w:rPr>
        <w:t xml:space="preserve">. The evidence </w:t>
      </w:r>
      <w:r w:rsidRPr="00EC507D">
        <w:rPr>
          <w:rFonts w:ascii="Times" w:hAnsi="Times"/>
          <w:sz w:val="18"/>
          <w:szCs w:val="18"/>
          <w:lang w:eastAsia="en-US"/>
        </w:rPr>
        <w:t>suggest</w:t>
      </w:r>
      <w:r w:rsidR="00420005" w:rsidRPr="00EC507D">
        <w:rPr>
          <w:rFonts w:ascii="Times" w:hAnsi="Times"/>
          <w:sz w:val="18"/>
          <w:szCs w:val="18"/>
          <w:lang w:eastAsia="en-US"/>
        </w:rPr>
        <w:t>s</w:t>
      </w:r>
      <w:r w:rsidRPr="00EC507D">
        <w:rPr>
          <w:rFonts w:ascii="Times" w:hAnsi="Times"/>
          <w:sz w:val="18"/>
          <w:szCs w:val="18"/>
          <w:lang w:eastAsia="en-US"/>
        </w:rPr>
        <w:t xml:space="preserve"> </w:t>
      </w:r>
      <w:r w:rsidR="00CC59D2" w:rsidRPr="00EC507D">
        <w:rPr>
          <w:rFonts w:ascii="Times" w:hAnsi="Times"/>
          <w:sz w:val="18"/>
          <w:szCs w:val="18"/>
          <w:lang w:eastAsia="en-US"/>
        </w:rPr>
        <w:t xml:space="preserve">the </w:t>
      </w:r>
      <w:r w:rsidR="009F18AA" w:rsidRPr="00EC507D">
        <w:rPr>
          <w:rFonts w:ascii="Times" w:hAnsi="Times"/>
          <w:sz w:val="18"/>
          <w:szCs w:val="18"/>
          <w:lang w:eastAsia="en-US"/>
        </w:rPr>
        <w:t xml:space="preserve">widespread </w:t>
      </w:r>
      <w:r w:rsidR="00CC59D2" w:rsidRPr="00EC507D">
        <w:rPr>
          <w:rFonts w:ascii="Times" w:hAnsi="Times"/>
          <w:sz w:val="18"/>
          <w:szCs w:val="18"/>
          <w:lang w:eastAsia="en-US"/>
        </w:rPr>
        <w:t xml:space="preserve">detrital Nd </w:t>
      </w:r>
      <w:r w:rsidR="00E21244" w:rsidRPr="00EC507D">
        <w:rPr>
          <w:rFonts w:ascii="Times" w:hAnsi="Times"/>
          <w:sz w:val="18"/>
          <w:szCs w:val="18"/>
          <w:lang w:eastAsia="en-US"/>
        </w:rPr>
        <w:t>across the central Pacific</w:t>
      </w:r>
      <w:r w:rsidR="00612159" w:rsidRPr="00EC507D">
        <w:rPr>
          <w:rFonts w:ascii="Times" w:hAnsi="Times"/>
          <w:sz w:val="18"/>
          <w:szCs w:val="18"/>
          <w:lang w:eastAsia="en-US"/>
        </w:rPr>
        <w:t>,</w:t>
      </w:r>
      <w:r w:rsidR="00E21244" w:rsidRPr="00EC507D">
        <w:rPr>
          <w:rFonts w:ascii="Times" w:hAnsi="Times"/>
          <w:sz w:val="18"/>
          <w:szCs w:val="18"/>
          <w:lang w:eastAsia="en-US"/>
        </w:rPr>
        <w:t xml:space="preserve"> </w:t>
      </w:r>
      <w:r w:rsidR="00612159" w:rsidRPr="00EC507D">
        <w:rPr>
          <w:rFonts w:ascii="Times" w:hAnsi="Times"/>
          <w:sz w:val="18"/>
          <w:szCs w:val="18"/>
          <w:lang w:eastAsia="en-US"/>
        </w:rPr>
        <w:t xml:space="preserve">which is </w:t>
      </w:r>
      <w:r w:rsidR="00E21244" w:rsidRPr="00EC507D">
        <w:rPr>
          <w:rFonts w:ascii="Times" w:hAnsi="Times"/>
          <w:sz w:val="18"/>
          <w:szCs w:val="18"/>
          <w:lang w:eastAsia="en-US"/>
        </w:rPr>
        <w:t>composed of</w:t>
      </w:r>
      <w:r w:rsidR="00CC59D2" w:rsidRPr="00EC507D">
        <w:rPr>
          <w:rFonts w:ascii="Times" w:hAnsi="Times"/>
          <w:sz w:val="18"/>
          <w:szCs w:val="18"/>
          <w:lang w:eastAsia="en-US"/>
        </w:rPr>
        <w:t xml:space="preserve"> </w:t>
      </w:r>
      <w:r w:rsidR="00612159" w:rsidRPr="00EC507D">
        <w:rPr>
          <w:rFonts w:ascii="Times" w:hAnsi="Times"/>
          <w:sz w:val="18"/>
          <w:szCs w:val="18"/>
          <w:lang w:eastAsia="en-US"/>
        </w:rPr>
        <w:t xml:space="preserve">Asian continent derived </w:t>
      </w:r>
      <w:r w:rsidR="00CC59D2" w:rsidRPr="00EC507D">
        <w:rPr>
          <w:rFonts w:ascii="Times" w:hAnsi="Times"/>
          <w:sz w:val="18"/>
          <w:szCs w:val="18"/>
          <w:lang w:eastAsia="en-US"/>
        </w:rPr>
        <w:t>lithogenic dust is inert</w:t>
      </w:r>
      <w:r w:rsidR="00612159" w:rsidRPr="00EC507D">
        <w:rPr>
          <w:rFonts w:ascii="Times" w:hAnsi="Times"/>
          <w:sz w:val="18"/>
          <w:szCs w:val="18"/>
          <w:lang w:eastAsia="en-US"/>
        </w:rPr>
        <w:t>,</w:t>
      </w:r>
      <w:r w:rsidR="00CC59D2" w:rsidRPr="00EC507D">
        <w:rPr>
          <w:rFonts w:ascii="Times" w:hAnsi="Times"/>
          <w:sz w:val="18"/>
          <w:szCs w:val="18"/>
          <w:lang w:eastAsia="en-US"/>
        </w:rPr>
        <w:t xml:space="preserve"> </w:t>
      </w:r>
      <w:r w:rsidR="00612159" w:rsidRPr="00EC507D">
        <w:rPr>
          <w:rFonts w:ascii="Times" w:hAnsi="Times"/>
          <w:sz w:val="18"/>
          <w:szCs w:val="18"/>
          <w:lang w:eastAsia="en-US"/>
        </w:rPr>
        <w:t xml:space="preserve">and </w:t>
      </w:r>
      <w:r w:rsidR="0060559E">
        <w:rPr>
          <w:rFonts w:ascii="Times" w:hAnsi="Times"/>
          <w:sz w:val="18"/>
          <w:szCs w:val="18"/>
          <w:lang w:eastAsia="en-US"/>
        </w:rPr>
        <w:t>implies that there is</w:t>
      </w:r>
      <w:r w:rsidRPr="00EC507D">
        <w:rPr>
          <w:rFonts w:ascii="Times" w:hAnsi="Times"/>
          <w:sz w:val="18"/>
          <w:szCs w:val="18"/>
          <w:lang w:eastAsia="en-US"/>
        </w:rPr>
        <w:t xml:space="preserve"> potential for preferential contributions of more radiogenic components in the sediment </w:t>
      </w:r>
      <w:r w:rsidRPr="00EC507D">
        <w:rPr>
          <w:rFonts w:ascii="Times" w:hAnsi="Times"/>
          <w:sz w:val="18"/>
          <w:szCs w:val="18"/>
          <w:lang w:eastAsia="en-US"/>
        </w:rPr>
        <w:fldChar w:fldCharType="begin" w:fldLock="1"/>
      </w:r>
      <w:r w:rsidRPr="00EC507D">
        <w:rPr>
          <w:rFonts w:ascii="Times" w:hAnsi="Times"/>
          <w:sz w:val="18"/>
          <w:szCs w:val="18"/>
          <w:lang w:eastAsia="en-US"/>
        </w:rPr>
        <w:instrText xml:space="preserve">ADDIN CSL_CITATION {"citationItems":[{"id":"ITEM-1","itemData":{"DOI":"10.1016/j.gca.2016.08.005","ISSN":"00167037","abstract":"The isotopic composition of neodymium (εNd) extracted from sedimentary Fe–Mn oxyhydroxide offers potential for reconstructing paleo-circulation, but its application depends on extraction methodology and the mechanisms that relate authigenic εNd to bottom water. Here we test methods to extract authigenic εNd from Gulf of Alaska (GOA) sediments and assess sources of leachate Nd, including potential contamination from trace dispersed volcanic ash. We show that one dominant phase is extracted via leaching of core-top sediments. Major and trace element geochemistry demonstrate that this phase is authigenic Fe–Mn oxyhydroxide. Contamination of leachate (authigenic) Nd from detrital sources is insignificant (&lt;1%); our empirical results are consistent with established kinetic mineral dissolution rates and theory. Contamination of extracted εNd from leaching of volcanic ash is below analytical uncertainty. However, the εNd of core-top leachates in the GOA is consistently more radiogenic than bottom water. We infer that authigenic phases record pore water εNd, and the relationships of εNd among bottom waters, pore waters, authigenic phases and detrital sediments are primarily governed by the exposure time of bottom water to sea-floor sediments, rate of exchange across the sediment-water interface and the reactivity and composition of detrital sediments. We show that this conceptual model is applicable on the Pacific basin scale and provide a new framework to understand the role of authigenic phases in both modern and paleo-applications, including the use of authigenic εNd as a paleo-circulation tracer.","author":[{"dropping-particle":"","family":"Du","given":"Jianghui","non-dropping-particle":"","parse-names":false,"suffix":""},{"dropping-particle":"","family":"Haley","given":"Brian A","non-dropping-particle":"","parse-names":false,"suffix":""},{"dropping-particle":"","family":"Mix","given":"Alan C","non-dropping-particle":"","parse-names":false,"suffix":""}],"container-title":"Geochimica et Cosmochimica Acta","id":"ITEM-1","issued":{"date-parts":[["2016"]]},"note":"From Duplicate 2 (Neodymium isotopes in authigenic phases, bottom waters and detrital sediments in the Gulf of Alaska and their implications for paleo-circulation reconstruction - Du, Jianghui; Haley, Brian A; Mix, Alan C)\n\nGood discussion on how to measure authigenic nd (fish teeth, to leaching from bulk sediemnt)!!!\n\nFrom Duplicate 3 (Neodymium isotopes in authigenic phases, bottom waters and detrital sediments in the Gulf of Alaska and their implications for paleo-circulation reconstruction - Du, Jianghui; Haley, Brian A; Mix, Alan C)\n\nFrom Duplicate 1 (Neodymium isotopes in authigenic phases, bottom waters and detrital sediments in the Gulf of Alaska and their implications for paleo-circulation reconstruction - Du, Jianghui; Haley, Brian A; Mix, Alan C)\n\nGood discussion on how to measure authigenic nd (fish teeth, to leaching from bulk sediemnt)!!!","page":"14-35","title":"Neodymium isotopes in authigenic phases, bottom waters and detrital sediments in the Gulf of Alaska and their implications for paleo-circulation reconstruction","type":"article-journal","volume":"193"},"uris":["http://www.mendeley.com/documents/?uuid=6d2acf0d-dd15-4782-85ea-b7934436d1a3"]},{"id":"ITEM-2","itemData":{"DOI":"10.1016/j.gca.2013.01.042","ISSN":"00167037","abstract":"The dissolved neodymium (Nd) isotopic distribution in the deep oceans is determined by continental weathering inputs, water mass advection, and boundary exchange between particulate and dissolved fractions. Reconstructions of past Nd isotopic variability may therefore provide evidence on temporal changes in continental weathering inputs and/or ocean circulation patterns over a range of timescales. However, such an approach is limited by uncertainty in the mechanisms and importance of the boundary exchange process, and the challenge in reliably recovering past seawater Nd isotopic composition (εNd) from deep sea sediments. This study addresses these questions by investigating the processes involved in particulate-solution interactions and their impact on Nd isotopes. A better understanding of boundary exchange also has wider implications for the oceanic cycling and budgets of other particle-reactive elements.Sequential acid-reductive leaching experiments at pH </w:instrText>
      </w:r>
      <w:r w:rsidRPr="00EC507D">
        <w:rPr>
          <w:rFonts w:ascii="Cambria Math" w:hAnsi="Cambria Math" w:cs="Cambria Math"/>
          <w:sz w:val="18"/>
          <w:szCs w:val="18"/>
          <w:lang w:eastAsia="en-US"/>
        </w:rPr>
        <w:instrText>∼</w:instrText>
      </w:r>
      <w:r w:rsidRPr="00EC507D">
        <w:rPr>
          <w:rFonts w:ascii="Times" w:hAnsi="Times"/>
          <w:sz w:val="18"/>
          <w:szCs w:val="18"/>
          <w:lang w:eastAsia="en-US"/>
        </w:rPr>
        <w:instrText>2-5 on deep sea sediments from the western Indian Ocean enable us to investigate natural boundary exchange processes over a timescale appropriate to laboratory experiments. We provide evidence that both the dissolution of solid phases and exchange processes influence the εNd of leachates, which suggests that both processes may contribute to boundary exchange. We use major element and rare earth element (REE) data to investigate the pools of Nd that are accessed and demonstrate that sediment leachate εNd values cannot always be explained by admixture between an authigenic component and the bulk detrital component. For example, in core WIND 24B, acid-reductive leaching generates εNd values between -11 and -6 as a function of solution/solid ratios and leaching times, whereas the authigenic components have εNd≈-11 and the bulk detrital component has εNd≈-15. We infer that leaching in the Mascarene Basin accesses authigenic components and a minor radiogenic volcanic component that is more reactive than Madagascan-derived clays. The preferential mobilisation of such a minor component demonstrates that the Nd released by boundary exchange could often have a significantly different εNd composition than the bulk detrital sediment.These experiments further demonstrate certain limitations on the use of acid-reductive leaching to extract the εNd composition of the authigenic fraction of bulk deep sea sediments. For example, the detrital component may contain a reactive fraction which is also acid-extractible,…","author":[{"dropping-particle":"","family":"Wilson","given":"David J.","non-dropping-particle":"","parse-names":false,"suffix":""},{"dropping-particle":"","family":"Piotrowski","given":"Alexander M.","non-dropping-particle":"","parse-names":false,"suffix":""},{"dropping-particle":"","family":"Galy","given":"Albert","non-dropping-particle":"","parse-names":false,"suffix":""},{"dropping-particle":"","family":"Clegg","given":"Josephine A.","non-dropping-particle":"","parse-names":false,"suffix":""}],"container-title":"Geochimica et Cosmochimica Acta","id":"ITEM-2","issued":{"date-parts":[["2013","5","5"]]},"page":"197-221","title":"Reactivity of neodymium carriers in deep sea sediments: Implications for boundary exchange and paleoceanography","type":"article-journal","volume":"109"},"uris":["http://www.mendeley.com/documents/?uuid=22d64ee9-3458-314d-b239-92b3661581cd"]}],"mendeley":{"formattedCitation":"(Du et al., 2016; Wilson et al., 2013)","plainTextFormattedCitation":"(Du et al., 2016; Wilson et al., 2013)","previouslyFormattedCitation":"(Du et al., 2016; Wilson et al., 2013)"},"properties":{"noteIndex":0},"schema":"https://github.com/citation-style-language/schema/raw/master/csl-citation.json"}</w:instrText>
      </w:r>
      <w:r w:rsidRPr="00EC507D">
        <w:rPr>
          <w:rFonts w:ascii="Times" w:hAnsi="Times"/>
          <w:sz w:val="18"/>
          <w:szCs w:val="18"/>
          <w:lang w:eastAsia="en-US"/>
        </w:rPr>
        <w:fldChar w:fldCharType="separate"/>
      </w:r>
      <w:r w:rsidRPr="00EC507D">
        <w:rPr>
          <w:rFonts w:ascii="Times" w:hAnsi="Times"/>
          <w:noProof/>
          <w:sz w:val="18"/>
          <w:szCs w:val="18"/>
          <w:lang w:eastAsia="en-US"/>
        </w:rPr>
        <w:t>(Du et al., 2016; Wilson et al., 2013)</w:t>
      </w:r>
      <w:r w:rsidRPr="00EC507D">
        <w:rPr>
          <w:rFonts w:ascii="Times" w:hAnsi="Times"/>
          <w:sz w:val="18"/>
          <w:szCs w:val="18"/>
          <w:lang w:eastAsia="en-US"/>
        </w:rPr>
        <w:fldChar w:fldCharType="end"/>
      </w:r>
      <w:r w:rsidRPr="00EC507D">
        <w:rPr>
          <w:rFonts w:ascii="Times" w:hAnsi="Times"/>
          <w:sz w:val="18"/>
          <w:szCs w:val="18"/>
          <w:lang w:eastAsia="en-US"/>
        </w:rPr>
        <w:t xml:space="preserve">. </w:t>
      </w:r>
      <w:r w:rsidR="007E07E8" w:rsidRPr="00EC507D">
        <w:rPr>
          <w:rFonts w:ascii="Times" w:hAnsi="Times"/>
          <w:sz w:val="18"/>
          <w:szCs w:val="18"/>
          <w:lang w:eastAsia="en-US"/>
        </w:rPr>
        <w:t>Specifically</w:t>
      </w:r>
      <w:r w:rsidR="0060559E">
        <w:rPr>
          <w:rFonts w:ascii="Times" w:hAnsi="Times"/>
          <w:sz w:val="18"/>
          <w:szCs w:val="18"/>
          <w:lang w:eastAsia="en-US"/>
        </w:rPr>
        <w:t>,</w:t>
      </w:r>
      <w:r w:rsidR="007E07E8" w:rsidRPr="00EC507D">
        <w:rPr>
          <w:rFonts w:ascii="Times" w:hAnsi="Times"/>
          <w:sz w:val="18"/>
          <w:szCs w:val="18"/>
          <w:lang w:eastAsia="en-US"/>
        </w:rPr>
        <w:t xml:space="preserve"> the </w:t>
      </w:r>
      <w:r w:rsidR="00612159" w:rsidRPr="00EC507D">
        <w:rPr>
          <w:rFonts w:ascii="Times" w:hAnsi="Times"/>
          <w:sz w:val="18"/>
          <w:szCs w:val="18"/>
          <w:lang w:eastAsia="en-US"/>
        </w:rPr>
        <w:t xml:space="preserve">minimum </w:t>
      </w:r>
      <w:r w:rsidR="007E07E8" w:rsidRPr="00EC507D">
        <w:rPr>
          <w:rFonts w:ascii="Times" w:hAnsi="Times"/>
          <w:sz w:val="18"/>
          <w:szCs w:val="18"/>
          <w:lang w:eastAsia="en-US"/>
        </w:rPr>
        <w:t xml:space="preserve">threshold </w:t>
      </w:r>
      <w:r w:rsidR="007E07E8" w:rsidRPr="00EC507D">
        <w:rPr>
          <w:rFonts w:ascii="Times" w:hAnsi="Times"/>
          <w:sz w:val="18"/>
          <w:szCs w:val="18"/>
        </w:rPr>
        <w:t>ε</w:t>
      </w:r>
      <w:r w:rsidR="007E07E8" w:rsidRPr="00EC507D">
        <w:rPr>
          <w:rFonts w:ascii="Times" w:hAnsi="Times"/>
          <w:sz w:val="18"/>
          <w:szCs w:val="18"/>
          <w:vertAlign w:val="subscript"/>
        </w:rPr>
        <w:t>Nd</w:t>
      </w:r>
      <w:r w:rsidR="007E07E8" w:rsidRPr="00EC507D">
        <w:rPr>
          <w:rFonts w:ascii="Times" w:hAnsi="Times"/>
          <w:sz w:val="18"/>
          <w:szCs w:val="18"/>
          <w:lang w:eastAsia="en-US"/>
        </w:rPr>
        <w:t xml:space="preserve"> chosen for the ‘Background Pacific’ region for </w:t>
      </w:r>
      <w:r w:rsidR="007E07E8" w:rsidRPr="00EC507D">
        <w:rPr>
          <w:rFonts w:ascii="Times" w:hAnsi="Times"/>
          <w:i/>
          <w:iCs/>
          <w:sz w:val="18"/>
          <w:szCs w:val="18"/>
          <w:lang w:eastAsia="en-US"/>
        </w:rPr>
        <w:t>REF-SED2</w:t>
      </w:r>
      <w:r w:rsidR="00CC59D2" w:rsidRPr="00EC507D">
        <w:rPr>
          <w:rFonts w:ascii="Times" w:hAnsi="Times"/>
          <w:sz w:val="18"/>
          <w:szCs w:val="18"/>
          <w:lang w:eastAsia="en-US"/>
        </w:rPr>
        <w:t xml:space="preserve"> </w:t>
      </w:r>
      <w:r w:rsidR="00612159" w:rsidRPr="00EC507D">
        <w:rPr>
          <w:rFonts w:ascii="Times" w:hAnsi="Times"/>
          <w:sz w:val="18"/>
          <w:szCs w:val="18"/>
          <w:lang w:eastAsia="en-US"/>
        </w:rPr>
        <w:t xml:space="preserve">of </w:t>
      </w:r>
      <w:r w:rsidR="007E07E8" w:rsidRPr="00EC507D">
        <w:rPr>
          <w:rFonts w:ascii="Times" w:hAnsi="Times"/>
          <w:sz w:val="18"/>
          <w:szCs w:val="18"/>
          <w:lang w:eastAsia="en-US"/>
        </w:rPr>
        <w:t>-5 follow</w:t>
      </w:r>
      <w:r w:rsidR="00E43094">
        <w:rPr>
          <w:rFonts w:ascii="Times" w:hAnsi="Times"/>
          <w:sz w:val="18"/>
          <w:szCs w:val="18"/>
          <w:lang w:eastAsia="en-US"/>
        </w:rPr>
        <w:t>s</w:t>
      </w:r>
      <w:r w:rsidR="007E07E8" w:rsidRPr="00EC507D">
        <w:rPr>
          <w:rFonts w:ascii="Times" w:hAnsi="Times"/>
          <w:sz w:val="18"/>
          <w:szCs w:val="18"/>
          <w:lang w:eastAsia="en-US"/>
        </w:rPr>
        <w:t xml:space="preserve"> th</w:t>
      </w:r>
      <w:r w:rsidR="00612159" w:rsidRPr="00EC507D">
        <w:rPr>
          <w:rFonts w:ascii="Times" w:hAnsi="Times"/>
          <w:sz w:val="18"/>
          <w:szCs w:val="18"/>
          <w:lang w:eastAsia="en-US"/>
        </w:rPr>
        <w:t>ose</w:t>
      </w:r>
      <w:r w:rsidR="007E07E8" w:rsidRPr="00EC507D">
        <w:rPr>
          <w:rFonts w:ascii="Times" w:hAnsi="Times"/>
          <w:sz w:val="18"/>
          <w:szCs w:val="18"/>
          <w:lang w:eastAsia="en-US"/>
        </w:rPr>
        <w:t xml:space="preserve"> applied in the recent global Nd isotope scheme by </w:t>
      </w:r>
      <w:r w:rsidR="007E07E8" w:rsidRPr="00EC507D">
        <w:rPr>
          <w:rFonts w:ascii="Times" w:hAnsi="Times"/>
          <w:sz w:val="18"/>
          <w:szCs w:val="18"/>
          <w:lang w:eastAsia="en-US"/>
        </w:rPr>
        <w:fldChar w:fldCharType="begin" w:fldLock="1"/>
      </w:r>
      <w:r w:rsidR="00B24CF5" w:rsidRPr="00EC507D">
        <w:rPr>
          <w:rFonts w:ascii="Times" w:hAnsi="Times"/>
          <w:sz w:val="18"/>
          <w:szCs w:val="18"/>
          <w:lang w:eastAsia="en-US"/>
        </w:rPr>
        <w:instrText>ADDIN CSL_CITATION {"citationItems":[{"id":"ITEM-1","itemData":{"author":[{"dropping-particle":"","family":"Pasquier","given":"Benoît","non-dropping-particle":"","parse-names":false,"suffix":""},{"dropping-particle":"V","family":"Hines","given":"Sophia K","non-dropping-particle":"","parse-names":false,"suffix":""},{"dropping-particle":"","family":"Liang","given":"Hengdi","non-dropping-particle":"","parse-names":false,"suffix":""},{"dropping-particle":"","family":"Wu","given":"Yingzhe","non-dropping-particle":"","parse-names":false,"suffix":""},{"dropping-particle":"","family":"John","given":"Seth G","non-dropping-particle":"","parse-names":false,"suffix":""}],"container-title":"Geoscientific Model Development","id":"ITEM-1","issue":"November","issued":{"date-parts":[["2021"]]},"title":"GNOM v1 . 0 : An optimized steady-state model of the modern marine neodymium cycle","type":"article-journal","volume":"147"},"uris":["http://www.mendeley.com/documents/?uuid=825a2c3a-1e2c-4ae4-8af3-d1254da775ae"]}],"mendeley":{"formattedCitation":"(Pasquier et al., 2021)","manualFormatting":"Pasquier et al. (2021)","plainTextFormattedCitation":"(Pasquier et al., 2021)","previouslyFormattedCitation":"(Pasquier et al., 2021)"},"properties":{"noteIndex":0},"schema":"https://github.com/citation-style-language/schema/raw/master/csl-citation.json"}</w:instrText>
      </w:r>
      <w:r w:rsidR="007E07E8" w:rsidRPr="00EC507D">
        <w:rPr>
          <w:rFonts w:ascii="Times" w:hAnsi="Times"/>
          <w:sz w:val="18"/>
          <w:szCs w:val="18"/>
          <w:lang w:eastAsia="en-US"/>
        </w:rPr>
        <w:fldChar w:fldCharType="separate"/>
      </w:r>
      <w:r w:rsidR="007E07E8" w:rsidRPr="00EC507D">
        <w:rPr>
          <w:rFonts w:ascii="Times" w:hAnsi="Times"/>
          <w:noProof/>
          <w:sz w:val="18"/>
          <w:szCs w:val="18"/>
          <w:lang w:eastAsia="en-US"/>
        </w:rPr>
        <w:t>Pasquier et al. (2021)</w:t>
      </w:r>
      <w:r w:rsidR="007E07E8" w:rsidRPr="00EC507D">
        <w:rPr>
          <w:rFonts w:ascii="Times" w:hAnsi="Times"/>
          <w:sz w:val="18"/>
          <w:szCs w:val="18"/>
          <w:lang w:eastAsia="en-US"/>
        </w:rPr>
        <w:fldChar w:fldCharType="end"/>
      </w:r>
      <w:r w:rsidR="00B24CF5" w:rsidRPr="00EC507D">
        <w:rPr>
          <w:rFonts w:ascii="Times" w:hAnsi="Times"/>
          <w:sz w:val="18"/>
          <w:szCs w:val="18"/>
          <w:lang w:eastAsia="en-US"/>
        </w:rPr>
        <w:t>.</w:t>
      </w:r>
      <w:r w:rsidR="007E07E8" w:rsidRPr="00EC507D">
        <w:rPr>
          <w:rFonts w:ascii="Times" w:hAnsi="Times"/>
          <w:sz w:val="18"/>
          <w:szCs w:val="18"/>
          <w:lang w:eastAsia="en-US"/>
        </w:rPr>
        <w:t xml:space="preserve"> </w:t>
      </w:r>
      <w:r w:rsidR="00B24CF5" w:rsidRPr="00EC507D">
        <w:rPr>
          <w:rFonts w:ascii="Times" w:hAnsi="Times"/>
          <w:sz w:val="18"/>
          <w:szCs w:val="18"/>
          <w:lang w:eastAsia="en-US"/>
        </w:rPr>
        <w:t>T</w:t>
      </w:r>
      <w:r w:rsidR="007E07E8" w:rsidRPr="00EC507D">
        <w:rPr>
          <w:rFonts w:ascii="Times" w:hAnsi="Times"/>
          <w:sz w:val="18"/>
          <w:szCs w:val="18"/>
          <w:lang w:eastAsia="en-US"/>
        </w:rPr>
        <w:t xml:space="preserve">his </w:t>
      </w:r>
      <w:r w:rsidR="00B24CF5" w:rsidRPr="00EC507D">
        <w:rPr>
          <w:rFonts w:ascii="Times" w:hAnsi="Times"/>
          <w:sz w:val="18"/>
          <w:szCs w:val="18"/>
        </w:rPr>
        <w:t>ε</w:t>
      </w:r>
      <w:r w:rsidR="00B24CF5" w:rsidRPr="00EC507D">
        <w:rPr>
          <w:rFonts w:ascii="Times" w:hAnsi="Times"/>
          <w:sz w:val="18"/>
          <w:szCs w:val="18"/>
          <w:vertAlign w:val="subscript"/>
        </w:rPr>
        <w:t>Nd</w:t>
      </w:r>
      <w:r w:rsidR="00B24CF5" w:rsidRPr="00EC507D">
        <w:rPr>
          <w:rFonts w:ascii="Times" w:hAnsi="Times"/>
          <w:sz w:val="18"/>
          <w:szCs w:val="18"/>
          <w:lang w:eastAsia="en-US"/>
        </w:rPr>
        <w:t xml:space="preserve"> </w:t>
      </w:r>
      <w:r w:rsidR="007E07E8" w:rsidRPr="00EC507D">
        <w:rPr>
          <w:rFonts w:ascii="Times" w:hAnsi="Times"/>
          <w:sz w:val="18"/>
          <w:szCs w:val="18"/>
          <w:lang w:eastAsia="en-US"/>
        </w:rPr>
        <w:t>threshold is</w:t>
      </w:r>
      <w:r w:rsidR="00B24CF5" w:rsidRPr="00EC507D">
        <w:rPr>
          <w:rFonts w:ascii="Times" w:hAnsi="Times"/>
          <w:sz w:val="18"/>
          <w:szCs w:val="18"/>
          <w:lang w:eastAsia="en-US"/>
        </w:rPr>
        <w:t xml:space="preserve"> then</w:t>
      </w:r>
      <w:r w:rsidR="007E07E8" w:rsidRPr="00EC507D">
        <w:rPr>
          <w:rFonts w:ascii="Times" w:hAnsi="Times"/>
          <w:sz w:val="18"/>
          <w:szCs w:val="18"/>
          <w:lang w:eastAsia="en-US"/>
        </w:rPr>
        <w:t xml:space="preserve"> increased </w:t>
      </w:r>
      <w:r w:rsidR="00B24CF5" w:rsidRPr="00EC507D">
        <w:rPr>
          <w:rFonts w:ascii="Times" w:hAnsi="Times"/>
          <w:sz w:val="18"/>
          <w:szCs w:val="18"/>
          <w:lang w:eastAsia="en-US"/>
        </w:rPr>
        <w:t xml:space="preserve">moderately to -4 </w:t>
      </w:r>
      <w:r w:rsidR="007E07E8" w:rsidRPr="00EC507D">
        <w:rPr>
          <w:rFonts w:ascii="Times" w:hAnsi="Times"/>
          <w:sz w:val="18"/>
          <w:szCs w:val="18"/>
          <w:lang w:eastAsia="en-US"/>
        </w:rPr>
        <w:t>i</w:t>
      </w:r>
      <w:r w:rsidR="00B24CF5" w:rsidRPr="00EC507D">
        <w:rPr>
          <w:rFonts w:ascii="Times" w:hAnsi="Times"/>
          <w:sz w:val="18"/>
          <w:szCs w:val="18"/>
          <w:lang w:eastAsia="en-US"/>
        </w:rPr>
        <w:t>n</w:t>
      </w:r>
      <w:r w:rsidR="007E07E8" w:rsidRPr="00EC507D">
        <w:rPr>
          <w:rFonts w:ascii="Times" w:hAnsi="Times"/>
          <w:sz w:val="18"/>
          <w:szCs w:val="18"/>
          <w:lang w:eastAsia="en-US"/>
        </w:rPr>
        <w:t xml:space="preserve"> </w:t>
      </w:r>
      <w:r w:rsidR="007E07E8" w:rsidRPr="00EC507D">
        <w:rPr>
          <w:rFonts w:ascii="Times" w:hAnsi="Times"/>
          <w:i/>
          <w:iCs/>
          <w:sz w:val="18"/>
          <w:szCs w:val="18"/>
          <w:lang w:eastAsia="en-US"/>
        </w:rPr>
        <w:t>REF-SED3</w:t>
      </w:r>
      <w:r w:rsidR="007E07E8" w:rsidRPr="00EC507D">
        <w:rPr>
          <w:rFonts w:ascii="Times" w:hAnsi="Times"/>
          <w:sz w:val="18"/>
          <w:szCs w:val="18"/>
          <w:lang w:eastAsia="en-US"/>
        </w:rPr>
        <w:t xml:space="preserve"> </w:t>
      </w:r>
      <w:r w:rsidR="00B24CF5" w:rsidRPr="00EC507D">
        <w:rPr>
          <w:rFonts w:ascii="Times" w:hAnsi="Times"/>
          <w:sz w:val="18"/>
          <w:szCs w:val="18"/>
          <w:lang w:eastAsia="en-US"/>
        </w:rPr>
        <w:t xml:space="preserve">to investigate the sensitivity </w:t>
      </w:r>
      <w:r w:rsidR="00E23947" w:rsidRPr="00EC507D">
        <w:rPr>
          <w:rFonts w:ascii="Times" w:hAnsi="Times"/>
          <w:sz w:val="18"/>
          <w:szCs w:val="18"/>
          <w:lang w:eastAsia="en-US"/>
        </w:rPr>
        <w:t>of</w:t>
      </w:r>
      <w:r w:rsidR="00B24CF5" w:rsidRPr="00EC507D">
        <w:rPr>
          <w:rFonts w:ascii="Times" w:hAnsi="Times"/>
          <w:sz w:val="18"/>
          <w:szCs w:val="18"/>
          <w:lang w:eastAsia="en-US"/>
        </w:rPr>
        <w:t xml:space="preserve"> a more radiogenic seafloor sedimentary source from the abyssal Pacific.   </w:t>
      </w:r>
      <w:r w:rsidR="007E07E8" w:rsidRPr="00EC507D">
        <w:rPr>
          <w:rFonts w:ascii="Times" w:hAnsi="Times"/>
          <w:sz w:val="18"/>
          <w:szCs w:val="18"/>
          <w:lang w:eastAsia="en-US"/>
        </w:rPr>
        <w:t xml:space="preserve"> </w:t>
      </w:r>
    </w:p>
    <w:p w14:paraId="0E5974AE" w14:textId="77777777" w:rsidR="007E07E8" w:rsidRPr="00EC507D" w:rsidRDefault="007E07E8" w:rsidP="005C6A18">
      <w:pPr>
        <w:rPr>
          <w:rFonts w:ascii="Times" w:hAnsi="Times"/>
          <w:sz w:val="18"/>
          <w:szCs w:val="18"/>
          <w:lang w:eastAsia="en-US"/>
        </w:rPr>
      </w:pPr>
    </w:p>
    <w:p w14:paraId="789001A6" w14:textId="07F90B36" w:rsidR="00F32B27" w:rsidRPr="00EC507D" w:rsidRDefault="005C6A18" w:rsidP="005C6A18">
      <w:pPr>
        <w:rPr>
          <w:rFonts w:ascii="Times" w:hAnsi="Times"/>
          <w:sz w:val="18"/>
          <w:szCs w:val="18"/>
        </w:rPr>
      </w:pPr>
      <w:r w:rsidRPr="00EC507D">
        <w:rPr>
          <w:rFonts w:ascii="Times" w:hAnsi="Times"/>
          <w:sz w:val="18"/>
          <w:szCs w:val="18"/>
          <w:lang w:eastAsia="en-US"/>
        </w:rPr>
        <w:t>Along the west</w:t>
      </w:r>
      <w:r w:rsidR="00FD21AA" w:rsidRPr="00EC507D">
        <w:rPr>
          <w:rFonts w:ascii="Times" w:hAnsi="Times"/>
          <w:sz w:val="18"/>
          <w:szCs w:val="18"/>
          <w:lang w:eastAsia="en-US"/>
        </w:rPr>
        <w:t>ern</w:t>
      </w:r>
      <w:r w:rsidRPr="00EC507D">
        <w:rPr>
          <w:rFonts w:ascii="Times" w:hAnsi="Times"/>
          <w:sz w:val="18"/>
          <w:szCs w:val="18"/>
          <w:lang w:eastAsia="en-US"/>
        </w:rPr>
        <w:t xml:space="preserve"> Pacific margin</w:t>
      </w:r>
      <w:r w:rsidR="00FD21AA" w:rsidRPr="00EC507D">
        <w:rPr>
          <w:rFonts w:ascii="Times" w:hAnsi="Times"/>
          <w:sz w:val="18"/>
          <w:szCs w:val="18"/>
          <w:lang w:eastAsia="en-US"/>
        </w:rPr>
        <w:t>s</w:t>
      </w:r>
      <w:r w:rsidRPr="00EC507D">
        <w:rPr>
          <w:rFonts w:ascii="Times" w:hAnsi="Times"/>
          <w:sz w:val="18"/>
          <w:szCs w:val="18"/>
          <w:lang w:eastAsia="en-US"/>
        </w:rPr>
        <w:t xml:space="preserve">, numerous studies have demonstrated the relabelling of water masses by a radiogenic lithogenic source, particularly </w:t>
      </w:r>
      <w:r w:rsidR="00216F55" w:rsidRPr="00EC507D">
        <w:rPr>
          <w:rFonts w:ascii="Times" w:hAnsi="Times"/>
          <w:sz w:val="18"/>
          <w:szCs w:val="18"/>
          <w:lang w:eastAsia="en-US"/>
        </w:rPr>
        <w:t>by</w:t>
      </w:r>
      <w:r w:rsidRPr="00EC507D">
        <w:rPr>
          <w:rFonts w:ascii="Times" w:hAnsi="Times"/>
          <w:sz w:val="18"/>
          <w:szCs w:val="18"/>
          <w:lang w:eastAsia="en-US"/>
        </w:rPr>
        <w:t xml:space="preserve"> remobilised sediments </w:t>
      </w:r>
      <w:r w:rsidR="00216F55" w:rsidRPr="00EC507D">
        <w:rPr>
          <w:rFonts w:ascii="Times" w:hAnsi="Times"/>
          <w:sz w:val="18"/>
          <w:szCs w:val="18"/>
          <w:lang w:eastAsia="en-US"/>
        </w:rPr>
        <w:t>from</w:t>
      </w:r>
      <w:r w:rsidRPr="00EC507D">
        <w:rPr>
          <w:rFonts w:ascii="Times" w:hAnsi="Times"/>
          <w:sz w:val="18"/>
          <w:szCs w:val="18"/>
          <w:lang w:eastAsia="en-US"/>
        </w:rPr>
        <w:t xml:space="preserve"> highly reactive basaltic volcanic islands, demonstrating </w:t>
      </w:r>
      <w:r w:rsidR="00216F55" w:rsidRPr="00EC507D">
        <w:rPr>
          <w:rFonts w:ascii="Times" w:hAnsi="Times"/>
          <w:sz w:val="18"/>
          <w:szCs w:val="18"/>
          <w:lang w:eastAsia="en-US"/>
        </w:rPr>
        <w:t>that these are</w:t>
      </w:r>
      <w:r w:rsidRPr="00EC507D">
        <w:rPr>
          <w:rFonts w:ascii="Times" w:hAnsi="Times"/>
          <w:sz w:val="18"/>
          <w:szCs w:val="18"/>
          <w:lang w:eastAsia="en-US"/>
        </w:rPr>
        <w:t xml:space="preserve"> critical area</w:t>
      </w:r>
      <w:r w:rsidR="00216F55" w:rsidRPr="00EC507D">
        <w:rPr>
          <w:rFonts w:ascii="Times" w:hAnsi="Times"/>
          <w:sz w:val="18"/>
          <w:szCs w:val="18"/>
          <w:lang w:eastAsia="en-US"/>
        </w:rPr>
        <w:t>s</w:t>
      </w:r>
      <w:r w:rsidRPr="00EC507D">
        <w:rPr>
          <w:rFonts w:ascii="Times" w:hAnsi="Times"/>
          <w:sz w:val="18"/>
          <w:szCs w:val="18"/>
          <w:lang w:eastAsia="en-US"/>
        </w:rPr>
        <w:t xml:space="preserve"> in determining the </w:t>
      </w:r>
      <w:r w:rsidRPr="00EC507D">
        <w:rPr>
          <w:rFonts w:ascii="Times" w:hAnsi="Times"/>
          <w:sz w:val="18"/>
          <w:szCs w:val="18"/>
        </w:rPr>
        <w:t>ε</w:t>
      </w:r>
      <w:r w:rsidRPr="00EC507D">
        <w:rPr>
          <w:rFonts w:ascii="Times" w:hAnsi="Times"/>
          <w:sz w:val="18"/>
          <w:szCs w:val="18"/>
          <w:vertAlign w:val="subscript"/>
        </w:rPr>
        <w:t>Nd</w:t>
      </w:r>
      <w:r w:rsidRPr="00EC507D">
        <w:rPr>
          <w:rFonts w:ascii="Times" w:hAnsi="Times"/>
          <w:sz w:val="18"/>
          <w:szCs w:val="18"/>
          <w:lang w:eastAsia="en-US"/>
        </w:rPr>
        <w:t xml:space="preserve"> features of northward flowing Pacific equatorial water masses </w:t>
      </w:r>
      <w:r w:rsidRPr="00EC507D">
        <w:rPr>
          <w:rFonts w:ascii="Times" w:hAnsi="Times"/>
          <w:sz w:val="18"/>
          <w:szCs w:val="18"/>
        </w:rPr>
        <w:fldChar w:fldCharType="begin" w:fldLock="1"/>
      </w:r>
      <w:r w:rsidR="0065012F">
        <w:rPr>
          <w:rFonts w:ascii="Times" w:hAnsi="Times"/>
          <w:sz w:val="18"/>
          <w:szCs w:val="18"/>
        </w:rPr>
        <w:instrText xml:space="preserve">ADDIN CSL_CITATION {"citationItems":[{"id":"ITEM-1","itemData":{"DOI":"10.1029/2012JC008239","ISBN":"2169-9291","ISSN":"21699291","abstract":"Neodymium isotopic compositions (εNd) and rare earth element (REE) concentrations were measured for filtered surface to deep waters (112 samples) in the Southern Tropical Pacific. The relatively detailed picture of these tracer distributions allowed us to refine the areas where oceanic εNd variations occur. εNd values increase for most of the water masses flowing from Samoa to the Solomon Sea and in the Papua New Guinea (PNG) area, as already observed. Furthermore, water masses arriving from the eastern equatorial Pacific (200-550m depth) also revealed radiogenic values, possibly acquired in the vicinity of the South American coasts and Galapagos Islands. These εNd variations affect the whole water column. The most likely process causing such variations is \"boundary exchange\" between the numerous radiogenic slopes/margins located in this area and seawater flowing past. Dissolution of atmospheric deposition and/or diffuse streaming of volcanic ash are also suggested to explain the radiogenic εNd observed at the surface in the PNG area. Interestingly, a positive europium (Eu) anomaly characterizes the normalized REE patterns of most of the studied water masses. This anomaly is consistent with the REE patterns of sediment and rock samples that are potential sources for the local waters. Such consistency reinforces the hypothesis that lithogenic sources play a major role in the oceanic REE budget, thanks to \"boundary exchange.\" The data set presented here is a good basis for further sampling that will be realized in the framework of the ongoing GEOTRACES program (www.geotraces.org). © 2012 American Geophysical Union. All Rights Reserved.","author":[{"dropping-particle":"","family":"Grenier","given":"Mélanie","non-dropping-particle":"","parse-names":false,"suffix":""},{"dropping-particle":"","family":"Jeandel","given":"Catherine","non-dropping-particle":"","parse-names":false,"suffix":""},{"dropping-particle":"","family":"Lacan","given":"François","non-dropping-particle":"","parse-names":false,"suffix":""},{"dropping-particle":"","family":"Vance","given":"Derek","non-dropping-particle":"","parse-names":false,"suffix":""},{"dropping-particle":"","family":"Venchiarutti","given":"Célia","non-dropping-particle":"","parse-names":false,"suffix":""},{"dropping-particle":"","family":"Cros","given":"Alexandre","non-dropping-particle":"","parse-names":false,"suffix":""},{"dropping-particle":"","family":"Cravatte","given":"Sophie","non-dropping-particle":"","parse-names":false,"suffix":""}],"container-title":"Journal of Geophysical Research: Oceans","id":"ITEM-1","issue":"2","issued":{"date-parts":[["2013","2","1"]]},"page":"592-618","publisher":"Blackwell Publishing Ltd","title":"From the subtropics to the central equatorial Pacific Ocean: Neodymium isotopic composition and rare earth element concentration variations","type":"article-journal","volume":"118"},"uris":["http://www.mendeley.com/documents/?uuid=566225df-932b-4829-96db-a3e57de3a2dd"]},{"id":"ITEM-2","itemData":{"DOI":"10.1016/j.epsl.2005.01.004","ISSN":"0012821X","abstract":"Continental margins are, via river sediment discharges, the major source of a number of elements to the ocean. They are also, for several reactive elements, sites of preferential removal from the water column, due to enhanced scavenging [1] [M.P. Bacon, Tracers of chemical scavenging in the ocean: Boundary effects and large-scale chemical fractionation, Philos. Trans. R. Soc. Lond., A 325 (1988) 147-160.]. They can therefore be understood as sources of elements for the ocean, sinks or both. Although exchanges of matter are suspected to occur at the continent/ocean interface [2] [P.H. Santschi, L. Guo, I.D. Walsh, M.S. Quigley, M. Baskaran, Boundary exchange and scavenging of radionuclides in continental margin waters of the Middle Atlantic Bight: implications for organic carbon fluxes, Cont. Shelf Res. 19 (1999) 609-636.] and despite their probable importance for the ocean chemistry, closed budgets have still yet to be determined. Here, based on neodymium isotopic composition data obtained during the past 6 yr, we document and quantify significant neodymium exchange at ocean boundaries, in areas covering a large spectra of hydrographical, biological and geochemical characteristics: Eastern Indian Ocean, Western Equatorial Pacific, Western Tropical Pacific and Northwestern Atlantic, with neodymium removal fluxes accounting for 74±23%, 100±38%, 62±54% and 84±45% of the neodymium input fluxes, respectively. Recognition of boundary exchange and its potential globalization have important implications for (1) our understanding of margin/ocean interactions and their influence on the oceanic isotopic chemistry, and (2) geochemical cycling of reactive elements (including pollutants) at ocean margins. © 2005 Elsevier B.V. All rights reserved.","author":[{"dropping-particle":"","family":"Lacan","given":"Francois","non-dropping-particle":"","parse-names":false,"suffix":""},{"dropping-particle":"","family":"Jeandel","given":"C","non-dropping-particle":"","parse-names":false,"suffix":""}],"container-title":"Earth and Planetary Science Letters","id":"ITEM-2","issue":"3-4","issued":{"date-parts":[["2005","4","15"]]},"page":"245-257","publisher":"Elsevier","title":"Neodymium isotopes as a new tool for quantifying exchange fluxes at the continent-ocean interface","type":"article-journal","volume":"232"},"uris":["http://www.mendeley.com/documents/?uuid=836061e4-35af-3bdd-8d94-3421f49925dc"]},{"id":"ITEM-3","itemData":{"DOI":"10.3389/fmars.2020.603761","ISSN":"22967745","abstract":"The sluggish water mass transport in the deeper North Pacific Ocean complicates the assessment of formation, spreading and mixing of surface, intermediate and deep-water masses based on standard hydrographic parameters alone. Geochemical tracers sensitive to water mass provenance and mixing allow to better characterize the origin and fate of the prevailing water masses. Here, we present dissolved neodymium (Nd) isotope compositions (εNd) and concentrations ([Nd]) obtained along a longitudinal transect at </w:instrText>
      </w:r>
      <w:r w:rsidR="0065012F">
        <w:rPr>
          <w:rFonts w:ascii="Cambria Math" w:hAnsi="Cambria Math" w:cs="Cambria Math"/>
          <w:sz w:val="18"/>
          <w:szCs w:val="18"/>
        </w:rPr>
        <w:instrText>∼</w:instrText>
      </w:r>
      <w:r w:rsidR="0065012F">
        <w:rPr>
          <w:rFonts w:ascii="Times" w:hAnsi="Times"/>
          <w:sz w:val="18"/>
          <w:szCs w:val="18"/>
        </w:rPr>
        <w:instrText xml:space="preserve">180°E from </w:instrText>
      </w:r>
      <w:r w:rsidR="0065012F">
        <w:rPr>
          <w:rFonts w:ascii="Cambria Math" w:hAnsi="Cambria Math" w:cs="Cambria Math"/>
          <w:sz w:val="18"/>
          <w:szCs w:val="18"/>
        </w:rPr>
        <w:instrText>∼</w:instrText>
      </w:r>
      <w:r w:rsidR="0065012F">
        <w:rPr>
          <w:rFonts w:ascii="Times" w:hAnsi="Times"/>
          <w:sz w:val="18"/>
          <w:szCs w:val="18"/>
        </w:rPr>
        <w:instrText xml:space="preserve">7°S to </w:instrText>
      </w:r>
      <w:r w:rsidR="0065012F">
        <w:rPr>
          <w:rFonts w:ascii="Cambria Math" w:hAnsi="Cambria Math" w:cs="Cambria Math"/>
          <w:sz w:val="18"/>
          <w:szCs w:val="18"/>
        </w:rPr>
        <w:instrText>∼</w:instrText>
      </w:r>
      <w:r w:rsidR="0065012F">
        <w:rPr>
          <w:rFonts w:ascii="Times" w:hAnsi="Times"/>
          <w:sz w:val="18"/>
          <w:szCs w:val="18"/>
        </w:rPr>
        <w:instrText xml:space="preserve">50°N. The strongest contrast in Nd isotope signatures is observed in equatorial regions between surface waters (εNd </w:instrText>
      </w:r>
      <w:r w:rsidR="0065012F">
        <w:rPr>
          <w:rFonts w:ascii="Cambria Math" w:hAnsi="Cambria Math" w:cs="Cambria Math"/>
          <w:sz w:val="18"/>
          <w:szCs w:val="18"/>
        </w:rPr>
        <w:instrText>∼</w:instrText>
      </w:r>
      <w:r w:rsidR="0065012F">
        <w:rPr>
          <w:rFonts w:ascii="Times" w:hAnsi="Times"/>
          <w:sz w:val="18"/>
          <w:szCs w:val="18"/>
        </w:rPr>
        <w:instrText xml:space="preserve">0 at 4.5°N) and Lower Circumpolar Deep Water (LCDW) prevailing at 4500 m depth (εNd = −6.7 at 7.2°N). The Nd isotope compositions of equatorial surface and subsurface waters are strongly influenced by regional inputs from the volcanic rocks surrounding the Pacific, which facilitates the identification of the source regions of these waters and seasonal changes in their advection along the equator. Highly radiogenic weathering inputs from Papua-New-Guinea control the εNd signature of the equatorial surface waters and strongly alter the εNd signal of Antarctic Intermediate Water (AAIW) by sea water-particle interactions leading to an εNd shift from −5.3 to −1.7 and an increase in [Nd] from 8.5 to 11.0 pmol/kg between 7°S and 15°N. Further north in the open North Pacific, mixing calculations based on εNd, [Nd] and salinity suggest that this modification of the AAIW composition has a strong impact on intermediate water εNd signatures of the entire region allowing for improved identification of the formation regions and pathways of North Pacific Intermediate Water (NPIW). The deep-water Nd isotope signatures indicate a southern Pacific origin and subsequent changes along its trajectory resulting from a combination of water mass mixing, vertical processes and Nd release from seafloor sediments, which precludes Nd isotopes as quantitative tracers of deep-water mass mixing. Moreover, comparison with previously reported data indicates that the Nd isotope signatures and concentrations below 100 m depth essentially remained stable over the past decades, which suggests constant impacts of water mass advection and mixing as well as of non-conservative vertical exchange and bottom release.","author":[{"dropping-particle":"","family":"Fuhr","given":"Michael","non-dropping-particle":"","parse-names":false,"suffix":""},{"dropping-particle":"","family":"Laukert","given":"Georgi","non-dropping-particle":"","parse-names":false,"suffix":""},{"dropping-particle":"","family":"Yu","given":"Yang","non-dropping-particle":"","parse-names":false,"suffix":""},{"dropping-particle":"","family":"Nürnberg","given":"Dirk","non-dropping-particle":"","parse-names":false,"suffix":""},{"dropping-particle":"","family":"Frank","given":"Martin","non-dropping-particle":"","parse-names":false,"suffix":""}],"container-title":"Frontiers in Marine Science","id":"ITEM-3","issued":{"date-parts":[["2021","2","9"]]},"page":"1261","publisher":"Frontiers Media S.A.","title":"Tracing Water Mass Mixing From the Equatorial to the North Pacific Ocean With Dissolved Neodymium Isotopes and Concentrations","type":"article-journal","volume":"7"},"uris":["http://www.mendeley.com/documents/?uuid=78acc3c6-2e46-47d3-b22c-c649b26cc22a"]},{"id":"ITEM-4","itemData":{"DOI":"10.1029/1999JC000285","ISBN":"0148-0227","ISSN":"0148-0227","PMID":"17439377","abstract":"The oceanic Nd budget is calculated using a steady state 10-box model and a compilation of field data. This is the first attempt to propose consistent estimates of the Nd fluxes entering the ocean, as well as indicating possible Nd sources and the proportion of Nd fluxes exchanged between dissolved and particulate fractions. With presently available Nd data the best estimates give a total Nd influx of 9 x 10(9) g/yr, which leads to an oceanic Nd residence time of 500 years. From modeling tests we suggest that the authigenic Nd scavenged by particulates is 100% remineralized in the deep ocean. The total exchanged Nd flux may be as high as 2 x 10(10) g/yr. The epsilon(Nd(0)) values of the influxes are -22, -11, +1, and -4 for the North Atlantic, surface Atlantic, North Pacific, and surface Indo-Pacific regions, respectively. Atmospheric and riverine Nd fluxes are insufficient to explain the magnitude and regional variability of calculated Nd influxes and epsilon(Nd(0)). We propose continental margins as an additional source supplying Nd to the ocean. Using the model calibrated for Nd, we examine the sensitivity of deep water epsilon(Nd(0)) to variations of Nd inputs to the ocean. Deep water Nd concentrations and epsilon(Nd(0)) vary with the changes in Nd influxes and their epsilon(Nd(0)). As Nd sources to the ocean may change during glacial/interglacial periods, the epsilon(Nd(0)) shifts recorded in ferromanganese nodules and crusts do not necessarily reflect changes in paleoceanic circulation. The effects of continental erosion should be considered in reconstructing patterns of ocean circulation using Nd isotopes.","author":[{"dropping-particle":"","family":"Tachikawa","given":"K.","non-dropping-particle":"","parse-names":false,"suffix":""},{"dropping-particle":"","family":"Athias","given":"V.","non-dropping-particle":"","parse-names":false,"suffix":""},{"dropping-particle":"","family":"Jeandel","given":"C.","non-dropping-particle":"","parse-names":false,"suffix":""}],"container-title":"Journal of Geophysical Research","id":"ITEM-4","issue":"C8","issued":{"date-parts":[["2003","8","1"]]},"note":"Purpose of the study is to constain the Nd inventory in the mordern ocean using both a compliation of all the available Nd data and a numerical model.","page":"3254","title":"Neodymium budget in the modern ocean and paleo-oceanographic implications","type":"article-journal","volume":"108"},"uris":["http://www.mendeley.com/documents/?uuid=0f9c0bfe-df00-3deb-81e5-6e21c394e160"]},{"id":"ITEM-5","itemData":{"DOI":"10.1016/j.gca.2017.11.008","ISSN":"00167037","abstract":"In the Atlantic, where deep circulation is vigorous, the dissolved neodymium (Nd) isotopic composition (expressed as </w:instrText>
      </w:r>
      <w:r w:rsidR="0065012F">
        <w:rPr>
          <w:sz w:val="18"/>
          <w:szCs w:val="18"/>
        </w:rPr>
        <w:instrText>ɛ</w:instrText>
      </w:r>
      <w:r w:rsidR="0065012F">
        <w:rPr>
          <w:rFonts w:ascii="Times" w:hAnsi="Times"/>
          <w:sz w:val="18"/>
          <w:szCs w:val="18"/>
        </w:rPr>
        <w:instrText xml:space="preserve">Nd) is largely controlled by water mass mixing. In contrast, the factors influencing the </w:instrText>
      </w:r>
      <w:r w:rsidR="0065012F">
        <w:rPr>
          <w:sz w:val="18"/>
          <w:szCs w:val="18"/>
        </w:rPr>
        <w:instrText>ɛ</w:instrText>
      </w:r>
      <w:r w:rsidR="0065012F">
        <w:rPr>
          <w:rFonts w:ascii="Times" w:hAnsi="Times"/>
          <w:sz w:val="18"/>
          <w:szCs w:val="18"/>
        </w:rPr>
        <w:instrText xml:space="preserve">Nd distribution in the Pacific, marked by sluggish circulation, is not clear yet. Indication for regional overprints in the Pacific is given based on its bordering volcanic islands. Our study aims to clarify the impact and relative importance of different Nd sources (rivers, volcanic islands), vertical (bio)geochemical processes and lateral water mass transport in controlling dissolved </w:instrText>
      </w:r>
      <w:r w:rsidR="0065012F">
        <w:rPr>
          <w:sz w:val="18"/>
          <w:szCs w:val="18"/>
        </w:rPr>
        <w:instrText>ɛ</w:instrText>
      </w:r>
      <w:r w:rsidR="0065012F">
        <w:rPr>
          <w:rFonts w:ascii="Times" w:hAnsi="Times"/>
          <w:sz w:val="18"/>
          <w:szCs w:val="18"/>
        </w:rPr>
        <w:instrText xml:space="preserve">Nd and Nd concentration ([Nd]) distributions in the West Pacific between South Korea and Fiji. We find indication for unradiogenic continental input from South Korean and Chinese rivers to the East China Sea. In the tropical West Pacific, volcanic islands supply Nd to surface and subsurface waters and modify their </w:instrText>
      </w:r>
      <w:r w:rsidR="0065012F">
        <w:rPr>
          <w:sz w:val="18"/>
          <w:szCs w:val="18"/>
        </w:rPr>
        <w:instrText>ɛ</w:instrText>
      </w:r>
      <w:r w:rsidR="0065012F">
        <w:rPr>
          <w:rFonts w:ascii="Times" w:hAnsi="Times"/>
          <w:sz w:val="18"/>
          <w:szCs w:val="18"/>
        </w:rPr>
        <w:instrText xml:space="preserve">Nd to radiogenic values of up to +0.7. These radiogenic signatures allow detailed tracing of currents flowing to the east and differentiation from westward currents with open ocean Pacific </w:instrText>
      </w:r>
      <w:r w:rsidR="0065012F">
        <w:rPr>
          <w:sz w:val="18"/>
          <w:szCs w:val="18"/>
        </w:rPr>
        <w:instrText>ɛ</w:instrText>
      </w:r>
      <w:r w:rsidR="0065012F">
        <w:rPr>
          <w:rFonts w:ascii="Times" w:hAnsi="Times"/>
          <w:sz w:val="18"/>
          <w:szCs w:val="18"/>
        </w:rPr>
        <w:instrText xml:space="preserve">Nd composition in the complex tropical Pacific zonal current system. Modified radiogenic </w:instrText>
      </w:r>
      <w:r w:rsidR="0065012F">
        <w:rPr>
          <w:sz w:val="18"/>
          <w:szCs w:val="18"/>
        </w:rPr>
        <w:instrText>ɛ</w:instrText>
      </w:r>
      <w:r w:rsidR="0065012F">
        <w:rPr>
          <w:rFonts w:ascii="Times" w:hAnsi="Times"/>
          <w:sz w:val="18"/>
          <w:szCs w:val="18"/>
        </w:rPr>
        <w:instrText xml:space="preserve">Nd of West Pacific intermediate to bottom waters upstream or within our section also indicates non-conservative behavior of </w:instrText>
      </w:r>
      <w:r w:rsidR="0065012F">
        <w:rPr>
          <w:sz w:val="18"/>
          <w:szCs w:val="18"/>
        </w:rPr>
        <w:instrText>ɛ</w:instrText>
      </w:r>
      <w:r w:rsidR="0065012F">
        <w:rPr>
          <w:rFonts w:ascii="Times" w:hAnsi="Times"/>
          <w:sz w:val="18"/>
          <w:szCs w:val="18"/>
        </w:rPr>
        <w:instrText xml:space="preserve">Nd due to boundary exchange at volcanic island margins, submarine ridges, and with hydrothermal particles. Only subsurface to deep waters (3000 m) in the open Northwest Pacific show conservative behavior of </w:instrText>
      </w:r>
      <w:r w:rsidR="0065012F">
        <w:rPr>
          <w:sz w:val="18"/>
          <w:szCs w:val="18"/>
        </w:rPr>
        <w:instrText>ɛ</w:instrText>
      </w:r>
      <w:r w:rsidR="0065012F">
        <w:rPr>
          <w:rFonts w:ascii="Times" w:hAnsi="Times"/>
          <w:sz w:val="18"/>
          <w:szCs w:val="18"/>
        </w:rPr>
        <w:instrText xml:space="preserve">Nd. In contrast, we find a striking correlation of extremely low (down to 2.77 pmol/kg Nd) and laterally constant [Nd] with the high-salinity North and South Pacific Tropical Water, indicating lateral transport of preformed [Nd] from the North and South Pacific subtropical gyres into the study area. This observation also explains the previously observed low subsurface [Nd] in the tropical West Pacific. Similarly, Western South Pacific Central Water, Antarctic Intermediate Water, and Lower Circumpolar Deep Water in the southern and equatorial West Pacific are marked by vertically and laterally almost invariant [Nd] indicating a dominance of conservative behavior of [Nd]. In contrast, Central and Intermediate Water in the North West Pacific are characterized by increasing [Nd] with depth reflecting Nd release from particles. Overall, our data demonstrate a dominant lateral transport control on [Nd] distributions and clear non-conservative modification of </w:instrText>
      </w:r>
      <w:r w:rsidR="0065012F">
        <w:rPr>
          <w:sz w:val="18"/>
          <w:szCs w:val="18"/>
        </w:rPr>
        <w:instrText>ɛ</w:instrText>
      </w:r>
      <w:r w:rsidR="0065012F">
        <w:rPr>
          <w:rFonts w:ascii="Times" w:hAnsi="Times"/>
          <w:sz w:val="18"/>
          <w:szCs w:val="18"/>
        </w:rPr>
        <w:instrText>N…","author":[{"dropping-particle":"","family":"Behrens","given":"Melanie K.","non-dropping-particle":"","parse-names":false,"suffix":""},{"dropping-particle":"","family":"Pahnke","given":"Katharina","non-dropping-particle":"","parse-names":false,"suffix":""},{"dropping-particle":"","family":"Schnetger","given":"Bernhard","non-dropping-particle":"","parse-names":false,"suffix":""},{"dropping-particle":"","family":"Brumsack","given":"Hans Jürgen","non-dropping-particle":"","parse-names":false,"suffix":""}],"container-title":"Geochimica et Cosmochimica Acta","id":"ITEM-5","issued":{"date-parts":[["2018","2","1"]]},"page":"508-534","publisher":"Pergamon","title":"Sources and processes affecting the distribution of dissolved Nd isotopes and concentrations in the West Pacific","type":"article-journal","volume":"222"},"uris":["http://www.mendeley.com/documents/?uuid=96eff01d-f667-4f6e-b30e-8d5efd636342"]},{"id":"ITEM-6","itemData":{"DOI":"10.3389/fmars.2018.00050","ISSN":"22967745","abstract":"The Rare Earth Elements (REEs) have been widely used to investigate marine biogeochemical processes as well as the sources and mixing of water masses. However, there are still important uncertainties about the global aqueous REE cycle with respect to the contributions of highly reactive basaltic minerals originating from volcanic islands and the role of Submarine Groundwater Discharge (SGD). Here we present dissolved REE concentrations obtained from waters at the island-ocean interface (including SGD, river, lagoon and coastal waters) from the island of Tahiti and from three detailed open ocean profiles on the Manihiki Plateau (including neodymium (Nd) isotope compositions), which are located in ocean currents downstream of Tahiti. Tahitian fresh waters have highly variable REE concentrations that likely result from variable water-rock interaction and removal by secondary minerals. In contrast to studies on other islands, the SGD samples do not exhibit elevated REE concentrations but have distinctive REE distributions and Y/Ho ratios. The basaltic Tahitian rocks impart a REE pattern to the waters characterized by a middle REE enrichment, with a peak at europium similar to groundwaters and coastal waters of other volcanic islands in the Pacific. However, the basaltic island REE characteristics (with the exception of elevated Y/Ho ratios) are lost during transport to the Manihiki Plateau within surface waters that also exhibit highly radiogenic Nd isotope signatures. Our new data demonstrate that REE concentrations are enriched in Tahitian coastal water, but without multidimensional sampling, basaltic island Nd flux estimates range over orders of magnitude from relatively small to globally significant. Antarctic Intermediate Water (AAIW) loses its characteristic Nd isotopic signature (-6 to -9) around the Manihiki Plateau as a consequence of mixing with South Equatorial Pacific Intermediate Water (SEqPIW), which shows more positive values (-1 to -2). However, an additional Nd input/exchange along the pathway of AAIW, eventually originating from the volcanic Society, Tuamotu and Tubuai Islands (including Tahiti), is indicated by an offset from the mixing array of AAIW and SEqPIW to more radiogenic Nd isotope compositions.","author":[{"dropping-particle":"","family":"Molina-Kescher","given":"Mario","non-dropping-particle":"","parse-names":false,"suffix":""},{"dropping-particle":"","family":"Hathorne","given":"Ed C.","non-dropping-particle":"","parse-names":false,"suffix":""},{"dropping-particle":"","family":"Osborne","given":"Anne H.","non-dropping-particle":"","parse-names":false,"suffix":""},{"dropping-particle":"","family":"Behrens","given":"Melanie K.","non-dropping-particle":"","parse-names":false,"suffix":""},{"dropping-particle":"","family":"Kölling","given":"Martin","non-dropping-particle":"","parse-names":false,"suffix":""},{"dropping-particle":"","family":"Pahnke","given":"Katharina","non-dropping-particle":"","parse-names":false,"suffix":""},{"dropping-particle":"","family":"Frank","given":"Martin","non-dropping-particle":"","parse-names":false,"suffix":""}],"container-title":"Frontiers in Marine Science","id":"ITEM-6","issued":{"date-parts":[["2018","3","2"]]},"page":"50","publisher":"Frontiers Media S. A","title":"The influence of basaltic islands on the oceanic REE distribution: A case study from the Tropical South Pacific","type":"article-journal","volume":"5"},"uris":["http://www.mendeley.com/documents/?uuid=3021b89e-5d87-3ec9-814f-1da92e85c566"]},{"id":"ITEM-7","itemData":{"DOI":"10.1016/S0012-821X(01)00263-1","ISSN":"0012821X","abstract":"The Nd isotopic composition (IC) and Rare Earth patterns of hydrodynamic structures of the Equatorial Pacific Ocean were characterized along 140°W. The Nd IC of Antarctic Intermediate Water (AAIW) and of the lower layer of the Equatorial Undercurrent (EUC) at 140°W (13°C Water) are much more radiogenic at the equator than at their origin in the South Equatorial Current (12°S), revealing that these water masses have been in contact with the highly radiogenic Papua New Guinea (PNG) slope. In both cases, only a small fraction (less than 9%) of the sediment deposited on the PNG slope is required to be exchanged or dissolved to explain these Nd IC variations, whereas the hydrographic properties of the same water masses remain unchanged. This confirms the usefulness of this tracer to identify pathways of water masses. These results emphasize the importance of jets in transporting lithogenic material into the subsurface layers of remote areas, where aeolian inputs are particularly weak and corroborate the previous results on Fe and Al maximum in this area [M.L. Wells, G.K. Vallis, E.A. Silver, Nature 398 (1998) 601-604]. The Nd IC of the upper layer of the EUC contrasts strongly to that of the subpycnocline layer, indicating that the equatorial upwelling only affects the surface waters and is not effective between 120 and 150 m. We calculate that the Nd imprint of the PNG input is likely to vanish from this surface layer as it traverses the basin, due to the replacement of upwelled waters by non-radiogenic ones. © 2001 Elsevier Science B.V. All rights reserved.","author":[{"dropping-particle":"","family":"Lacan","given":"F.","non-dropping-particle":"","parse-names":false,"suffix":""},{"dropping-particle":"","family":"Jeandel","given":"C.","non-dropping-particle":"","parse-names":false,"suffix":""}],"container-title":"Earth and Planetary Science Letters","id":"ITEM-7","issue":"3-4","issued":{"date-parts":[["2001","4","15"]]},"page":"497-512","publisher":"Elsevier","title":"Tracing Papua New Guinea imprint on the central Equatorial Pacific Ocean using neodymium isotopic compositions and rare earth element patterns","type":"article-journal","volume":"186"},"uris":["http://www.mendeley.com/documents/?uuid=480afd30-8823-39c4-b4f8-ff4d8fc2becd"]}],"mendeley":{"formattedCitation":"(Grenier et al., 2013; Lacan and Jeandel, 2005b; Fuhr et al., 2021; Tachikawa et al., 2003; Behrens et al., 2018; Molina-Kescher et al., 2018; Lacan and Jeandel, 2001)","plainTextFormattedCitation":"(Grenier et al., 2013; Lacan and Jeandel, 2005b; Fuhr et al., 2021; Tachikawa et al., 2003; Behrens et al., 2018; Molina-Kescher et al., 2018; Lacan and Jeandel, 2001)","previouslyFormattedCitation":"(Grenier et al., 2013; Lacan and Jeandel, 2005b; Fuhr et al., 2021; Tachikawa et al., 2003; Behrens et al., 2018; Molina-Kescher et al., 2018; Lacan and Jeandel, 2001)"},"properties":{"noteIndex":0},"schema":"https://github.com/citation-style-language/schema/raw/master/csl-citation.json"}</w:instrText>
      </w:r>
      <w:r w:rsidRPr="00EC507D">
        <w:rPr>
          <w:rFonts w:ascii="Times" w:hAnsi="Times"/>
          <w:sz w:val="18"/>
          <w:szCs w:val="18"/>
        </w:rPr>
        <w:fldChar w:fldCharType="separate"/>
      </w:r>
      <w:r w:rsidR="00734358" w:rsidRPr="00734358">
        <w:rPr>
          <w:rFonts w:ascii="Times" w:hAnsi="Times"/>
          <w:noProof/>
          <w:sz w:val="18"/>
          <w:szCs w:val="18"/>
        </w:rPr>
        <w:t>(Grenier et al., 2013; Lacan and Jeandel, 2005b; Fuhr et al., 2021; Tachikawa et al., 2003; Behrens et al., 2018; Molina-Kescher et al., 2018; Lacan and Jeandel, 2001)</w:t>
      </w:r>
      <w:r w:rsidRPr="00EC507D">
        <w:rPr>
          <w:rFonts w:ascii="Times" w:hAnsi="Times"/>
          <w:sz w:val="18"/>
          <w:szCs w:val="18"/>
        </w:rPr>
        <w:fldChar w:fldCharType="end"/>
      </w:r>
      <w:r w:rsidRPr="00EC507D">
        <w:rPr>
          <w:rFonts w:ascii="Times" w:hAnsi="Times"/>
          <w:sz w:val="18"/>
          <w:szCs w:val="18"/>
        </w:rPr>
        <w:t xml:space="preserve">. </w:t>
      </w:r>
      <w:r w:rsidR="0058716F" w:rsidRPr="00EC507D">
        <w:rPr>
          <w:rFonts w:ascii="Times" w:hAnsi="Times"/>
          <w:sz w:val="18"/>
          <w:szCs w:val="18"/>
        </w:rPr>
        <w:t>The threshold ε</w:t>
      </w:r>
      <w:r w:rsidR="0058716F" w:rsidRPr="00EC507D">
        <w:rPr>
          <w:rFonts w:ascii="Times" w:hAnsi="Times"/>
          <w:sz w:val="18"/>
          <w:szCs w:val="18"/>
          <w:vertAlign w:val="subscript"/>
        </w:rPr>
        <w:t>Nd</w:t>
      </w:r>
      <w:r w:rsidR="0058716F" w:rsidRPr="00EC507D">
        <w:rPr>
          <w:rFonts w:ascii="Times" w:hAnsi="Times"/>
          <w:sz w:val="18"/>
          <w:szCs w:val="18"/>
        </w:rPr>
        <w:t xml:space="preserve"> values for the ‘Western Equatorial Pacific and northwest subtropical Pacific’ region</w:t>
      </w:r>
      <w:r w:rsidR="0058716F" w:rsidRPr="00EC507D">
        <w:rPr>
          <w:rFonts w:ascii="Times" w:hAnsi="Times"/>
          <w:sz w:val="18"/>
          <w:szCs w:val="18"/>
          <w:lang w:eastAsia="en-US"/>
        </w:rPr>
        <w:t xml:space="preserve">, is set to +4 in both </w:t>
      </w:r>
      <w:r w:rsidR="0058716F" w:rsidRPr="00EC507D">
        <w:rPr>
          <w:rFonts w:ascii="Times" w:hAnsi="Times"/>
          <w:i/>
          <w:iCs/>
          <w:sz w:val="18"/>
          <w:szCs w:val="18"/>
          <w:lang w:eastAsia="en-US"/>
        </w:rPr>
        <w:t>REF-SED2</w:t>
      </w:r>
      <w:r w:rsidR="0058716F" w:rsidRPr="00EC507D">
        <w:rPr>
          <w:rFonts w:ascii="Times" w:hAnsi="Times"/>
          <w:sz w:val="18"/>
          <w:szCs w:val="18"/>
          <w:lang w:eastAsia="en-US"/>
        </w:rPr>
        <w:t xml:space="preserve"> and </w:t>
      </w:r>
      <w:r w:rsidR="0058716F" w:rsidRPr="00EC507D">
        <w:rPr>
          <w:rFonts w:ascii="Times" w:hAnsi="Times"/>
          <w:i/>
          <w:iCs/>
          <w:sz w:val="18"/>
          <w:szCs w:val="18"/>
          <w:lang w:eastAsia="en-US"/>
        </w:rPr>
        <w:t>REF-SED3</w:t>
      </w:r>
      <w:r w:rsidR="0058716F" w:rsidRPr="00EC507D">
        <w:rPr>
          <w:rFonts w:ascii="Times" w:hAnsi="Times"/>
          <w:sz w:val="18"/>
          <w:szCs w:val="18"/>
          <w:lang w:eastAsia="en-US"/>
        </w:rPr>
        <w:t xml:space="preserve">, applying the average estimated </w:t>
      </w:r>
      <w:r w:rsidR="0058716F" w:rsidRPr="00EC507D">
        <w:rPr>
          <w:rFonts w:ascii="Times" w:hAnsi="Times"/>
          <w:sz w:val="18"/>
          <w:szCs w:val="18"/>
        </w:rPr>
        <w:t>ε</w:t>
      </w:r>
      <w:r w:rsidR="0058716F" w:rsidRPr="00EC507D">
        <w:rPr>
          <w:rFonts w:ascii="Times" w:hAnsi="Times"/>
          <w:sz w:val="18"/>
          <w:szCs w:val="18"/>
          <w:vertAlign w:val="subscript"/>
        </w:rPr>
        <w:t>Nd</w:t>
      </w:r>
      <w:r w:rsidR="0058716F" w:rsidRPr="00EC507D">
        <w:rPr>
          <w:rFonts w:ascii="Times" w:hAnsi="Times"/>
          <w:sz w:val="18"/>
          <w:szCs w:val="18"/>
        </w:rPr>
        <w:t xml:space="preserve"> of the proximal radiogenic volcanic island</w:t>
      </w:r>
      <w:r w:rsidR="00216F55" w:rsidRPr="00EC507D">
        <w:rPr>
          <w:rFonts w:ascii="Times" w:hAnsi="Times"/>
          <w:sz w:val="18"/>
          <w:szCs w:val="18"/>
        </w:rPr>
        <w:t>s</w:t>
      </w:r>
      <w:r w:rsidR="0058716F" w:rsidRPr="00EC507D">
        <w:rPr>
          <w:rFonts w:ascii="Times" w:hAnsi="Times"/>
          <w:sz w:val="18"/>
          <w:szCs w:val="18"/>
        </w:rPr>
        <w:t xml:space="preserve"> and </w:t>
      </w:r>
      <w:r w:rsidR="00216F55" w:rsidRPr="00EC507D">
        <w:rPr>
          <w:rFonts w:ascii="Times" w:hAnsi="Times"/>
          <w:sz w:val="18"/>
          <w:szCs w:val="18"/>
        </w:rPr>
        <w:t xml:space="preserve">their </w:t>
      </w:r>
      <w:r w:rsidR="0058716F" w:rsidRPr="00EC507D">
        <w:rPr>
          <w:rFonts w:ascii="Times" w:hAnsi="Times"/>
          <w:sz w:val="18"/>
          <w:szCs w:val="18"/>
        </w:rPr>
        <w:t xml:space="preserve">margins here, </w:t>
      </w:r>
      <w:r w:rsidR="00CC4ED3" w:rsidRPr="00EC507D">
        <w:rPr>
          <w:rFonts w:ascii="Times" w:hAnsi="Times"/>
          <w:sz w:val="18"/>
          <w:szCs w:val="18"/>
        </w:rPr>
        <w:t>specifically the radiogenic ε</w:t>
      </w:r>
      <w:r w:rsidR="00CC4ED3" w:rsidRPr="00EC507D">
        <w:rPr>
          <w:rFonts w:ascii="Times" w:hAnsi="Times"/>
          <w:sz w:val="18"/>
          <w:szCs w:val="18"/>
          <w:vertAlign w:val="subscript"/>
        </w:rPr>
        <w:t>Nd</w:t>
      </w:r>
      <w:r w:rsidR="00CC4ED3" w:rsidRPr="00EC507D">
        <w:rPr>
          <w:rFonts w:ascii="Times" w:hAnsi="Times"/>
          <w:sz w:val="18"/>
          <w:szCs w:val="18"/>
        </w:rPr>
        <w:t xml:space="preserve"> signals from</w:t>
      </w:r>
      <w:r w:rsidR="0058716F" w:rsidRPr="00EC507D">
        <w:rPr>
          <w:rFonts w:ascii="Times" w:hAnsi="Times"/>
          <w:sz w:val="18"/>
          <w:szCs w:val="18"/>
        </w:rPr>
        <w:t xml:space="preserve"> the Philippines and the </w:t>
      </w:r>
      <w:r w:rsidR="00FB358F">
        <w:rPr>
          <w:rFonts w:ascii="Times" w:hAnsi="Times"/>
          <w:sz w:val="18"/>
          <w:szCs w:val="18"/>
        </w:rPr>
        <w:t>n</w:t>
      </w:r>
      <w:r w:rsidR="0058716F" w:rsidRPr="00EC507D">
        <w:rPr>
          <w:rFonts w:ascii="Times" w:hAnsi="Times"/>
          <w:sz w:val="18"/>
          <w:szCs w:val="18"/>
        </w:rPr>
        <w:t xml:space="preserve">orth-eastern Japanese arc </w:t>
      </w:r>
      <w:r w:rsidR="0058716F" w:rsidRPr="00EC507D">
        <w:rPr>
          <w:rFonts w:ascii="Times" w:hAnsi="Times"/>
          <w:sz w:val="18"/>
          <w:szCs w:val="18"/>
        </w:rPr>
        <w:fldChar w:fldCharType="begin" w:fldLock="1"/>
      </w:r>
      <w:r w:rsidR="0058716F" w:rsidRPr="00EC507D">
        <w:rPr>
          <w:rFonts w:ascii="Times" w:hAnsi="Times"/>
          <w:sz w:val="18"/>
          <w:szCs w:val="18"/>
        </w:rPr>
        <w:instrText>ADDIN CSL_CITATION {"citationItems":[{"id":"ITEM-1","itemData":{"DOI":"10.1016/j.chemgeo.2021.120119","ISSN":"00092541","abstract":"Understanding the role of sediment-water interactions in the oceanic cycling of neodymium (Nd) isotopes is essential for its reliable use as a modern and palaeoceanographic tracer of ocean circulation. However, the exact processes that control Nd cycling in the ocean are poorly defined and require an up-to-date knowledge of the sources, sinks and transformation of this tracer to and within the ocean (e.g. as per the GEOTRACES core mission). We propose a considerable improvement of Nd-source identification by providing an extensive and up-to-date compilation of published terrestrial and marine sedimentary Nd isotopic measurements. From this database, we construct high resolution, gridded, global maps that characterise the Nd-isotopic signature of the continental margins and seafloor sediment. Here, we present the database, interpolation methods, and final data products. Consistent with the previous studies that inform our compilation, our global results show unradiogenic detrital Nd isotopic values (εNd ≈ -20) in the North Atlantic, εNd values of ≈ -12 to -7 in the Indian and Southern Ocean, and radiogenic values (εNd ≈ -3 to +4) in the Pacific. The new, high-resolution interpolation is useful for improving conceptual knowledge of Nd sources and sinks and enables the application of isotope-enabled ocean models to understand targeted Nd behaviour in the oceans. Such applications may include: examining the strength and distribution of a possible benthic flux required to reconcile global Nd budgets, establishing the potential use of Nd isotopes as a kinematic tracer of ocean circulation, and a general quantification of the non-conservative sedimentary processes that may contribute to marine Nd cycling.","author":[{"dropping-particle":"","family":"Robinson","given":"Suzanne","non-dropping-particle":"","parse-names":false,"suffix":""},{"dropping-particle":"","family":"Ivanovic","given":"Ruza","non-dropping-particle":"","parse-names":false,"suffix":""},{"dropping-particle":"","family":"Flierdt","given":"Tina","non-dropping-particle":"van de","parse-names":false,"suffix":""},{"dropping-particle":"","family":"Blanchet","given":"Cécile L.","non-dropping-particle":"","parse-names":false,"suffix":""},{"dropping-particle":"","family":"Tachikawa","given":"Kazuyo","non-dropping-particle":"","parse-names":false,"suffix":""},{"dropping-particle":"","family":"Martin","given":"Ellen E.","non-dropping-particle":"","parse-names":false,"suffix":""},{"dropping-particle":"","family":"Cook","given":"Carys P.","non-dropping-particle":"","parse-names":false,"suffix":""},{"dropping-particle":"","family":"Williams","given":"Trevor","non-dropping-particle":"","parse-names":false,"suffix":""},{"dropping-particle":"","family":"Gregoire","given":"Lauren","non-dropping-particle":"","parse-names":false,"suffix":""},{"dropping-particle":"","family":"Plancherel","given":"Yves","non-dropping-particle":"","parse-names":false,"suffix":""},{"dropping-particle":"","family":"Jeandel","given":"Catherine","non-dropping-particle":"","parse-names":false,"suffix":""},{"dropping-particle":"","family":"Arsouze","given":"Thomas","non-dropping-particle":"","parse-names":false,"suffix":""}],"container-title":"Chemical Geology","id":"ITEM-1","issued":{"date-parts":[["2021","4","20"]]},"page":"120119","publisher":"Elsevier","title":"Global continental and marine detrital εNd: An updated compilation for use in understanding marine Nd cycling","type":"article-journal","volume":"567"},"uris":["http://www.mendeley.com/documents/?uuid=3b19c854-6586-3606-be07-fd8e457c5320"]}],"mendeley":{"formattedCitation":"(Robinson et al., 2021)","plainTextFormattedCitation":"(Robinson et al., 2021)","previouslyFormattedCitation":"(Robinson et al., 2021)"},"properties":{"noteIndex":0},"schema":"https://github.com/citation-style-language/schema/raw/master/csl-citation.json"}</w:instrText>
      </w:r>
      <w:r w:rsidR="0058716F" w:rsidRPr="00EC507D">
        <w:rPr>
          <w:rFonts w:ascii="Times" w:hAnsi="Times"/>
          <w:sz w:val="18"/>
          <w:szCs w:val="18"/>
        </w:rPr>
        <w:fldChar w:fldCharType="separate"/>
      </w:r>
      <w:r w:rsidR="0058716F" w:rsidRPr="00EC507D">
        <w:rPr>
          <w:rFonts w:ascii="Times" w:hAnsi="Times"/>
          <w:noProof/>
          <w:sz w:val="18"/>
          <w:szCs w:val="18"/>
        </w:rPr>
        <w:t>(Robinson et al., 2021)</w:t>
      </w:r>
      <w:r w:rsidR="0058716F" w:rsidRPr="00EC507D">
        <w:rPr>
          <w:rFonts w:ascii="Times" w:hAnsi="Times"/>
          <w:sz w:val="18"/>
          <w:szCs w:val="18"/>
        </w:rPr>
        <w:fldChar w:fldCharType="end"/>
      </w:r>
      <w:r w:rsidR="0058716F" w:rsidRPr="00EC507D">
        <w:rPr>
          <w:rFonts w:ascii="Times" w:hAnsi="Times"/>
          <w:sz w:val="18"/>
          <w:szCs w:val="18"/>
        </w:rPr>
        <w:t>. Moreover, t</w:t>
      </w:r>
      <w:r w:rsidR="00FD21AA" w:rsidRPr="00EC507D">
        <w:rPr>
          <w:rFonts w:ascii="Times" w:hAnsi="Times"/>
          <w:sz w:val="18"/>
          <w:szCs w:val="18"/>
        </w:rPr>
        <w:t>he threshold ε</w:t>
      </w:r>
      <w:r w:rsidR="00FD21AA" w:rsidRPr="00EC507D">
        <w:rPr>
          <w:rFonts w:ascii="Times" w:hAnsi="Times"/>
          <w:sz w:val="18"/>
          <w:szCs w:val="18"/>
          <w:vertAlign w:val="subscript"/>
        </w:rPr>
        <w:t>Nd</w:t>
      </w:r>
      <w:r w:rsidR="00FD21AA" w:rsidRPr="00EC507D">
        <w:rPr>
          <w:rFonts w:ascii="Times" w:hAnsi="Times"/>
          <w:sz w:val="18"/>
          <w:szCs w:val="18"/>
        </w:rPr>
        <w:t xml:space="preserve"> values for</w:t>
      </w:r>
      <w:r w:rsidR="00E05E66" w:rsidRPr="00EC507D">
        <w:rPr>
          <w:rFonts w:ascii="Times" w:hAnsi="Times"/>
          <w:sz w:val="18"/>
          <w:szCs w:val="18"/>
        </w:rPr>
        <w:t xml:space="preserve"> the</w:t>
      </w:r>
      <w:r w:rsidR="00FD21AA" w:rsidRPr="00EC507D">
        <w:rPr>
          <w:rFonts w:ascii="Times" w:hAnsi="Times"/>
          <w:sz w:val="18"/>
          <w:szCs w:val="18"/>
        </w:rPr>
        <w:t xml:space="preserve"> </w:t>
      </w:r>
      <w:r w:rsidR="00E05E66" w:rsidRPr="00EC507D">
        <w:rPr>
          <w:rFonts w:ascii="Times" w:hAnsi="Times"/>
          <w:sz w:val="18"/>
          <w:szCs w:val="18"/>
        </w:rPr>
        <w:t>‘</w:t>
      </w:r>
      <w:r w:rsidR="00FD21AA" w:rsidRPr="00EC507D">
        <w:rPr>
          <w:rFonts w:ascii="Times" w:hAnsi="Times"/>
          <w:sz w:val="18"/>
          <w:szCs w:val="18"/>
        </w:rPr>
        <w:t>Oceania</w:t>
      </w:r>
      <w:r w:rsidR="00E05E66" w:rsidRPr="00EC507D">
        <w:rPr>
          <w:rFonts w:ascii="Times" w:hAnsi="Times"/>
          <w:sz w:val="18"/>
          <w:szCs w:val="18"/>
        </w:rPr>
        <w:t>’ region</w:t>
      </w:r>
      <w:r w:rsidR="00FD21AA" w:rsidRPr="00EC507D">
        <w:rPr>
          <w:rFonts w:ascii="Times" w:hAnsi="Times"/>
          <w:sz w:val="18"/>
          <w:szCs w:val="18"/>
        </w:rPr>
        <w:t xml:space="preserve"> of +7 for </w:t>
      </w:r>
      <w:r w:rsidR="00FD21AA" w:rsidRPr="00EC507D">
        <w:rPr>
          <w:rFonts w:ascii="Times" w:hAnsi="Times"/>
          <w:i/>
          <w:iCs/>
          <w:sz w:val="18"/>
          <w:szCs w:val="18"/>
        </w:rPr>
        <w:t>REF-SED2</w:t>
      </w:r>
      <w:r w:rsidR="00FD21AA" w:rsidRPr="00EC507D">
        <w:rPr>
          <w:rFonts w:ascii="Times" w:hAnsi="Times"/>
          <w:sz w:val="18"/>
          <w:szCs w:val="18"/>
        </w:rPr>
        <w:t xml:space="preserve"> </w:t>
      </w:r>
      <w:r w:rsidR="00CC4ED3" w:rsidRPr="00EC507D">
        <w:rPr>
          <w:rFonts w:ascii="Times" w:hAnsi="Times"/>
          <w:sz w:val="18"/>
          <w:szCs w:val="18"/>
        </w:rPr>
        <w:t>relates to</w:t>
      </w:r>
      <w:r w:rsidR="00FD21AA" w:rsidRPr="00EC507D">
        <w:rPr>
          <w:rFonts w:ascii="Times" w:hAnsi="Times"/>
          <w:sz w:val="18"/>
          <w:szCs w:val="18"/>
        </w:rPr>
        <w:t xml:space="preserve"> the </w:t>
      </w:r>
      <w:r w:rsidR="00CC4ED3" w:rsidRPr="00EC507D">
        <w:rPr>
          <w:rFonts w:ascii="Times" w:hAnsi="Times"/>
          <w:sz w:val="18"/>
          <w:szCs w:val="18"/>
        </w:rPr>
        <w:t>estimated highly</w:t>
      </w:r>
      <w:r w:rsidR="000334A0" w:rsidRPr="00EC507D">
        <w:rPr>
          <w:rFonts w:ascii="Times" w:hAnsi="Times"/>
          <w:sz w:val="18"/>
          <w:szCs w:val="18"/>
        </w:rPr>
        <w:t xml:space="preserve"> </w:t>
      </w:r>
      <w:r w:rsidR="00FD21AA" w:rsidRPr="00EC507D">
        <w:rPr>
          <w:rFonts w:ascii="Times" w:hAnsi="Times"/>
          <w:sz w:val="18"/>
          <w:szCs w:val="18"/>
        </w:rPr>
        <w:t xml:space="preserve">radiogenic </w:t>
      </w:r>
      <w:r w:rsidR="000334A0" w:rsidRPr="00EC507D">
        <w:rPr>
          <w:rFonts w:ascii="Times" w:hAnsi="Times"/>
          <w:sz w:val="18"/>
          <w:szCs w:val="18"/>
        </w:rPr>
        <w:t xml:space="preserve">Nd </w:t>
      </w:r>
      <w:r w:rsidR="00FD21AA" w:rsidRPr="00EC507D">
        <w:rPr>
          <w:rFonts w:ascii="Times" w:hAnsi="Times"/>
          <w:sz w:val="18"/>
          <w:szCs w:val="18"/>
        </w:rPr>
        <w:t xml:space="preserve">input </w:t>
      </w:r>
      <w:r w:rsidR="000334A0" w:rsidRPr="00EC507D">
        <w:rPr>
          <w:rFonts w:ascii="Times" w:hAnsi="Times"/>
          <w:sz w:val="18"/>
          <w:szCs w:val="18"/>
        </w:rPr>
        <w:t xml:space="preserve">signal </w:t>
      </w:r>
      <w:r w:rsidR="00FD21AA" w:rsidRPr="00EC507D">
        <w:rPr>
          <w:rFonts w:ascii="Times" w:hAnsi="Times"/>
          <w:sz w:val="18"/>
          <w:szCs w:val="18"/>
        </w:rPr>
        <w:t xml:space="preserve">across </w:t>
      </w:r>
      <w:r w:rsidR="000334A0" w:rsidRPr="00EC507D">
        <w:rPr>
          <w:rFonts w:ascii="Times" w:hAnsi="Times"/>
          <w:sz w:val="18"/>
          <w:szCs w:val="18"/>
          <w:lang w:eastAsia="en-US"/>
        </w:rPr>
        <w:t>Papua New Guinea and its adjacent islands by</w:t>
      </w:r>
      <w:r w:rsidR="00FD21AA" w:rsidRPr="00EC507D">
        <w:rPr>
          <w:rFonts w:ascii="Times" w:hAnsi="Times"/>
          <w:sz w:val="18"/>
          <w:szCs w:val="18"/>
        </w:rPr>
        <w:t xml:space="preserve"> </w:t>
      </w:r>
      <w:r w:rsidR="00FD21AA" w:rsidRPr="00EC507D">
        <w:rPr>
          <w:rFonts w:ascii="Times" w:hAnsi="Times"/>
          <w:sz w:val="18"/>
          <w:szCs w:val="18"/>
        </w:rPr>
        <w:fldChar w:fldCharType="begin" w:fldLock="1"/>
      </w:r>
      <w:r w:rsidR="0065012F">
        <w:rPr>
          <w:rFonts w:ascii="Times" w:hAnsi="Times"/>
          <w:sz w:val="18"/>
          <w:szCs w:val="18"/>
        </w:rPr>
        <w:instrText>ADDIN CSL_CITATION {"citationItems":[{"id":"ITEM-1","itemData":{"DOI":"10.1016/j.epsl.2005.01.004","ISSN":"0012821X","abstract":"Continental margins are, via river sediment discharges, the major source of a number of elements to the ocean. They are also, for several reactive elements, sites of preferential removal from the water column, due to enhanced scavenging [1] [M.P. Bacon, Tracers of chemical scavenging in the ocean: Boundary effects and large-scale chemical fractionation, Philos. Trans. R. Soc. Lond., A 325 (1988) 147-160.]. They can therefore be understood as sources of elements for the ocean, sinks or both. Although exchanges of matter are suspected to occur at the continent/ocean interface [2] [P.H. Santschi, L. Guo, I.D. Walsh, M.S. Quigley, M. Baskaran, Boundary exchange and scavenging of radionuclides in continental margin waters of the Middle Atlantic Bight: implications for organic carbon fluxes, Cont. Shelf Res. 19 (1999) 609-636.] and despite their probable importance for the ocean chemistry, closed budgets have still yet to be determined. Here, based on neodymium isotopic composition data obtained during the past 6 yr, we document and quantify significant neodymium exchange at ocean boundaries, in areas covering a large spectra of hydrographical, biological and geochemical characteristics: Eastern Indian Ocean, Western Equatorial Pacific, Western Tropical Pacific and Northwestern Atlantic, with neodymium removal fluxes accounting for 74±23%, 100±38%, 62±54% and 84±45% of the neodymium input fluxes, respectively. Recognition of boundary exchange and its potential globalization have important implications for (1) our understanding of margin/ocean interactions and their influence on the oceanic isotopic chemistry, and (2) geochemical cycling of reactive elements (including pollutants) at ocean margins. © 2005 Elsevier B.V. All rights reserved.","author":[{"dropping-particle":"","family":"Lacan","given":"Francois","non-dropping-particle":"","parse-names":false,"suffix":""},{"dropping-particle":"","family":"Jeandel","given":"C","non-dropping-particle":"","parse-names":false,"suffix":""}],"container-title":"Earth and Planetary Science Letters","id":"ITEM-1","issue":"3-4","issued":{"date-parts":[["2005","4","15"]]},"page":"245-257","publisher":"Elsevier","title":"Neodymium isotopes as a new tool for quantifying exchange fluxes at the continent-ocean interface","type":"article-journal","volume":"232"},"uris":["http://www.mendeley.com/documents/?uuid=836061e4-35af-3bdd-8d94-3421f49925dc"]}],"mendeley":{"formattedCitation":"(Lacan and Jeandel, 2005b)","manualFormatting":"Lacan and Jeandel (2005a)","plainTextFormattedCitation":"(Lacan and Jeandel, 2005b)","previouslyFormattedCitation":"(Lacan and Jeandel, 2005b)"},"properties":{"noteIndex":0},"schema":"https://github.com/citation-style-language/schema/raw/master/csl-citation.json"}</w:instrText>
      </w:r>
      <w:r w:rsidR="00FD21AA" w:rsidRPr="00EC507D">
        <w:rPr>
          <w:rFonts w:ascii="Times" w:hAnsi="Times"/>
          <w:sz w:val="18"/>
          <w:szCs w:val="18"/>
        </w:rPr>
        <w:fldChar w:fldCharType="separate"/>
      </w:r>
      <w:r w:rsidR="00FD21AA" w:rsidRPr="00EC507D">
        <w:rPr>
          <w:rFonts w:ascii="Times" w:hAnsi="Times"/>
          <w:noProof/>
          <w:sz w:val="18"/>
          <w:szCs w:val="18"/>
        </w:rPr>
        <w:t xml:space="preserve">Lacan and Jeandel </w:t>
      </w:r>
      <w:r w:rsidR="000334A0" w:rsidRPr="00EC507D">
        <w:rPr>
          <w:rFonts w:ascii="Times" w:hAnsi="Times"/>
          <w:noProof/>
          <w:sz w:val="18"/>
          <w:szCs w:val="18"/>
        </w:rPr>
        <w:t>(</w:t>
      </w:r>
      <w:r w:rsidR="00FD21AA" w:rsidRPr="00EC507D">
        <w:rPr>
          <w:rFonts w:ascii="Times" w:hAnsi="Times"/>
          <w:noProof/>
          <w:sz w:val="18"/>
          <w:szCs w:val="18"/>
        </w:rPr>
        <w:t>2005a)</w:t>
      </w:r>
      <w:r w:rsidR="00FD21AA" w:rsidRPr="00EC507D">
        <w:rPr>
          <w:rFonts w:ascii="Times" w:hAnsi="Times"/>
          <w:sz w:val="18"/>
          <w:szCs w:val="18"/>
        </w:rPr>
        <w:fldChar w:fldCharType="end"/>
      </w:r>
      <w:r w:rsidR="000334A0" w:rsidRPr="00EC507D">
        <w:rPr>
          <w:rFonts w:ascii="Times" w:hAnsi="Times"/>
          <w:sz w:val="18"/>
          <w:szCs w:val="18"/>
        </w:rPr>
        <w:t>, where remobilised sediment from these volcanic islands are believed to govern seawater ε</w:t>
      </w:r>
      <w:r w:rsidR="000334A0" w:rsidRPr="00EC507D">
        <w:rPr>
          <w:rFonts w:ascii="Times" w:hAnsi="Times"/>
          <w:sz w:val="18"/>
          <w:szCs w:val="18"/>
          <w:vertAlign w:val="subscript"/>
        </w:rPr>
        <w:t>Nd</w:t>
      </w:r>
      <w:r w:rsidR="000334A0" w:rsidRPr="00EC507D">
        <w:rPr>
          <w:rFonts w:ascii="Times" w:hAnsi="Times"/>
          <w:sz w:val="18"/>
          <w:szCs w:val="18"/>
        </w:rPr>
        <w:t xml:space="preserve"> distributions. This threshold was</w:t>
      </w:r>
      <w:r w:rsidR="00CC4ED3" w:rsidRPr="00EC507D">
        <w:rPr>
          <w:rFonts w:ascii="Times" w:hAnsi="Times"/>
          <w:sz w:val="18"/>
          <w:szCs w:val="18"/>
        </w:rPr>
        <w:t xml:space="preserve"> then</w:t>
      </w:r>
      <w:r w:rsidR="000334A0" w:rsidRPr="00EC507D">
        <w:rPr>
          <w:rFonts w:ascii="Times" w:hAnsi="Times"/>
          <w:sz w:val="18"/>
          <w:szCs w:val="18"/>
        </w:rPr>
        <w:t xml:space="preserve"> increased to +8 in </w:t>
      </w:r>
      <w:r w:rsidR="000334A0" w:rsidRPr="00EC507D">
        <w:rPr>
          <w:rFonts w:ascii="Times" w:hAnsi="Times"/>
          <w:i/>
          <w:iCs/>
          <w:sz w:val="18"/>
          <w:szCs w:val="18"/>
        </w:rPr>
        <w:t>REF-SED3</w:t>
      </w:r>
      <w:r w:rsidR="000334A0" w:rsidRPr="00EC507D">
        <w:rPr>
          <w:rFonts w:ascii="Times" w:hAnsi="Times"/>
          <w:sz w:val="18"/>
          <w:szCs w:val="18"/>
        </w:rPr>
        <w:t xml:space="preserve"> </w:t>
      </w:r>
      <w:r w:rsidR="00CD76B0" w:rsidRPr="00EC507D">
        <w:rPr>
          <w:rFonts w:ascii="Times" w:hAnsi="Times"/>
          <w:sz w:val="18"/>
          <w:szCs w:val="18"/>
        </w:rPr>
        <w:t>to represent a more extreme contribution from these volcanic sediments, using the most radiogenic marginal ε</w:t>
      </w:r>
      <w:r w:rsidR="00CD76B0" w:rsidRPr="00EC507D">
        <w:rPr>
          <w:rFonts w:ascii="Times" w:hAnsi="Times"/>
          <w:sz w:val="18"/>
          <w:szCs w:val="18"/>
          <w:vertAlign w:val="subscript"/>
        </w:rPr>
        <w:t>Nd</w:t>
      </w:r>
      <w:r w:rsidR="00CD76B0" w:rsidRPr="00EC507D">
        <w:rPr>
          <w:rFonts w:ascii="Times" w:hAnsi="Times"/>
          <w:sz w:val="18"/>
          <w:szCs w:val="18"/>
        </w:rPr>
        <w:t xml:space="preserve"> sediment distributions around Oceania from</w:t>
      </w:r>
      <w:r w:rsidR="00CC4ED3" w:rsidRPr="00EC507D">
        <w:rPr>
          <w:rFonts w:ascii="Times" w:hAnsi="Times"/>
          <w:sz w:val="18"/>
          <w:szCs w:val="18"/>
        </w:rPr>
        <w:t xml:space="preserve"> the detrital compilation by</w:t>
      </w:r>
      <w:r w:rsidR="00CD76B0" w:rsidRPr="00EC507D">
        <w:rPr>
          <w:rFonts w:ascii="Times" w:hAnsi="Times"/>
          <w:sz w:val="18"/>
          <w:szCs w:val="18"/>
        </w:rPr>
        <w:t xml:space="preserve"> </w:t>
      </w:r>
      <w:r w:rsidR="00CD76B0" w:rsidRPr="00EC507D">
        <w:rPr>
          <w:rFonts w:ascii="Times" w:hAnsi="Times"/>
          <w:sz w:val="18"/>
          <w:szCs w:val="18"/>
        </w:rPr>
        <w:fldChar w:fldCharType="begin" w:fldLock="1"/>
      </w:r>
      <w:r w:rsidR="00CC4ED3" w:rsidRPr="00EC507D">
        <w:rPr>
          <w:rFonts w:ascii="Times" w:hAnsi="Times"/>
          <w:sz w:val="18"/>
          <w:szCs w:val="18"/>
        </w:rPr>
        <w:instrText>ADDIN CSL_CITATION {"citationItems":[{"id":"ITEM-1","itemData":{"DOI":"10.1016/j.chemgeo.2021.120119","ISSN":"00092541","abstract":"Understanding the role of sediment-water interactions in the oceanic cycling of neodymium (Nd) isotopes is essential for its reliable use as a modern and palaeoceanographic tracer of ocean circulation. However, the exact processes that control Nd cycling in the ocean are poorly defined and require an up-to-date knowledge of the sources, sinks and transformation of this tracer to and within the ocean (e.g. as per the GEOTRACES core mission). We propose a considerable improvement of Nd-source identification by providing an extensive and up-to-date compilation of published terrestrial and marine sedimentary Nd isotopic measurements. From this database, we construct high resolution, gridded, global maps that characterise the Nd-isotopic signature of the continental margins and seafloor sediment. Here, we present the database, interpolation methods, and final data products. Consistent with the previous studies that inform our compilation, our global results show unradiogenic detrital Nd isotopic values (εNd ≈ -20) in the North Atlantic, εNd values of ≈ -12 to -7 in the Indian and Southern Ocean, and radiogenic values (εNd ≈ -3 to +4) in the Pacific. The new, high-resolution interpolation is useful for improving conceptual knowledge of Nd sources and sinks and enables the application of isotope-enabled ocean models to understand targeted Nd behaviour in the oceans. Such applications may include: examining the strength and distribution of a possible benthic flux required to reconcile global Nd budgets, establishing the potential use of Nd isotopes as a kinematic tracer of ocean circulation, and a general quantification of the non-conservative sedimentary processes that may contribute to marine Nd cycling.","author":[{"dropping-particle":"","family":"Robinson","given":"Suzanne","non-dropping-particle":"","parse-names":false,"suffix":""},{"dropping-particle":"","family":"Ivanovic","given":"Ruza","non-dropping-particle":"","parse-names":false,"suffix":""},{"dropping-particle":"","family":"Flierdt","given":"Tina","non-dropping-particle":"van de","parse-names":false,"suffix":""},{"dropping-particle":"","family":"Blanchet","given":"Cécile L.","non-dropping-particle":"","parse-names":false,"suffix":""},{"dropping-particle":"","family":"Tachikawa","given":"Kazuyo","non-dropping-particle":"","parse-names":false,"suffix":""},{"dropping-particle":"","family":"Martin","given":"Ellen E.","non-dropping-particle":"","parse-names":false,"suffix":""},{"dropping-particle":"","family":"Cook","given":"Carys P.","non-dropping-particle":"","parse-names":false,"suffix":""},{"dropping-particle":"","family":"Williams","given":"Trevor","non-dropping-particle":"","parse-names":false,"suffix":""},{"dropping-particle":"","family":"Gregoire","given":"Lauren","non-dropping-particle":"","parse-names":false,"suffix":""},{"dropping-particle":"","family":"Plancherel","given":"Yves","non-dropping-particle":"","parse-names":false,"suffix":""},{"dropping-particle":"","family":"Jeandel","given":"Catherine","non-dropping-particle":"","parse-names":false,"suffix":""},{"dropping-particle":"","family":"Arsouze","given":"Thomas","non-dropping-particle":"","parse-names":false,"suffix":""}],"container-title":"Chemical Geology","id":"ITEM-1","issued":{"date-parts":[["2021","4","20"]]},"page":"120119","publisher":"Elsevier","title":"Global continental and marine detrital εNd: An updated compilation for use in understanding marine Nd cycling","type":"article-journal","volume":"567"},"uris":["http://www.mendeley.com/documents/?uuid=3b19c854-6586-3606-be07-fd8e457c5320"]}],"mendeley":{"formattedCitation":"(Robinson et al., 2021)","manualFormatting":"Robinson et al. (2021)","plainTextFormattedCitation":"(Robinson et al., 2021)","previouslyFormattedCitation":"(Robinson et al., 2021)"},"properties":{"noteIndex":0},"schema":"https://github.com/citation-style-language/schema/raw/master/csl-citation.json"}</w:instrText>
      </w:r>
      <w:r w:rsidR="00CD76B0" w:rsidRPr="00EC507D">
        <w:rPr>
          <w:rFonts w:ascii="Times" w:hAnsi="Times"/>
          <w:sz w:val="18"/>
          <w:szCs w:val="18"/>
        </w:rPr>
        <w:fldChar w:fldCharType="separate"/>
      </w:r>
      <w:r w:rsidR="00CD76B0" w:rsidRPr="00EC507D">
        <w:rPr>
          <w:rFonts w:ascii="Times" w:hAnsi="Times"/>
          <w:noProof/>
          <w:sz w:val="18"/>
          <w:szCs w:val="18"/>
        </w:rPr>
        <w:t xml:space="preserve">Robinson et al. </w:t>
      </w:r>
      <w:r w:rsidR="00CC4ED3" w:rsidRPr="00EC507D">
        <w:rPr>
          <w:rFonts w:ascii="Times" w:hAnsi="Times"/>
          <w:noProof/>
          <w:sz w:val="18"/>
          <w:szCs w:val="18"/>
        </w:rPr>
        <w:t>(</w:t>
      </w:r>
      <w:r w:rsidR="00CD76B0" w:rsidRPr="00EC507D">
        <w:rPr>
          <w:rFonts w:ascii="Times" w:hAnsi="Times"/>
          <w:noProof/>
          <w:sz w:val="18"/>
          <w:szCs w:val="18"/>
        </w:rPr>
        <w:t>2021)</w:t>
      </w:r>
      <w:r w:rsidR="00CD76B0" w:rsidRPr="00EC507D">
        <w:rPr>
          <w:rFonts w:ascii="Times" w:hAnsi="Times"/>
          <w:sz w:val="18"/>
          <w:szCs w:val="18"/>
        </w:rPr>
        <w:fldChar w:fldCharType="end"/>
      </w:r>
      <w:r w:rsidR="00CD76B0" w:rsidRPr="00EC507D">
        <w:rPr>
          <w:rFonts w:ascii="Times" w:hAnsi="Times"/>
          <w:sz w:val="18"/>
          <w:szCs w:val="18"/>
        </w:rPr>
        <w:t xml:space="preserve">. </w:t>
      </w:r>
    </w:p>
    <w:p w14:paraId="002081E4" w14:textId="77777777" w:rsidR="009F18AA" w:rsidRPr="00EC507D" w:rsidRDefault="009F18AA" w:rsidP="005C6A18">
      <w:pPr>
        <w:rPr>
          <w:rFonts w:ascii="Times" w:hAnsi="Times"/>
          <w:sz w:val="18"/>
          <w:szCs w:val="18"/>
        </w:rPr>
      </w:pPr>
    </w:p>
    <w:p w14:paraId="5C9173B6" w14:textId="6FEB4028" w:rsidR="005C6A18" w:rsidRPr="00EC507D" w:rsidRDefault="005C6A18" w:rsidP="005C6A18">
      <w:pPr>
        <w:rPr>
          <w:rFonts w:ascii="Times" w:hAnsi="Times"/>
          <w:sz w:val="18"/>
          <w:szCs w:val="18"/>
        </w:rPr>
      </w:pPr>
      <w:r w:rsidRPr="00EC507D">
        <w:rPr>
          <w:rFonts w:ascii="Times" w:hAnsi="Times"/>
          <w:sz w:val="18"/>
          <w:szCs w:val="18"/>
        </w:rPr>
        <w:t>Additionally, a dominant radiogenic contribution from the central America</w:t>
      </w:r>
      <w:r w:rsidR="00980F1A" w:rsidRPr="00EC507D">
        <w:rPr>
          <w:rFonts w:ascii="Times" w:hAnsi="Times"/>
          <w:sz w:val="18"/>
          <w:szCs w:val="18"/>
        </w:rPr>
        <w:t>n</w:t>
      </w:r>
      <w:r w:rsidRPr="00EC507D">
        <w:rPr>
          <w:rFonts w:ascii="Times" w:hAnsi="Times"/>
          <w:sz w:val="18"/>
          <w:szCs w:val="18"/>
        </w:rPr>
        <w:t xml:space="preserve"> volcanic hotspots and island arcs around the Eastern Equatorial Pacific (EEP) and Northeast Pacific margins has been observed, including a direct radiogenic ε</w:t>
      </w:r>
      <w:r w:rsidRPr="00EC507D">
        <w:rPr>
          <w:rFonts w:ascii="Times" w:hAnsi="Times"/>
          <w:sz w:val="18"/>
          <w:szCs w:val="18"/>
          <w:vertAlign w:val="subscript"/>
        </w:rPr>
        <w:t>Nd</w:t>
      </w:r>
      <w:r w:rsidRPr="00EC507D">
        <w:rPr>
          <w:rFonts w:ascii="Times" w:hAnsi="Times"/>
          <w:sz w:val="18"/>
          <w:szCs w:val="18"/>
        </w:rPr>
        <w:t xml:space="preserve"> pore</w:t>
      </w:r>
      <w:r w:rsidR="00650BA8" w:rsidRPr="00EC507D">
        <w:rPr>
          <w:rFonts w:ascii="Times" w:hAnsi="Times"/>
          <w:sz w:val="18"/>
          <w:szCs w:val="18"/>
        </w:rPr>
        <w:t xml:space="preserve"> </w:t>
      </w:r>
      <w:r w:rsidRPr="00EC507D">
        <w:rPr>
          <w:rFonts w:ascii="Times" w:hAnsi="Times"/>
          <w:sz w:val="18"/>
          <w:szCs w:val="18"/>
        </w:rPr>
        <w:t xml:space="preserve">water flux measurement </w:t>
      </w:r>
      <w:r w:rsidRPr="00EC507D">
        <w:rPr>
          <w:rFonts w:ascii="Times" w:hAnsi="Times"/>
          <w:sz w:val="18"/>
          <w:szCs w:val="18"/>
        </w:rPr>
        <w:fldChar w:fldCharType="begin" w:fldLock="1"/>
      </w:r>
      <w:r w:rsidR="0065012F">
        <w:rPr>
          <w:rFonts w:ascii="Times" w:hAnsi="Times"/>
          <w:sz w:val="18"/>
          <w:szCs w:val="18"/>
        </w:rPr>
        <w:instrText>ADDIN CSL_CITATION {"citationItems":[{"id":"ITEM-1","itemData":{"DOI":"10.1016/j.gca.2016.08.005","ISSN":"00167037","abstract":"The isotopic composition of neodymium (εNd) extracted from sedimentary Fe–Mn oxyhydroxide offers potential for reconstructing paleo-circulation, but its application depends on extraction methodology and the mechanisms that relate authigenic εNd to bottom water. Here we test methods to extract authigenic εNd from Gulf of Alaska (GOA) sediments and assess sources of leachate Nd, including potential contamination from trace dispersed volcanic ash. We show that one dominant phase is extracted via leaching of core-top sediments. Major and trace element geochemistry demonstrate that this phase is authigenic Fe–Mn oxyhydroxide. Contamination of leachate (authigenic) Nd from detrital sources is insignificant (&lt;1%); our empirical results are consistent with established kinetic mineral dissolution rates and theory. Contamination of extracted εNd from leaching of volcanic ash is below analytical uncertainty. However, the εNd of core-top leachates in the GOA is consistently more radiogenic than bottom water. We infer that authigenic phases record pore water εNd, and the relationships of εNd among bottom waters, pore waters, authigenic phases and detrital sediments are primarily governed by the exposure time of bottom water to sea-floor sediments, rate of exchange across the sediment-water interface and the reactivity and composition of detrital sediments. We show that this conceptual model is applicable on the Pacific basin scale and provide a new framework to understand the role of authigenic phases in both modern and paleo-applications, including the use of authigenic εNd as a paleo-circulation tracer.","author":[{"dropping-particle":"","family":"Du","given":"Jianghui","non-dropping-particle":"","parse-names":false,"suffix":""},{"dropping-particle":"","family":"Haley","given":"Brian A","non-dropping-particle":"","parse-names":false,"suffix":""},{"dropping-particle":"","family":"Mix","given":"Alan C","non-dropping-particle":"","parse-names":false,"suffix":""}],"container-title":"Geochimica et Cosmochimica Acta","id":"ITEM-1","issued":{"date-parts":[["2016"]]},"note":"From Duplicate 2 (Neodymium isotopes in authigenic phases, bottom waters and detrital sediments in the Gulf of Alaska and their implications for paleo-circulation reconstruction - Du, Jianghui; Haley, Brian A; Mix, Alan C)\n\nGood discussion on how to measure authigenic nd (fish teeth, to leaching from bulk sediemnt)!!!\n\nFrom Duplicate 3 (Neodymium isotopes in authigenic phases, bottom waters and detrital sediments in the Gulf of Alaska and their implications for paleo-circulation reconstruction - Du, Jianghui; Haley, Brian A; Mix, Alan C)\n\nFrom Duplicate 1 (Neodymium isotopes in authigenic phases, bottom waters and detrital sediments in the Gulf of Alaska and their implications for paleo-circulation reconstruction - Du, Jianghui; Haley, Brian A; Mix, Alan C)\n\nGood discussion on how to measure authigenic nd (fish teeth, to leaching from bulk sediemnt)!!!","page":"14-35","title":"Neodymium isotopes in authigenic phases, bottom waters and detrital sediments in the Gulf of Alaska and their implications for paleo-circulation reconstruction","type":"article-journal","volume":"193"},"uris":["http://www.mendeley.com/documents/?uuid=6d2acf0d-dd15-4782-85ea-b7934436d1a3"]},{"id":"ITEM-2","itemData":{"DOI":"10.1016/j.gca.2015.01.010","ISBN":"0016-7037","ISSN":"00167037","abstract":"We determined pore fluid rare earth element (REE) concentrations in near-surface sediments retrieved from the continental margin off Oregon and California (USA). These sites represent shelf-to-slope settings, which lie above, within, and below the oxygen minimum zone of the Northeast Pacific. The sediments are characterized by varying degrees of net iron reduction, with pore fluids from the shelf sites being generally ferruginous, and the slope sediments having less-pronounced iron reduction zones that originate deeper in the sediment package. REE concentrations show maxima in shallow (upper 2-10cm) subsurface pore fluids across all sites with concentrations that rise more than two orders of magnitude higher than seawater. These pore fluid enrichments highlight the importance of a sedimentary source of REEs to the ocean's water column. Here we use our measurements to estimate the diffusive flux of Nd out of ocean sediments resulting in a global flux between 18 and 110×106molNdyr-1. While we do assume that our pore fluid profiles as well as the very limited data previously published are representative of a wide array of ocean environments, this calculated flux can account for the modeled missing Nd source flux (76×106molNdyr-1) in global budgets (Arsouze et al., 2009). Pore fluid normalized REE patterns show distinct variation in the middle REE and heavy REE enrichments with sediment depth and amongst sites. These patterns show that the heavy REE enrichment of pore fluids at our deep slope site (3000m water depth) is closest to the heavy REE enrichment of seawater. This observation supports the view that REE cycling within the upper ten centimeters of deep-sea marine sediments, as opposed to shallower continental shelf and slope sediments, plays a significant role in controlling the integrated global REE flux from the pore fluids and consequently the broad-scale REE pattern in seawater.","author":[{"dropping-particle":"","family":"Abbott","given":"April N","non-dropping-particle":"","parse-names":false,"suffix":""},{"dropping-particle":"","family":"Haley","given":"Brian A","non-dropping-particle":"","parse-names":false,"suffix":""},{"dropping-particle":"","family":"McManus","given":"James","non-dropping-particle":"","parse-names":false,"suffix":""},{"dropping-particle":"","family":"Reimers","given":"Clare E","non-dropping-particle":"","parse-names":false,"suffix":""}],"container-title":"Geochimica et Cosmochimica Acta","id":"ITEM-2","issued":{"date-parts":[["2015"]]},"page":"186-200","title":"The sedimentary flux of dissolved rare earth elements to the ocean","type":"article-journal","volume":"154"},"uris":["http://www.mendeley.com/documents/?uuid=06c6ab35-ee30-3ec4-a90a-4461ee93aad0"]},{"id":"ITEM-3","itemData":{"DOI":"10.1130/G37114.1","ISSN":"19432682","abstract":"The ability to reconstruct past ocean currents is essential for determining ocean circulation's role in global heat transport and climate change. Our understanding of the relationship between circulation and climate in the past allows us to predict the impact of future climate-driven circulation changes. One proposed tracer of past ocean circulation is the neodymium isotope composition (εNd) of ancient water masses. However, ambiguities in what governs the εNd distribution in the modern ocean hamper interpretations of this tracer. Here we present εNd values for marine pore fluids, sediments, and the overlying water column for three sites in the North Pacific. We find that ocean bottom water εNd (εNdBW) in the northeast Pacific lies between the value expected for the water mass (–3.3) and the measured εNd of sediment pore fluid (εNdPW; –1.8). Moreover, εNdPW resembles the εNd of the sediment. Combined, these findings are consistent with recent assessments that sediment pore fluids may be a major source of rare earth elements to the ocean and suggest that the benthic flux of Nd from pore fluids exerts the primary control over the deep ocean distribution of εNd.","author":[{"dropping-particle":"","family":"Abbott","given":"April N","non-dropping-particle":"","parse-names":false,"suffix":""},{"dropping-particle":"","family":"Haley","given":"Brian A","non-dropping-particle":"","parse-names":false,"suffix":""},{"dropping-particle":"","family":"McManus","given":"James","non-dropping-particle":"","parse-names":false,"suffix":""}],"container-title":"Geology","id":"ITEM-3","issue":"11","issued":{"date-parts":[["2015"]]},"page":"1035-1038","title":"Bottoms up: Sedimentary control of the deep North Pacific Ocean’s εNd signature","type":"article-journal","volume":"43"},"uris":["http://www.mendeley.com/documents/?uuid=9b9984ee-6039-32a0-a6ea-6cb0c9cfc5ff"]},{"id":"ITEM-4","itemData":{"DOI":"10.1016/j.epsl.2012.07.044","ISBN":"0012-821X","ISSN":"0012821X","abstract":"The radiogenic isotope composition of the Rare Earth Element (REE) neodymium (Nd) is a powerful water mass proxy for present and past ocean circulation. The processes controlling the Nd budget of the global ocean are not quantitatively understood and in particular source and sink mechanisms are still under debate.In this study we present the first full water column data set of dissolved Nd isotope compositions and Nd concentrations for the Eastern Equatorial Pacific (EEP), where one of the globally largest Oxygen Minimum Zones (OMZ) is located. This region is of particular interest for understanding the biogeochemical cycling of REEs because anoxic conditions may lead to release of REEs from the shelf, whereas high particle densities and fluxes potentially remove the REEs from the water column. Data were obtained between 1°40'N and 16°S along a nearshore and an offshore transect. Near surface zonal current bands, such as the Equatorial Undercurrent (EUC) and the Subsurface Countercurrent (SSCC), which are supplying oxygen-rich water to the OMZ are characterized by radiogenic Nd isotope signatures (εNd=-2). Surface waters in the northernmost part of the study area are even more radiogenic (εNd=+3), most likely due to release of Nd from volcanogenic material. Deep and bottom waters at the southernmost offshore station (14°S) are clearly controlled by advection of water masses with less radiogenic signatures (εNd=-7) originating from the Southern Ocean. Towards the equator, however, the deep waters show a clear trend towards more radiogenic values of up to εNd=-2. The northernmost station located in the Panama basin shows highly radiogenic Nd isotope signatures in the entire water column, which indicates that particle scavenging, downward transport and release processes play an important role. This is supported by relatively low Nd concentrations in deep waters (3000-6000m) in the EEP (20pmol/kg) compared to locations in the Northern and Central Pacific (40-60pmol/kg), which suggests enhanced removal of Nd in the EEP. © 2012 Elsevier B.V.","author":[{"dropping-particle":"","family":"Grasse","given":"Patricia","non-dropping-particle":"","parse-names":false,"suffix":""},{"dropping-particle":"","family":"Stichel","given":"Torben","non-dropping-particle":"","parse-names":false,"suffix":""},{"dropping-particle":"","family":"Stumpf","given":"Roland","non-dropping-particle":"","parse-names":false,"suffix":""},{"dropping-particle":"","family":"Stramma","given":"Lothar","non-dropping-particle":"","parse-names":false,"suffix":""},{"dropping-particle":"","family":"Frank","given":"Martin","non-dropping-particle":"","parse-names":false,"suffix":""}],"container-title":"Earth and Planetary Science Letters","id":"ITEM-4","issued":{"date-parts":[["2012","11","1"]]},"page":"198-207","publisher":"Elsevier","title":"The distribution of neodymium isotopes and concentrations in the Eastern Equatorial Pacific: Water mass advection versus particle exchange","type":"article-journal","volume":"353-354"},"uris":["http://www.mendeley.com/documents/?uuid=9c1f60d6-b61d-4766-8eba-00f75e35fdda"]},{"id":"ITEM-5","itemData":{"DOI":"10.1038/s41467-018-07079-z","ISSN":"20411723","PMID":"30413704","abstract":"There is evidence for greater carbon storage in the glacial deep Pacific, but it is uncertain whether it was caused by changes in ventilation, circulation, and biological productivity. The spatial ε Nd evolution in the deep Pacific provides information on the deepwater transit time. Seven new foraminiferal ε Nd records are presented to systematically constrain glacial to interglacial changes in deep Pacific overturning and two different ε Nd evolution regimes occur spatially in the Pacific with reduced meridional ε Nd gradients in glacials, suggesting a faster deep Pacific overturning circulation. This implies that greater glacial carbon storage due to sluggish circulation, that is believed to have occurred in the deep Atlantic, did not operate in a similar manner in the Pacific Ocean. Other mechanisms such as increased biological pump efficiency and poor high latitude air-sea exchange could be responsible for increased carbon storage in the glacial Pacific.","author":[{"dropping-particle":"","family":"Hu","given":"Rong","non-dropping-particle":"","parse-names":false,"suffix":""},{"dropping-particle":"","family":"Piotrowski","given":"Alexander M.","non-dropping-particle":"","parse-names":false,"suffix":""}],"container-title":"Nature Communications","id":"ITEM-5","issue":"1","issued":{"date-parts":[["2018","12","1"]]},"note":"From Duplicate 1 (Neodymium isotope evidence for glacial-interglacial variability of deepwater transit time in the Pacific Ocean - Hu, Rong; Piotrowski, Alexander M.)\n\nFrom Duplicate 3 (Neodymium isotope evidence for glacial-interglacial variability of deepwater transit time in the Pacific Ocean - Hu, Rong; Piotrowski, Alexander M.)\n\nA first study to look at Nd isotopes as a convection tracer for the Pacific during the LGM\n\nFrom Duplicate 4 (Neodymium isotope evidence for glacial-interglacial variability of deepwater transit time in the Pacific Ocean - Hu, Rong; Piotrowski, Alexander M.)\n\nFrom Duplicate 2 (Neodymium isotope evidence for glacial-interglacial variability of deepwater transit time in the Pacific Ocean - Hu, Rong; Piotrowski, Alexander M.)\n\nA first study to look at Nd isotopes as a convection tracer for the Pacific during the LGM\n\nFrom Duplicate 3 (Neodymium isotope evidence for glacial-interglacial variability of deepwater transit time in the Pacific Ocean - Hu, Rong; Piotrowski, A M)\n\nFrom Duplicate 2 (Neodymium isotope evidence for glacial-interglacial variability of deepwater transit time in the Pacific Ocean - Hu, Rong; Piotrowski, Alexander M.)\n\nFrom Duplicate 3 (Neodymium isotope evidence for glacial-interglacial variability of deepwater transit time in the Pacific Ocean - Hu, Rong; Piotrowski, Alexander M.)\n\nA first study to look at Nd isotopes as a convection tracer for the Pacific during the LGM\n\nFrom Duplicate 4 (Neodymium isotope evidence for glacial-interglacial variability of deepwater transit time in the Pacific Ocean - Hu, Rong; Piotrowski, Alexander M.)\n\nFrom Duplicate 2 (Neodymium isotope evidence for glacial-interglacial variability of deepwater transit time in the Pacific Ocean - Hu, Rong; Piotrowski, Alexander M.)\n\nA first study to look at Nd isotopes as a convection tracer for the Pacific during the LGM","page":"1-12","publisher":"Nature Publishing Group","title":"Neodymium isotope evidence for glacial-interglacial variability of deepwater transit time in the Pacific Ocean","type":"article-journal","volume":"9"},"uris":["http://www.mendeley.com/documents/?uuid=e55d75ab-76ae-4141-8b64-d81d3fb4b4a2"]}],"mendeley":{"formattedCitation":"(Du et al., 2016; Abbott et al., 2015b, a; Grasse et al., 2012; Hu and Piotrowski, 2018)","plainTextFormattedCitation":"(Du et al., 2016; Abbott et al., 2015b, a; Grasse et al., 2012; Hu and Piotrowski, 2018)","previouslyFormattedCitation":"(Du et al., 2016; Abbott et al., 2015b, a; Grasse et al., 2012; Hu and Piotrowski, 2018)"},"properties":{"noteIndex":0},"schema":"https://github.com/citation-style-language/schema/raw/master/csl-citation.json"}</w:instrText>
      </w:r>
      <w:r w:rsidRPr="00EC507D">
        <w:rPr>
          <w:rFonts w:ascii="Times" w:hAnsi="Times"/>
          <w:sz w:val="18"/>
          <w:szCs w:val="18"/>
        </w:rPr>
        <w:fldChar w:fldCharType="separate"/>
      </w:r>
      <w:r w:rsidR="00734358" w:rsidRPr="00734358">
        <w:rPr>
          <w:rFonts w:ascii="Times" w:hAnsi="Times"/>
          <w:noProof/>
          <w:sz w:val="18"/>
          <w:szCs w:val="18"/>
        </w:rPr>
        <w:t>(Du et al., 2016; Abbott et al., 2015b, a; Grasse et al., 2012; Hu and Piotrowski, 2018)</w:t>
      </w:r>
      <w:r w:rsidRPr="00EC507D">
        <w:rPr>
          <w:rFonts w:ascii="Times" w:hAnsi="Times"/>
          <w:sz w:val="18"/>
          <w:szCs w:val="18"/>
        </w:rPr>
        <w:fldChar w:fldCharType="end"/>
      </w:r>
      <w:r w:rsidRPr="00EC507D">
        <w:rPr>
          <w:rFonts w:ascii="Times" w:hAnsi="Times"/>
          <w:sz w:val="18"/>
          <w:szCs w:val="18"/>
        </w:rPr>
        <w:t xml:space="preserve">. </w:t>
      </w:r>
      <w:r w:rsidR="00F916FF" w:rsidRPr="00EC507D">
        <w:rPr>
          <w:rFonts w:ascii="Times" w:hAnsi="Times"/>
          <w:sz w:val="18"/>
          <w:szCs w:val="18"/>
        </w:rPr>
        <w:t xml:space="preserve">The threshold value </w:t>
      </w:r>
      <w:r w:rsidR="00F916FF" w:rsidRPr="00EC507D">
        <w:rPr>
          <w:rFonts w:ascii="Times" w:hAnsi="Times"/>
          <w:sz w:val="18"/>
          <w:szCs w:val="18"/>
        </w:rPr>
        <w:lastRenderedPageBreak/>
        <w:t xml:space="preserve">applied for the </w:t>
      </w:r>
      <w:r w:rsidR="00BC6FC8" w:rsidRPr="00EC507D">
        <w:rPr>
          <w:rFonts w:ascii="Times" w:hAnsi="Times"/>
          <w:sz w:val="18"/>
          <w:szCs w:val="18"/>
        </w:rPr>
        <w:t>‘</w:t>
      </w:r>
      <w:r w:rsidR="00F916FF" w:rsidRPr="00EC507D">
        <w:rPr>
          <w:rFonts w:ascii="Times" w:hAnsi="Times"/>
          <w:sz w:val="18"/>
          <w:szCs w:val="18"/>
        </w:rPr>
        <w:t>Northeast Pacific</w:t>
      </w:r>
      <w:r w:rsidR="00BC6FC8" w:rsidRPr="00EC507D">
        <w:rPr>
          <w:rFonts w:ascii="Times" w:hAnsi="Times"/>
          <w:sz w:val="18"/>
          <w:szCs w:val="18"/>
        </w:rPr>
        <w:t>’ region</w:t>
      </w:r>
      <w:r w:rsidR="00F916FF" w:rsidRPr="00EC507D">
        <w:rPr>
          <w:rFonts w:ascii="Times" w:hAnsi="Times"/>
          <w:sz w:val="18"/>
          <w:szCs w:val="18"/>
        </w:rPr>
        <w:t xml:space="preserve"> of +1 in both </w:t>
      </w:r>
      <w:r w:rsidR="00F916FF" w:rsidRPr="00EC507D">
        <w:rPr>
          <w:rFonts w:ascii="Times" w:hAnsi="Times"/>
          <w:i/>
          <w:iCs/>
          <w:sz w:val="18"/>
          <w:szCs w:val="18"/>
        </w:rPr>
        <w:t>REF-SED2</w:t>
      </w:r>
      <w:r w:rsidR="00F916FF" w:rsidRPr="00EC507D">
        <w:rPr>
          <w:rFonts w:ascii="Times" w:hAnsi="Times"/>
          <w:sz w:val="18"/>
          <w:szCs w:val="18"/>
        </w:rPr>
        <w:t xml:space="preserve"> and </w:t>
      </w:r>
      <w:r w:rsidR="00F916FF" w:rsidRPr="00EC507D">
        <w:rPr>
          <w:rFonts w:ascii="Times" w:hAnsi="Times"/>
          <w:i/>
          <w:iCs/>
          <w:sz w:val="18"/>
          <w:szCs w:val="18"/>
        </w:rPr>
        <w:t>REF-SED3</w:t>
      </w:r>
      <w:r w:rsidR="00F916FF" w:rsidRPr="00EC507D">
        <w:rPr>
          <w:rFonts w:ascii="Times" w:hAnsi="Times"/>
          <w:sz w:val="18"/>
          <w:szCs w:val="18"/>
          <w:lang w:eastAsia="en-US"/>
        </w:rPr>
        <w:t xml:space="preserve">, follows the reference </w:t>
      </w:r>
      <w:r w:rsidR="00F916FF" w:rsidRPr="00EC507D">
        <w:rPr>
          <w:rFonts w:ascii="Times" w:hAnsi="Times"/>
          <w:sz w:val="18"/>
          <w:szCs w:val="18"/>
        </w:rPr>
        <w:t>ε</w:t>
      </w:r>
      <w:r w:rsidR="00F916FF" w:rsidRPr="00EC507D">
        <w:rPr>
          <w:rFonts w:ascii="Times" w:hAnsi="Times"/>
          <w:sz w:val="18"/>
          <w:szCs w:val="18"/>
          <w:vertAlign w:val="subscript"/>
        </w:rPr>
        <w:t>Nd</w:t>
      </w:r>
      <w:r w:rsidR="00F916FF" w:rsidRPr="00EC507D">
        <w:rPr>
          <w:rFonts w:ascii="Times" w:hAnsi="Times"/>
          <w:sz w:val="18"/>
          <w:szCs w:val="18"/>
        </w:rPr>
        <w:t xml:space="preserve"> external input value</w:t>
      </w:r>
      <w:r w:rsidR="001E211A">
        <w:rPr>
          <w:rFonts w:ascii="Times" w:hAnsi="Times"/>
          <w:sz w:val="18"/>
          <w:szCs w:val="18"/>
        </w:rPr>
        <w:t xml:space="preserve"> to seawater</w:t>
      </w:r>
      <w:r w:rsidR="00F916FF" w:rsidRPr="00EC507D">
        <w:rPr>
          <w:rFonts w:ascii="Times" w:hAnsi="Times"/>
          <w:sz w:val="18"/>
          <w:szCs w:val="18"/>
        </w:rPr>
        <w:t xml:space="preserve"> predicted for the North Pacific</w:t>
      </w:r>
      <w:r w:rsidR="002E1B4D" w:rsidRPr="00EC507D">
        <w:rPr>
          <w:rFonts w:ascii="Times" w:hAnsi="Times"/>
          <w:sz w:val="18"/>
          <w:szCs w:val="18"/>
        </w:rPr>
        <w:t xml:space="preserve"> (+0.8 to +1)</w:t>
      </w:r>
      <w:r w:rsidR="00F916FF" w:rsidRPr="00EC507D">
        <w:rPr>
          <w:rFonts w:ascii="Times" w:hAnsi="Times"/>
          <w:sz w:val="18"/>
          <w:szCs w:val="18"/>
        </w:rPr>
        <w:t xml:space="preserve"> </w:t>
      </w:r>
      <w:r w:rsidR="00F916FF" w:rsidRPr="00EC507D">
        <w:rPr>
          <w:rFonts w:ascii="Times" w:hAnsi="Times"/>
          <w:sz w:val="18"/>
          <w:szCs w:val="18"/>
        </w:rPr>
        <w:fldChar w:fldCharType="begin" w:fldLock="1"/>
      </w:r>
      <w:r w:rsidR="0065012F">
        <w:rPr>
          <w:rFonts w:ascii="Times" w:hAnsi="Times"/>
          <w:sz w:val="18"/>
          <w:szCs w:val="18"/>
        </w:rPr>
        <w:instrText>ADDIN CSL_CITATION {"citationItems":[{"id":"ITEM-1","itemData":{"DOI":"10.1029/1999JC000285","ISBN":"0148-0227","ISSN":"0148-0227","PMID":"17439377","abstract":"The oceanic Nd budget is calculated using a steady state 10-box model and a compilation of field data. This is the first attempt to propose consistent estimates of the Nd fluxes entering the ocean, as well as indicating possible Nd sources and the proportion of Nd fluxes exchanged between dissolved and particulate fractions. With presently available Nd data the best estimates give a total Nd influx of 9 x 10(9) g/yr, which leads to an oceanic Nd residence time of 500 years. From modeling tests we suggest that the authigenic Nd scavenged by particulates is 100% remineralized in the deep ocean. The total exchanged Nd flux may be as high as 2 x 10(10) g/yr. The epsilon(Nd(0)) values of the influxes are -22, -11, +1, and -4 for the North Atlantic, surface Atlantic, North Pacific, and surface Indo-Pacific regions, respectively. Atmospheric and riverine Nd fluxes are insufficient to explain the magnitude and regional variability of calculated Nd influxes and epsilon(Nd(0)). We propose continental margins as an additional source supplying Nd to the ocean. Using the model calibrated for Nd, we examine the sensitivity of deep water epsilon(Nd(0)) to variations of Nd inputs to the ocean. Deep water Nd concentrations and epsilon(Nd(0)) vary with the changes in Nd influxes and their epsilon(Nd(0)). As Nd sources to the ocean may change during glacial/interglacial periods, the epsilon(Nd(0)) shifts recorded in ferromanganese nodules and crusts do not necessarily reflect changes in paleoceanic circulation. The effects of continental erosion should be considered in reconstructing patterns of ocean circulation using Nd isotopes.","author":[{"dropping-particle":"","family":"Tachikawa","given":"K.","non-dropping-particle":"","parse-names":false,"suffix":""},{"dropping-particle":"","family":"Athias","given":"V.","non-dropping-particle":"","parse-names":false,"suffix":""},{"dropping-particle":"","family":"Jeandel","given":"C.","non-dropping-particle":"","parse-names":false,"suffix":""}],"container-title":"Journal of Geophysical Research","id":"ITEM-1","issue":"C8","issued":{"date-parts":[["2003","8","1"]]},"note":"Purpose of the study is to constain the Nd inventory in the mordern ocean using both a compliation of all the available Nd data and a numerical model.","page":"3254","title":"Neodymium budget in the modern ocean and paleo-oceanographic implications","type":"article-journal","volume":"108"},"uris":["http://www.mendeley.com/documents/?uuid=0f9c0bfe-df00-3deb-81e5-6e21c394e160"]},{"id":"ITEM-2","itemData":{"DOI":"10.1038/s41467-018-07079-z","ISSN":"20411723","PMID":"30413704","abstract":"There is evidence for greater carbon storage in the glacial deep Pacific, but it is uncertain whether it was caused by changes in ventilation, circulation, and biological productivity. The spatial ε Nd evolution in the deep Pacific provides information on the deepwater transit time. Seven new foraminiferal ε Nd records are presented to systematically constrain glacial to interglacial changes in deep Pacific overturning and two different ε Nd evolution regimes occur spatially in the Pacific with reduced meridional ε Nd gradients in glacials, suggesting a faster deep Pacific overturning circulation. This implies that greater glacial carbon storage due to sluggish circulation, that is believed to have occurred in the deep Atlantic, did not operate in a similar manner in the Pacific Ocean. Other mechanisms such as increased biological pump efficiency and poor high latitude air-sea exchange could be responsible for increased carbon storage in the glacial Pacific.","author":[{"dropping-particle":"","family":"Hu","given":"Rong","non-dropping-particle":"","parse-names":false,"suffix":""},{"dropping-particle":"","family":"Piotrowski","given":"Alexander M.","non-dropping-particle":"","parse-names":false,"suffix":""}],"container-title":"Nature Communications","id":"ITEM-2","issue":"1","issued":{"date-parts":[["2018","12","1"]]},"note":"From Duplicate 1 (Neodymium isotope evidence for glacial-interglacial variability of deepwater transit time in the Pacific Ocean - Hu, Rong; Piotrowski, Alexander M.)\n\nFrom Duplicate 3 (Neodymium isotope evidence for glacial-interglacial variability of deepwater transit time in the Pacific Ocean - Hu, Rong; Piotrowski, Alexander M.)\n\nA first study to look at Nd isotopes as a convection tracer for the Pacific during the LGM\n\nFrom Duplicate 4 (Neodymium isotope evidence for glacial-interglacial variability of deepwater transit time in the Pacific Ocean - Hu, Rong; Piotrowski, Alexander M.)\n\nFrom Duplicate 2 (Neodymium isotope evidence for glacial-interglacial variability of deepwater transit time in the Pacific Ocean - Hu, Rong; Piotrowski, Alexander M.)\n\nA first study to look at Nd isotopes as a convection tracer for the Pacific during the LGM\n\nFrom Duplicate 3 (Neodymium isotope evidence for glacial-interglacial variability of deepwater transit time in the Pacific Ocean - Hu, Rong; Piotrowski, A M)\n\nFrom Duplicate 2 (Neodymium isotope evidence for glacial-interglacial variability of deepwater transit time in the Pacific Ocean - Hu, Rong; Piotrowski, Alexander M.)\n\nFrom Duplicate 3 (Neodymium isotope evidence for glacial-interglacial variability of deepwater transit time in the Pacific Ocean - Hu, Rong; Piotrowski, Alexander M.)\n\nA first study to look at Nd isotopes as a convection tracer for the Pacific during the LGM\n\nFrom Duplicate 4 (Neodymium isotope evidence for glacial-interglacial variability of deepwater transit time in the Pacific Ocean - Hu, Rong; Piotrowski, Alexander M.)\n\nFrom Duplicate 2 (Neodymium isotope evidence for glacial-interglacial variability of deepwater transit time in the Pacific Ocean - Hu, Rong; Piotrowski, Alexander M.)\n\nA first study to look at Nd isotopes as a convection tracer for the Pacific during the LGM","page":"1-12","publisher":"Nature Publishing Group","title":"Neodymium isotope evidence for glacial-interglacial variability of deepwater transit time in the Pacific Ocean","type":"article-journal","volume":"9"},"uris":["http://www.mendeley.com/documents/?uuid=e55d75ab-76ae-4141-8b64-d81d3fb4b4a2"]}],"mendeley":{"formattedCitation":"(Tachikawa et al., 2003; Hu and Piotrowski, 2018)","plainTextFormattedCitation":"(Tachikawa et al., 2003; Hu and Piotrowski, 2018)","previouslyFormattedCitation":"(Tachikawa et al., 2003; Hu and Piotrowski, 2018)"},"properties":{"noteIndex":0},"schema":"https://github.com/citation-style-language/schema/raw/master/csl-citation.json"}</w:instrText>
      </w:r>
      <w:r w:rsidR="00F916FF" w:rsidRPr="00EC507D">
        <w:rPr>
          <w:rFonts w:ascii="Times" w:hAnsi="Times"/>
          <w:sz w:val="18"/>
          <w:szCs w:val="18"/>
        </w:rPr>
        <w:fldChar w:fldCharType="separate"/>
      </w:r>
      <w:r w:rsidR="00734358" w:rsidRPr="00734358">
        <w:rPr>
          <w:rFonts w:ascii="Times" w:hAnsi="Times"/>
          <w:noProof/>
          <w:sz w:val="18"/>
          <w:szCs w:val="18"/>
        </w:rPr>
        <w:t>(Tachikawa et al., 2003; Hu and Piotrowski, 2018)</w:t>
      </w:r>
      <w:r w:rsidR="00F916FF" w:rsidRPr="00EC507D">
        <w:rPr>
          <w:rFonts w:ascii="Times" w:hAnsi="Times"/>
          <w:sz w:val="18"/>
          <w:szCs w:val="18"/>
        </w:rPr>
        <w:fldChar w:fldCharType="end"/>
      </w:r>
      <w:r w:rsidR="00F916FF" w:rsidRPr="00EC507D">
        <w:rPr>
          <w:rFonts w:ascii="Times" w:hAnsi="Times"/>
          <w:sz w:val="18"/>
          <w:szCs w:val="18"/>
        </w:rPr>
        <w:t xml:space="preserve">, and is </w:t>
      </w:r>
      <w:r w:rsidR="00BC6FC8" w:rsidRPr="00EC507D">
        <w:rPr>
          <w:rFonts w:ascii="Times" w:hAnsi="Times"/>
          <w:sz w:val="18"/>
          <w:szCs w:val="18"/>
        </w:rPr>
        <w:t>approximate</w:t>
      </w:r>
      <w:r w:rsidR="00F916FF" w:rsidRPr="00EC507D">
        <w:rPr>
          <w:rFonts w:ascii="Times" w:hAnsi="Times"/>
          <w:sz w:val="18"/>
          <w:szCs w:val="18"/>
        </w:rPr>
        <w:t xml:space="preserve"> to the pore fluid ε</w:t>
      </w:r>
      <w:r w:rsidR="00F916FF" w:rsidRPr="00EC507D">
        <w:rPr>
          <w:rFonts w:ascii="Times" w:hAnsi="Times"/>
          <w:sz w:val="18"/>
          <w:szCs w:val="18"/>
          <w:vertAlign w:val="subscript"/>
        </w:rPr>
        <w:t>Nd</w:t>
      </w:r>
      <w:r w:rsidR="00F916FF" w:rsidRPr="00EC507D">
        <w:rPr>
          <w:rFonts w:ascii="Times" w:hAnsi="Times"/>
          <w:sz w:val="18"/>
          <w:szCs w:val="18"/>
        </w:rPr>
        <w:t xml:space="preserve"> values measured across the Oregon margin</w:t>
      </w:r>
      <w:r w:rsidR="00786BF4">
        <w:rPr>
          <w:rFonts w:ascii="Times" w:hAnsi="Times"/>
          <w:sz w:val="18"/>
          <w:szCs w:val="18"/>
        </w:rPr>
        <w:t>,</w:t>
      </w:r>
      <w:r w:rsidR="00F916FF" w:rsidRPr="00EC507D">
        <w:rPr>
          <w:rFonts w:ascii="Times" w:hAnsi="Times"/>
          <w:sz w:val="18"/>
          <w:szCs w:val="18"/>
        </w:rPr>
        <w:t xml:space="preserve"> which range from -1.8 to -0.2 </w:t>
      </w:r>
      <w:r w:rsidR="00F916FF" w:rsidRPr="00EC507D">
        <w:rPr>
          <w:rFonts w:ascii="Times" w:hAnsi="Times"/>
          <w:sz w:val="18"/>
          <w:szCs w:val="18"/>
        </w:rPr>
        <w:fldChar w:fldCharType="begin" w:fldLock="1"/>
      </w:r>
      <w:r w:rsidR="00F916FF" w:rsidRPr="00EC507D">
        <w:rPr>
          <w:rFonts w:ascii="Times" w:hAnsi="Times"/>
          <w:sz w:val="18"/>
          <w:szCs w:val="18"/>
        </w:rPr>
        <w:instrText>ADDIN CSL_CITATION {"citationItems":[{"id":"ITEM-1","itemData":{"DOI":"10.1130/G37114.1","ISSN":"19432682","abstract":"The ability to reconstruct past ocean currents is essential for determining ocean circulation's role in global heat transport and climate change. Our understanding of the relationship between circulation and climate in the past allows us to predict the impact of future climate-driven circulation changes. One proposed tracer of past ocean circulation is the neodymium isotope composition (εNd) of ancient water masses. However, ambiguities in what governs the εNd distribution in the modern ocean hamper interpretations of this tracer. Here we present εNd values for marine pore fluids, sediments, and the overlying water column for three sites in the North Pacific. We find that ocean bottom water εNd (εNdBW) in the northeast Pacific lies between the value expected for the water mass (–3.3) and the measured εNd of sediment pore fluid (εNdPW; –1.8). Moreover, εNdPW resembles the εNd of the sediment. Combined, these findings are consistent with recent assessments that sediment pore fluids may be a major source of rare earth elements to the ocean and suggest that the benthic flux of Nd from pore fluids exerts the primary control over the deep ocean distribution of εNd.","author":[{"dropping-particle":"","family":"Abbott","given":"April N","non-dropping-particle":"","parse-names":false,"suffix":""},{"dropping-particle":"","family":"Haley","given":"Brian A","non-dropping-particle":"","parse-names":false,"suffix":""},{"dropping-particle":"","family":"McManus","given":"James","non-dropping-particle":"","parse-names":false,"suffix":""}],"container-title":"Geology","id":"ITEM-1","issue":"11","issued":{"date-parts":[["2015"]]},"page":"1035-1038","title":"Bottoms up: Sedimentary control of the deep North Pacific Ocean’s εNd signature","type":"article-journal","volume":"43"},"uris":["http://www.mendeley.com/documents/?uuid=9b9984ee-6039-32a0-a6ea-6cb0c9cfc5ff"]}],"mendeley":{"formattedCitation":"(Abbott et al., 2015a)","plainTextFormattedCitation":"(Abbott et al., 2015a)","previouslyFormattedCitation":"(Abbott et al., 2015a)"},"properties":{"noteIndex":0},"schema":"https://github.com/citation-style-language/schema/raw/master/csl-citation.json"}</w:instrText>
      </w:r>
      <w:r w:rsidR="00F916FF" w:rsidRPr="00EC507D">
        <w:rPr>
          <w:rFonts w:ascii="Times" w:hAnsi="Times"/>
          <w:sz w:val="18"/>
          <w:szCs w:val="18"/>
        </w:rPr>
        <w:fldChar w:fldCharType="separate"/>
      </w:r>
      <w:r w:rsidR="00F916FF" w:rsidRPr="00EC507D">
        <w:rPr>
          <w:rFonts w:ascii="Times" w:hAnsi="Times"/>
          <w:noProof/>
          <w:sz w:val="18"/>
          <w:szCs w:val="18"/>
        </w:rPr>
        <w:t>(Abbott et al., 2015a)</w:t>
      </w:r>
      <w:r w:rsidR="00F916FF" w:rsidRPr="00EC507D">
        <w:rPr>
          <w:rFonts w:ascii="Times" w:hAnsi="Times"/>
          <w:sz w:val="18"/>
          <w:szCs w:val="18"/>
        </w:rPr>
        <w:fldChar w:fldCharType="end"/>
      </w:r>
      <w:r w:rsidR="00F916FF" w:rsidRPr="00EC507D">
        <w:rPr>
          <w:rFonts w:ascii="Times" w:hAnsi="Times"/>
          <w:sz w:val="18"/>
          <w:szCs w:val="18"/>
        </w:rPr>
        <w:t>.</w:t>
      </w:r>
      <w:r w:rsidR="00E21244" w:rsidRPr="00EC507D">
        <w:rPr>
          <w:rFonts w:ascii="Times" w:hAnsi="Times"/>
          <w:sz w:val="18"/>
          <w:szCs w:val="18"/>
        </w:rPr>
        <w:t xml:space="preserve"> Regarding the ‘Eastern Equatorial Pacific’ region, the threshold ε</w:t>
      </w:r>
      <w:r w:rsidR="00E21244" w:rsidRPr="00EC507D">
        <w:rPr>
          <w:rFonts w:ascii="Times" w:hAnsi="Times"/>
          <w:sz w:val="18"/>
          <w:szCs w:val="18"/>
          <w:vertAlign w:val="subscript"/>
        </w:rPr>
        <w:t>Nd</w:t>
      </w:r>
      <w:r w:rsidR="00E21244" w:rsidRPr="00EC507D">
        <w:rPr>
          <w:rFonts w:ascii="Times" w:hAnsi="Times"/>
          <w:sz w:val="18"/>
          <w:szCs w:val="18"/>
        </w:rPr>
        <w:t xml:space="preserve"> value of +4 applied in </w:t>
      </w:r>
      <w:r w:rsidR="00E21244" w:rsidRPr="00EC507D">
        <w:rPr>
          <w:rFonts w:ascii="Times" w:hAnsi="Times"/>
          <w:i/>
          <w:iCs/>
          <w:sz w:val="18"/>
          <w:szCs w:val="18"/>
        </w:rPr>
        <w:t>REF-SED2</w:t>
      </w:r>
      <w:r w:rsidR="00E21244" w:rsidRPr="00EC507D">
        <w:rPr>
          <w:rFonts w:ascii="Times" w:hAnsi="Times"/>
          <w:sz w:val="18"/>
          <w:szCs w:val="18"/>
        </w:rPr>
        <w:t xml:space="preserve"> is based upon the dominant proximal Nd sources governing seawater distributions from the central American arcs and the Galapagos archipelago (with measurements ranging from 0 to +5) </w:t>
      </w:r>
      <w:r w:rsidR="00E21244" w:rsidRPr="00EC507D">
        <w:rPr>
          <w:rFonts w:ascii="Times" w:hAnsi="Times"/>
          <w:sz w:val="18"/>
          <w:szCs w:val="18"/>
        </w:rPr>
        <w:fldChar w:fldCharType="begin" w:fldLock="1"/>
      </w:r>
      <w:r w:rsidR="00E21244" w:rsidRPr="00EC507D">
        <w:rPr>
          <w:rFonts w:ascii="Times" w:hAnsi="Times"/>
          <w:sz w:val="18"/>
          <w:szCs w:val="18"/>
        </w:rPr>
        <w:instrText>ADDIN CSL_CITATION {"citationItems":[{"id":"ITEM-1","itemData":{"DOI":"10.1038/s41467-018-07079-z","ISSN":"20411723","PMID":"30413704","abstract":"There is evidence for greater carbon storage in the glacial deep Pacific, but it is uncertain whether it was caused by changes in ventilation, circulation, and biological productivity. The spatial ε Nd evolution in the deep Pacific provides information on the deepwater transit time. Seven new foraminiferal ε Nd records are presented to systematically constrain glacial to interglacial changes in deep Pacific overturning and two different ε Nd evolution regimes occur spatially in the Pacific with reduced meridional ε Nd gradients in glacials, suggesting a faster deep Pacific overturning circulation. This implies that greater glacial carbon storage due to sluggish circulation, that is believed to have occurred in the deep Atlantic, did not operate in a similar manner in the Pacific Ocean. Other mechanisms such as increased biological pump efficiency and poor high latitude air-sea exchange could be responsible for increased carbon storage in the glacial Pacific.","author":[{"dropping-particle":"","family":"Hu","given":"Rong","non-dropping-particle":"","parse-names":false,"suffix":""},{"dropping-particle":"","family":"Piotrowski","given":"Alexander M.","non-dropping-particle":"","parse-names":false,"suffix":""}],"container-title":"Nature Communications","id":"ITEM-1","issue":"1","issued":{"date-parts":[["2018","12","1"]]},"note":"From Duplicate 1 (Neodymium isotope evidence for glacial-interglacial variability of deepwater transit time in the Pacific Ocean - Hu, Rong; Piotrowski, Alexander M.)\n\nFrom Duplicate 3 (Neodymium isotope evidence for glacial-interglacial variability of deepwater transit time in the Pacific Ocean - Hu, Rong; Piotrowski, Alexander M.)\n\nA first study to look at Nd isotopes as a convection tracer for the Pacific during the LGM\n\nFrom Duplicate 4 (Neodymium isotope evidence for glacial-interglacial variability of deepwater transit time in the Pacific Ocean - Hu, Rong; Piotrowski, Alexander M.)\n\nFrom Duplicate 2 (Neodymium isotope evidence for glacial-interglacial variability of deepwater transit time in the Pacific Ocean - Hu, Rong; Piotrowski, Alexander M.)\n\nA first study to look at Nd isotopes as a convection tracer for the Pacific during the LGM\n\nFrom Duplicate 3 (Neodymium isotope evidence for glacial-interglacial variability of deepwater transit time in the Pacific Ocean - Hu, Rong; Piotrowski, A M)\n\nFrom Duplicate 2 (Neodymium isotope evidence for glacial-interglacial variability of deepwater transit time in the Pacific Ocean - Hu, Rong; Piotrowski, Alexander M.)\n\nFrom Duplicate 3 (Neodymium isotope evidence for glacial-interglacial variability of deepwater transit time in the Pacific Ocean - Hu, Rong; Piotrowski, Alexander M.)\n\nA first study to look at Nd isotopes as a convection tracer for the Pacific during the LGM\n\nFrom Duplicate 4 (Neodymium isotope evidence for glacial-interglacial variability of deepwater transit time in the Pacific Ocean - Hu, Rong; Piotrowski, Alexander M.)\n\nFrom Duplicate 2 (Neodymium isotope evidence for glacial-interglacial variability of deepwater transit time in the Pacific Ocean - Hu, Rong; Piotrowski, Alexander M.)\n\nA first study to look at Nd isotopes as a convection tracer for the Pacific during the LGM","page":"1-12","publisher":"Nature Publishing Group","title":"Neodymium isotope evidence for glacial-interglacial variability of deepwater transit time in the Pacific Ocean","type":"article-journal","volume":"9"},"uris":["http://www.mendeley.com/documents/?uuid=e55d75ab-76ae-4141-8b64-d81d3fb4b4a2"]}],"mendeley":{"formattedCitation":"(Hu and Piotrowski, 2018)","plainTextFormattedCitation":"(Hu and Piotrowski, 2018)","previouslyFormattedCitation":"(Hu and Piotrowski, 2018)"},"properties":{"noteIndex":0},"schema":"https://github.com/citation-style-language/schema/raw/master/csl-citation.json"}</w:instrText>
      </w:r>
      <w:r w:rsidR="00E21244" w:rsidRPr="00EC507D">
        <w:rPr>
          <w:rFonts w:ascii="Times" w:hAnsi="Times"/>
          <w:sz w:val="18"/>
          <w:szCs w:val="18"/>
        </w:rPr>
        <w:fldChar w:fldCharType="separate"/>
      </w:r>
      <w:r w:rsidR="00E21244" w:rsidRPr="00EC507D">
        <w:rPr>
          <w:rFonts w:ascii="Times" w:hAnsi="Times"/>
          <w:noProof/>
          <w:sz w:val="18"/>
          <w:szCs w:val="18"/>
        </w:rPr>
        <w:t>(Hu and Piotrowski, 2018)</w:t>
      </w:r>
      <w:r w:rsidR="00E21244" w:rsidRPr="00EC507D">
        <w:rPr>
          <w:rFonts w:ascii="Times" w:hAnsi="Times"/>
          <w:sz w:val="18"/>
          <w:szCs w:val="18"/>
        </w:rPr>
        <w:fldChar w:fldCharType="end"/>
      </w:r>
      <w:r w:rsidR="00E21244" w:rsidRPr="00EC507D">
        <w:rPr>
          <w:rFonts w:ascii="Times" w:hAnsi="Times"/>
          <w:sz w:val="18"/>
          <w:szCs w:val="18"/>
        </w:rPr>
        <w:t>. This ε</w:t>
      </w:r>
      <w:r w:rsidR="00E21244" w:rsidRPr="00EC507D">
        <w:rPr>
          <w:rFonts w:ascii="Times" w:hAnsi="Times"/>
          <w:sz w:val="18"/>
          <w:szCs w:val="18"/>
          <w:vertAlign w:val="subscript"/>
        </w:rPr>
        <w:t>Nd</w:t>
      </w:r>
      <w:r w:rsidR="00E21244" w:rsidRPr="00EC507D">
        <w:rPr>
          <w:rFonts w:ascii="Times" w:hAnsi="Times"/>
          <w:sz w:val="18"/>
          <w:szCs w:val="18"/>
        </w:rPr>
        <w:t xml:space="preserve"> threshold for the </w:t>
      </w:r>
      <w:r w:rsidR="00786BF4" w:rsidRPr="00EC507D">
        <w:rPr>
          <w:rFonts w:ascii="Times" w:hAnsi="Times"/>
          <w:sz w:val="18"/>
          <w:szCs w:val="18"/>
        </w:rPr>
        <w:t xml:space="preserve">Eastern Equatorial Pacific’ </w:t>
      </w:r>
      <w:r w:rsidR="00E21244" w:rsidRPr="00EC507D">
        <w:rPr>
          <w:rFonts w:ascii="Times" w:hAnsi="Times"/>
          <w:sz w:val="18"/>
          <w:szCs w:val="18"/>
        </w:rPr>
        <w:t xml:space="preserve">was subsequently increased to +10 to reflect more intense exchange in </w:t>
      </w:r>
      <w:r w:rsidR="00E21244" w:rsidRPr="00EC507D">
        <w:rPr>
          <w:rFonts w:ascii="Times" w:hAnsi="Times"/>
          <w:i/>
          <w:iCs/>
          <w:sz w:val="18"/>
          <w:szCs w:val="18"/>
        </w:rPr>
        <w:t>REF-SED3</w:t>
      </w:r>
      <w:r w:rsidR="00E21244" w:rsidRPr="00EC507D">
        <w:rPr>
          <w:rFonts w:ascii="Times" w:hAnsi="Times"/>
          <w:sz w:val="18"/>
          <w:szCs w:val="18"/>
        </w:rPr>
        <w:t xml:space="preserve"> from dissolution of easily weatherable volcanogenic particles, imposing the most extreme radiogenic ε</w:t>
      </w:r>
      <w:r w:rsidR="00E21244" w:rsidRPr="00EC507D">
        <w:rPr>
          <w:rFonts w:ascii="Times" w:hAnsi="Times"/>
          <w:sz w:val="18"/>
          <w:szCs w:val="18"/>
          <w:vertAlign w:val="subscript"/>
        </w:rPr>
        <w:t>Nd</w:t>
      </w:r>
      <w:r w:rsidR="00E21244" w:rsidRPr="00EC507D">
        <w:rPr>
          <w:rFonts w:ascii="Times" w:hAnsi="Times"/>
          <w:sz w:val="18"/>
          <w:szCs w:val="18"/>
        </w:rPr>
        <w:t xml:space="preserve"> sediment distribution estimated by </w:t>
      </w:r>
      <w:r w:rsidR="00E21244" w:rsidRPr="00EC507D">
        <w:rPr>
          <w:rFonts w:ascii="Times" w:hAnsi="Times"/>
          <w:sz w:val="18"/>
          <w:szCs w:val="18"/>
        </w:rPr>
        <w:fldChar w:fldCharType="begin" w:fldLock="1"/>
      </w:r>
      <w:r w:rsidR="00E21244" w:rsidRPr="00EC507D">
        <w:rPr>
          <w:rFonts w:ascii="Times" w:hAnsi="Times"/>
          <w:sz w:val="18"/>
          <w:szCs w:val="18"/>
        </w:rPr>
        <w:instrText>ADDIN CSL_CITATION {"citationItems":[{"id":"ITEM-1","itemData":{"DOI":"10.1016/j.chemgeo.2021.120119","ISSN":"00092541","abstract":"Understanding the role of sediment-water interactions in the oceanic cycling of neodymium (Nd) isotopes is essential for its reliable use as a modern and palaeoceanographic tracer of ocean circulation. However, the exact processes that control Nd cycling in the ocean are poorly defined and require an up-to-date knowledge of the sources, sinks and transformation of this tracer to and within the ocean (e.g. as per the GEOTRACES core mission). We propose a considerable improvement of Nd-source identification by providing an extensive and up-to-date compilation of published terrestrial and marine sedimentary Nd isotopic measurements. From this database, we construct high resolution, gridded, global maps that characterise the Nd-isotopic signature of the continental margins and seafloor sediment. Here, we present the database, interpolation methods, and final data products. Consistent with the previous studies that inform our compilation, our global results show unradiogenic detrital Nd isotopic values (εNd ≈ -20) in the North Atlantic, εNd values of ≈ -12 to -7 in the Indian and Southern Ocean, and radiogenic values (εNd ≈ -3 to +4) in the Pacific. The new, high-resolution interpolation is useful for improving conceptual knowledge of Nd sources and sinks and enables the application of isotope-enabled ocean models to understand targeted Nd behaviour in the oceans. Such applications may include: examining the strength and distribution of a possible benthic flux required to reconcile global Nd budgets, establishing the potential use of Nd isotopes as a kinematic tracer of ocean circulation, and a general quantification of the non-conservative sedimentary processes that may contribute to marine Nd cycling.","author":[{"dropping-particle":"","family":"Robinson","given":"Suzanne","non-dropping-particle":"","parse-names":false,"suffix":""},{"dropping-particle":"","family":"Ivanovic","given":"Ruza","non-dropping-particle":"","parse-names":false,"suffix":""},{"dropping-particle":"","family":"Flierdt","given":"Tina","non-dropping-particle":"van de","parse-names":false,"suffix":""},{"dropping-particle":"","family":"Blanchet","given":"Cécile L.","non-dropping-particle":"","parse-names":false,"suffix":""},{"dropping-particle":"","family":"Tachikawa","given":"Kazuyo","non-dropping-particle":"","parse-names":false,"suffix":""},{"dropping-particle":"","family":"Martin","given":"Ellen E.","non-dropping-particle":"","parse-names":false,"suffix":""},{"dropping-particle":"","family":"Cook","given":"Carys P.","non-dropping-particle":"","parse-names":false,"suffix":""},{"dropping-particle":"","family":"Williams","given":"Trevor","non-dropping-particle":"","parse-names":false,"suffix":""},{"dropping-particle":"","family":"Gregoire","given":"Lauren","non-dropping-particle":"","parse-names":false,"suffix":""},{"dropping-particle":"","family":"Plancherel","given":"Yves","non-dropping-particle":"","parse-names":false,"suffix":""},{"dropping-particle":"","family":"Jeandel","given":"Catherine","non-dropping-particle":"","parse-names":false,"suffix":""},{"dropping-particle":"","family":"Arsouze","given":"Thomas","non-dropping-particle":"","parse-names":false,"suffix":""}],"container-title":"Chemical Geology","id":"ITEM-1","issued":{"date-parts":[["2021","4","20"]]},"page":"120119","publisher":"Elsevier","title":"Global continental and marine detrital εNd: An updated compilation for use in understanding marine Nd cycling","type":"article-journal","volume":"567"},"uris":["http://www.mendeley.com/documents/?uuid=3b19c854-6586-3606-be07-fd8e457c5320"]}],"mendeley":{"formattedCitation":"(Robinson et al., 2021)","manualFormatting":"Robinson et al. (2021)","plainTextFormattedCitation":"(Robinson et al., 2021)","previouslyFormattedCitation":"(Robinson et al., 2021)"},"properties":{"noteIndex":0},"schema":"https://github.com/citation-style-language/schema/raw/master/csl-citation.json"}</w:instrText>
      </w:r>
      <w:r w:rsidR="00E21244" w:rsidRPr="00EC507D">
        <w:rPr>
          <w:rFonts w:ascii="Times" w:hAnsi="Times"/>
          <w:sz w:val="18"/>
          <w:szCs w:val="18"/>
        </w:rPr>
        <w:fldChar w:fldCharType="separate"/>
      </w:r>
      <w:r w:rsidR="00E21244" w:rsidRPr="00EC507D">
        <w:rPr>
          <w:rFonts w:ascii="Times" w:hAnsi="Times"/>
          <w:noProof/>
          <w:sz w:val="18"/>
          <w:szCs w:val="18"/>
        </w:rPr>
        <w:t>Robinson et al. (2021)</w:t>
      </w:r>
      <w:r w:rsidR="00E21244" w:rsidRPr="00EC507D">
        <w:rPr>
          <w:rFonts w:ascii="Times" w:hAnsi="Times"/>
          <w:sz w:val="18"/>
          <w:szCs w:val="18"/>
        </w:rPr>
        <w:fldChar w:fldCharType="end"/>
      </w:r>
      <w:r w:rsidR="00E21244" w:rsidRPr="00EC507D">
        <w:rPr>
          <w:rFonts w:ascii="Times" w:hAnsi="Times"/>
          <w:sz w:val="18"/>
          <w:szCs w:val="18"/>
        </w:rPr>
        <w:t xml:space="preserve"> in this region (sediment ε</w:t>
      </w:r>
      <w:r w:rsidR="00E21244" w:rsidRPr="00EC507D">
        <w:rPr>
          <w:rFonts w:ascii="Times" w:hAnsi="Times"/>
          <w:sz w:val="18"/>
          <w:szCs w:val="18"/>
          <w:vertAlign w:val="subscript"/>
        </w:rPr>
        <w:t>Nd</w:t>
      </w:r>
      <w:r w:rsidR="00E21244" w:rsidRPr="00EC507D">
        <w:rPr>
          <w:rFonts w:ascii="Times" w:hAnsi="Times"/>
          <w:sz w:val="18"/>
          <w:szCs w:val="18"/>
        </w:rPr>
        <w:t xml:space="preserve"> </w:t>
      </w:r>
      <w:r w:rsidR="001E211A">
        <w:rPr>
          <w:rFonts w:ascii="Times" w:hAnsi="Times"/>
          <w:sz w:val="18"/>
          <w:szCs w:val="18"/>
        </w:rPr>
        <w:t xml:space="preserve">measurements </w:t>
      </w:r>
      <w:r w:rsidR="00E21244" w:rsidRPr="00EC507D">
        <w:rPr>
          <w:rFonts w:ascii="Times" w:hAnsi="Times"/>
          <w:sz w:val="18"/>
          <w:szCs w:val="18"/>
        </w:rPr>
        <w:t>of +10 located in the Galapagos archipelago).</w:t>
      </w:r>
    </w:p>
    <w:p w14:paraId="5310E262" w14:textId="77777777" w:rsidR="005C6A18" w:rsidRPr="00EC507D" w:rsidRDefault="005C6A18" w:rsidP="005C6A18">
      <w:pPr>
        <w:rPr>
          <w:rFonts w:ascii="Times" w:hAnsi="Times"/>
          <w:sz w:val="18"/>
          <w:szCs w:val="18"/>
        </w:rPr>
      </w:pPr>
    </w:p>
    <w:p w14:paraId="49C9BE90" w14:textId="17BA29A8" w:rsidR="005C6A18" w:rsidRPr="00EC507D" w:rsidRDefault="005C6A18" w:rsidP="005C6A18">
      <w:pPr>
        <w:rPr>
          <w:rFonts w:ascii="Times" w:hAnsi="Times"/>
          <w:sz w:val="18"/>
          <w:szCs w:val="18"/>
          <w:lang w:eastAsia="en-US"/>
        </w:rPr>
      </w:pPr>
      <w:r w:rsidRPr="00EC507D">
        <w:rPr>
          <w:rFonts w:ascii="Times" w:hAnsi="Times"/>
          <w:sz w:val="18"/>
          <w:szCs w:val="18"/>
        </w:rPr>
        <w:t>On the other hand, t</w:t>
      </w:r>
      <w:r w:rsidRPr="00EC507D">
        <w:rPr>
          <w:rFonts w:ascii="Times" w:hAnsi="Times"/>
          <w:sz w:val="18"/>
          <w:szCs w:val="18"/>
          <w:lang w:eastAsia="en-US"/>
        </w:rPr>
        <w:t xml:space="preserve">he choice of the modified unradiogenic </w:t>
      </w:r>
      <w:r w:rsidRPr="00EC507D">
        <w:rPr>
          <w:rFonts w:ascii="Times" w:hAnsi="Times"/>
          <w:sz w:val="18"/>
          <w:szCs w:val="18"/>
        </w:rPr>
        <w:t>ε</w:t>
      </w:r>
      <w:r w:rsidRPr="00EC507D">
        <w:rPr>
          <w:rFonts w:ascii="Times" w:hAnsi="Times"/>
          <w:sz w:val="18"/>
          <w:szCs w:val="18"/>
          <w:vertAlign w:val="subscript"/>
        </w:rPr>
        <w:t>Nd</w:t>
      </w:r>
      <w:r w:rsidRPr="00EC507D">
        <w:rPr>
          <w:rFonts w:ascii="Times" w:hAnsi="Times"/>
          <w:sz w:val="18"/>
          <w:szCs w:val="18"/>
          <w:lang w:eastAsia="en-US"/>
        </w:rPr>
        <w:t xml:space="preserve"> signal in the Atlantic is based upon evidence mainly from the </w:t>
      </w:r>
      <w:r w:rsidR="00BC6FC8" w:rsidRPr="00EC507D">
        <w:rPr>
          <w:rFonts w:ascii="Times" w:hAnsi="Times" w:cstheme="minorHAnsi"/>
          <w:sz w:val="18"/>
          <w:szCs w:val="18"/>
          <w:lang w:eastAsia="en-US"/>
        </w:rPr>
        <w:t>northern</w:t>
      </w:r>
      <w:r w:rsidR="00345C31" w:rsidRPr="00EC507D">
        <w:rPr>
          <w:rFonts w:ascii="Times" w:hAnsi="Times" w:cstheme="minorHAnsi"/>
          <w:sz w:val="18"/>
          <w:szCs w:val="18"/>
          <w:lang w:eastAsia="en-US"/>
        </w:rPr>
        <w:t xml:space="preserve"> North</w:t>
      </w:r>
      <w:r w:rsidR="00BC6FC8" w:rsidRPr="00EC507D">
        <w:rPr>
          <w:rFonts w:ascii="Times" w:hAnsi="Times" w:cstheme="minorHAnsi"/>
          <w:sz w:val="18"/>
          <w:szCs w:val="18"/>
          <w:lang w:eastAsia="en-US"/>
        </w:rPr>
        <w:t>west</w:t>
      </w:r>
      <w:r w:rsidR="00345C31" w:rsidRPr="00EC507D">
        <w:rPr>
          <w:rFonts w:ascii="Times" w:hAnsi="Times" w:cstheme="minorHAnsi"/>
          <w:sz w:val="18"/>
          <w:szCs w:val="18"/>
          <w:lang w:eastAsia="en-US"/>
        </w:rPr>
        <w:t xml:space="preserve"> Atlantic</w:t>
      </w:r>
      <w:r w:rsidR="00345C31" w:rsidRPr="00EC507D">
        <w:rPr>
          <w:rFonts w:ascii="Times" w:hAnsi="Times"/>
          <w:sz w:val="18"/>
          <w:szCs w:val="18"/>
          <w:lang w:eastAsia="en-US"/>
        </w:rPr>
        <w:t xml:space="preserve"> </w:t>
      </w:r>
      <w:r w:rsidRPr="00EC507D">
        <w:rPr>
          <w:rFonts w:ascii="Times" w:hAnsi="Times"/>
          <w:sz w:val="18"/>
          <w:szCs w:val="18"/>
          <w:lang w:eastAsia="en-US"/>
        </w:rPr>
        <w:t xml:space="preserve">of </w:t>
      </w:r>
      <w:r w:rsidR="00EC507D" w:rsidRPr="00EC507D">
        <w:rPr>
          <w:rFonts w:ascii="Times" w:hAnsi="Times"/>
          <w:sz w:val="18"/>
          <w:szCs w:val="18"/>
          <w:lang w:eastAsia="en-US"/>
        </w:rPr>
        <w:t xml:space="preserve">an </w:t>
      </w:r>
      <w:r w:rsidRPr="00EC507D">
        <w:rPr>
          <w:rFonts w:ascii="Times" w:hAnsi="Times"/>
          <w:sz w:val="18"/>
          <w:szCs w:val="18"/>
          <w:lang w:eastAsia="en-US"/>
        </w:rPr>
        <w:t>unradiogenic lithogenic Nd source to seawater. Areas of intense exchange of Nd between the sediment and seawater are thought to occur predominantly from highly unradiogenic Archean age Laurentide detrital sediment</w:t>
      </w:r>
      <w:r w:rsidR="00445307" w:rsidRPr="00EC507D">
        <w:rPr>
          <w:rFonts w:ascii="Times" w:hAnsi="Times"/>
          <w:sz w:val="18"/>
          <w:szCs w:val="18"/>
          <w:lang w:eastAsia="en-US"/>
        </w:rPr>
        <w:t xml:space="preserve"> (with</w:t>
      </w:r>
      <w:r w:rsidR="00445307" w:rsidRPr="00EC507D">
        <w:rPr>
          <w:rFonts w:ascii="Times" w:hAnsi="Times"/>
          <w:sz w:val="18"/>
          <w:szCs w:val="18"/>
        </w:rPr>
        <w:t xml:space="preserve"> ε</w:t>
      </w:r>
      <w:r w:rsidR="00445307" w:rsidRPr="00EC507D">
        <w:rPr>
          <w:rFonts w:ascii="Times" w:hAnsi="Times"/>
          <w:sz w:val="18"/>
          <w:szCs w:val="18"/>
          <w:vertAlign w:val="subscript"/>
        </w:rPr>
        <w:t>Nd</w:t>
      </w:r>
      <w:r w:rsidR="00445307" w:rsidRPr="00EC507D">
        <w:rPr>
          <w:rFonts w:ascii="Times" w:hAnsi="Times"/>
          <w:sz w:val="18"/>
          <w:szCs w:val="18"/>
        </w:rPr>
        <w:t xml:space="preserve"> of -28 measured on reactive carbonates: </w:t>
      </w:r>
      <w:r w:rsidR="00445307" w:rsidRPr="00EC507D">
        <w:rPr>
          <w:rFonts w:ascii="Times" w:hAnsi="Times"/>
          <w:sz w:val="18"/>
          <w:szCs w:val="18"/>
        </w:rPr>
        <w:fldChar w:fldCharType="begin" w:fldLock="1"/>
      </w:r>
      <w:r w:rsidR="00E05E66" w:rsidRPr="00EC507D">
        <w:rPr>
          <w:rFonts w:ascii="Times" w:hAnsi="Times"/>
          <w:sz w:val="18"/>
          <w:szCs w:val="18"/>
        </w:rPr>
        <w:instrText xml:space="preserve">ADDIN CSL_CITATION {"citationItems":[{"id":"ITEM-1","itemData":{"DOI":"10.1016/j.gca.2018.10.018","ISSN":"00167037","abstract":"The neodymium isotope proxy has become a valuable tool for the reconstruction of past ocean water mass provenance and mixing. For its accurate application, knowledge about the origin and preservation of Nd in sedimentary archives is crucial. Recently, concerns have emerged regarding the applicability of neodymium isotopes as a conservative palaeo water mass tracer, given potential Nd fluxes from sediments into bottom waters (Abbott et al., 2015a) and inferred relabelling of ocean waters by settling detrital material (Roberts and Piotrowski, 2015). Consequently, a decoupling of water mass provenance and proxy variations may arise. We investigate the mobility of Nd around extreme detrital sedimentation events such as glacial ice rafting pulses and turbidite deposition in the Northeast Atlantic. The constructed records from sediment leachates span extreme Nd isotope variations including volcanic (εNd </w:instrText>
      </w:r>
      <w:r w:rsidR="00E05E66" w:rsidRPr="00EC507D">
        <w:rPr>
          <w:rFonts w:ascii="Cambria Math" w:hAnsi="Cambria Math" w:cs="Cambria Math"/>
          <w:sz w:val="18"/>
          <w:szCs w:val="18"/>
        </w:rPr>
        <w:instrText>∼</w:instrText>
      </w:r>
      <w:r w:rsidR="00E05E66" w:rsidRPr="00EC507D">
        <w:rPr>
          <w:rFonts w:ascii="Times" w:hAnsi="Times"/>
          <w:sz w:val="18"/>
          <w:szCs w:val="18"/>
        </w:rPr>
        <w:instrText xml:space="preserve"> 0) and Laurentian (εNd </w:instrText>
      </w:r>
      <w:r w:rsidR="00E05E66" w:rsidRPr="00EC507D">
        <w:rPr>
          <w:rFonts w:ascii="Cambria Math" w:hAnsi="Cambria Math" w:cs="Cambria Math"/>
          <w:sz w:val="18"/>
          <w:szCs w:val="18"/>
        </w:rPr>
        <w:instrText>∼</w:instrText>
      </w:r>
      <w:r w:rsidR="00E05E66" w:rsidRPr="00EC507D">
        <w:rPr>
          <w:rFonts w:ascii="Times" w:hAnsi="Times"/>
          <w:sz w:val="18"/>
          <w:szCs w:val="18"/>
        </w:rPr>
        <w:instrText xml:space="preserve"> −27) sources. We find that Nd was released into pore waters from reactive detritus inside some detrital layers during early diagenesis, thereby overprinting any archived bottom water Nd signature and precluding the reconstruction of past water mass provenance during the affected time intervals. However, we do not observe any definite indication of diffusive vertical migration of Nd into adjacent layers. Furthermore, bottom water Nd isotope signatures were not modified to a measurable degree by any potential benthic flux of Nd during the deposition of these detrital sediment layers. Consequently, the Nd isotope composition of the pelagic glacial Northeast Atlantic water masses were resilient to such episodic large detrital fluxes. Apart from extreme local sedimentation events, we confirm the presence of detritally overprinted deep waters north of 47°N during the peak glacial from comparison of Northeast Atlantic depth transects. We furthermore suggest that the sensitivity of deep waters to this overprinting effect increased during periods of reduced Atlantic Meridional Overturning Circulation and elevated ice rafting. Overall, our study demonstrates that a thorough evaluation of the proportion of Nd originating from physical water mass advection versus in situ chemical inputs is crucial for the reliable application of Nd isotopes as a water mass tracer.","author":[{"dropping-particle":"","family":"Blaser","given":"Patrick","non-dropping-particle":"","parse-names":false,"suffix":""},{"dropping-particle":"","family":"Pöppelmeier","given":"F.","non-dropping-particle":"","parse-names":false,"suffix":""},{"dropping-particle":"","family":"Schulz","given":"H.","non-dropping-particle":"","parse-names":false,"suffix":""},{"dropping-particle":"","family":"Gutjahr","given":"M.","non-dropping-particle":"","parse-names":false,"suffix":""},{"dropping-particle":"","family":"Frank","given":"M.","non-dropping-particle":"","parse-names":false,"suffix":""},{"dropping-particle":"","family":"Lippold","given":"J.","non-dropping-particle":"","parse-names":false,"suffix":""},{"dropping-particle":"","family":"Heinrich","given":"H.","non-dropping-particle":"","parse-names":false,"suffix":""},{"dropping-particle":"","family":"Link","given":"J. M.","non-dropping-particle":"","parse-names":false,"suffix":""},{"dropping-particle":"","family":"Hoffmann","given":"J.","non-dropping-particle":"","parse-names":false,"suffix":""},{"dropping-particle":"","family":"Szidat","given":"S.","non-dropping-particle":"","parse-names":false,"suffix":""},{"dropping-particle":"","family":"Frank","given":"N.","non-dropping-particle":"","parse-names":false,"suffix":""}],"container-title":"Geochimica et Cosmochimica Acta","id":"ITEM-1","issued":{"date-parts":[["2019"]]},"note":"Looking for evidence of a Benthic flux, does not observe any definite indication of diffusive vertical migration of Nd into adjacent layers. Futhermore, bottom water Nd isotope signatures were not modified to a mesurable degree by any potential benthic flux of Nd during the deposition of these detrital sediment layers. \n\n** This paper goes agaisn Abbot et al 2015b *****\nThus, the REEs remained essentially immobile in the sediment column. Exchange between authigenic and detriatal sediment phases was strictly limited to the distinct detrial laters only. This obeservation contrasts with the sitution in NE Pacific sediments, where REEs today appear to be much more mobile in pore waters and are likely released from deep sea sediment into bottom waters","page":"79-97","title":"The resilience and sensitivity of Northeast Atlantic deep water εNd to overprinting by detrital fluxes over the past 30,000 years","type":"article-journal","volume":"245"},"uris":["http://www.mendeley.com/documents/?uuid=b0ba8f19-909e-4de7-84b7-6444359991b1"]}],"mendeley":{"formattedCitation":"(Blaser et al., 2019)","manualFormatting":"Blaser et al., 2019)","plainTextFormattedCitation":"(Blaser et al., 2019)","previouslyFormattedCitation":"(Blaser et al., 2019)"},"properties":{"noteIndex":0},"schema":"https://github.com/citation-style-language/schema/raw/master/csl-citation.json"}</w:instrText>
      </w:r>
      <w:r w:rsidR="00445307" w:rsidRPr="00EC507D">
        <w:rPr>
          <w:rFonts w:ascii="Times" w:hAnsi="Times"/>
          <w:sz w:val="18"/>
          <w:szCs w:val="18"/>
        </w:rPr>
        <w:fldChar w:fldCharType="separate"/>
      </w:r>
      <w:r w:rsidR="00445307" w:rsidRPr="00EC507D">
        <w:rPr>
          <w:rFonts w:ascii="Times" w:hAnsi="Times"/>
          <w:noProof/>
          <w:sz w:val="18"/>
          <w:szCs w:val="18"/>
        </w:rPr>
        <w:t>Blaser et al., 2019)</w:t>
      </w:r>
      <w:r w:rsidR="00445307" w:rsidRPr="00EC507D">
        <w:rPr>
          <w:rFonts w:ascii="Times" w:hAnsi="Times"/>
          <w:sz w:val="18"/>
          <w:szCs w:val="18"/>
        </w:rPr>
        <w:fldChar w:fldCharType="end"/>
      </w:r>
      <w:r w:rsidRPr="00EC507D">
        <w:rPr>
          <w:rFonts w:ascii="Times" w:hAnsi="Times"/>
          <w:sz w:val="18"/>
          <w:szCs w:val="18"/>
          <w:lang w:eastAsia="en-US"/>
        </w:rPr>
        <w:t xml:space="preserve">, thought to represent a key reactive phase contributing a substantial Nd source to surrounding deep waters </w:t>
      </w:r>
      <w:r w:rsidRPr="00EC507D">
        <w:rPr>
          <w:rFonts w:ascii="Times" w:hAnsi="Times"/>
          <w:sz w:val="18"/>
          <w:szCs w:val="18"/>
          <w:lang w:eastAsia="en-US"/>
        </w:rPr>
        <w:fldChar w:fldCharType="begin" w:fldLock="1"/>
      </w:r>
      <w:r w:rsidR="0065012F">
        <w:rPr>
          <w:rFonts w:ascii="Times" w:hAnsi="Times"/>
          <w:sz w:val="18"/>
          <w:szCs w:val="18"/>
          <w:lang w:eastAsia="en-US"/>
        </w:rPr>
        <w:instrText xml:space="preserve">ADDIN CSL_CITATION {"citationItems":[{"id":"ITEM-1","itemData":{"DOI":"10.1016/j.gca.2018.10.018","ISSN":"00167037","abstract":"The neodymium isotope proxy has become a valuable tool for the reconstruction of past ocean water mass provenance and mixing. For its accurate application, knowledge about the origin and preservation of Nd in sedimentary archives is crucial. Recently, concerns have emerged regarding the applicability of neodymium isotopes as a conservative palaeo water mass tracer, given potential Nd fluxes from sediments into bottom waters (Abbott et al., 2015a) and inferred relabelling of ocean waters by settling detrital material (Roberts and Piotrowski, 2015). Consequently, a decoupling of water mass provenance and proxy variations may arise. We investigate the mobility of Nd around extreme detrital sedimentation events such as glacial ice rafting pulses and turbidite deposition in the Northeast Atlantic. The constructed records from sediment leachates span extreme Nd isotope variations including volcanic (εNd </w:instrText>
      </w:r>
      <w:r w:rsidR="0065012F">
        <w:rPr>
          <w:rFonts w:ascii="Cambria Math" w:hAnsi="Cambria Math" w:cs="Cambria Math"/>
          <w:sz w:val="18"/>
          <w:szCs w:val="18"/>
          <w:lang w:eastAsia="en-US"/>
        </w:rPr>
        <w:instrText>∼</w:instrText>
      </w:r>
      <w:r w:rsidR="0065012F">
        <w:rPr>
          <w:rFonts w:ascii="Times" w:hAnsi="Times"/>
          <w:sz w:val="18"/>
          <w:szCs w:val="18"/>
          <w:lang w:eastAsia="en-US"/>
        </w:rPr>
        <w:instrText xml:space="preserve"> 0) and Laurentian (εNd </w:instrText>
      </w:r>
      <w:r w:rsidR="0065012F">
        <w:rPr>
          <w:rFonts w:ascii="Cambria Math" w:hAnsi="Cambria Math" w:cs="Cambria Math"/>
          <w:sz w:val="18"/>
          <w:szCs w:val="18"/>
          <w:lang w:eastAsia="en-US"/>
        </w:rPr>
        <w:instrText>∼</w:instrText>
      </w:r>
      <w:r w:rsidR="0065012F">
        <w:rPr>
          <w:rFonts w:ascii="Times" w:hAnsi="Times"/>
          <w:sz w:val="18"/>
          <w:szCs w:val="18"/>
          <w:lang w:eastAsia="en-US"/>
        </w:rPr>
        <w:instrText xml:space="preserve"> −27) sources. We find that Nd was released into pore waters from reactive detritus inside some detrital layers during early diagenesis, thereby overprinting any archived bottom water Nd signature and precluding the reconstruction of past water mass provenance during the affected time intervals. However, we do not observe any definite indication of diffusive vertical migration of Nd into adjacent layers. Furthermore, bottom water Nd isotope signatures were not modified to a measurable degree by any potential benthic flux of Nd during the deposition of these detrital sediment layers. Consequently, the Nd isotope composition of the pelagic glacial Northeast Atlantic water masses were resilient to such episodic large detrital fluxes. Apart from extreme local sedimentation events, we confirm the presence of detritally overprinted deep waters north of 47°N during the peak glacial from comparison of Northeast Atlantic depth transects. We furthermore suggest that the sensitivity of deep waters to this overprinting effect increased during periods of reduced Atlantic Meridional Overturning Circulation and elevated ice rafting. Overall, our study demonstrates that a thorough evaluation of the proportion of Nd originating from physical water mass advection versus in situ chemical inputs is crucial for the reliable application of Nd isotopes as a water mass tracer.","author":[{"dropping-particle":"","family":"Blaser","given":"Patrick","non-dropping-particle":"","parse-names":false,"suffix":""},{"dropping-particle":"","family":"Pöppelmeier","given":"F.","non-dropping-particle":"","parse-names":false,"suffix":""},{"dropping-particle":"","family":"Schulz","given":"H.","non-dropping-particle":"","parse-names":false,"suffix":""},{"dropping-particle":"","family":"Gutjahr","given":"M.","non-dropping-particle":"","parse-names":false,"suffix":""},{"dropping-particle":"","family":"Frank","given":"M.","non-dropping-particle":"","parse-names":false,"suffix":""},{"dropping-particle":"","family":"Lippold","given":"J.","non-dropping-particle":"","parse-names":false,"suffix":""},{"dropping-particle":"","family":"Heinrich","given":"H.","non-dropping-particle":"","parse-names":false,"suffix":""},{"dropping-particle":"","family":"Link","given":"J. M.","non-dropping-particle":"","parse-names":false,"suffix":""},{"dropping-particle":"","family":"Hoffmann","given":"J.","non-dropping-particle":"","parse-names":false,"suffix":""},{"dropping-particle":"","family":"Szidat","given":"S.","non-dropping-particle":"","parse-names":false,"suffix":""},{"dropping-particle":"","family":"Frank","given":"N.","non-dropping-particle":"","parse-names":false,"suffix":""}],"container-title":"Geochimica et Cosmochimica Acta","id":"ITEM-1","issued":{"date-parts":[["2019"]]},"note":"Looking for evidence of a Benthic flux, does not observe any definite indication of diffusive vertical migration of Nd into adjacent layers. Futhermore, bottom water Nd isotope signatures were not modified to a mesurable degree by any potential benthic flux of Nd during the deposition of these detrital sediment layers. \n\n** This paper goes agaisn Abbot et al 2015b *****\nThus, the REEs remained essentially immobile in the sediment column. Exchange between authigenic and detriatal sediment phases was strictly limited to the distinct detrial laters only. This obeservation contrasts with the sitution in NE Pacific sediments, where REEs today appear to be much more mobile in pore waters and are likely released from deep sea sediment into bottom waters","page":"79-97","title":"The resilience and sensitivity of Northeast Atlantic deep water εNd to overprinting by detrital fluxes over the past 30,000 years","type":"article-journal","volume":"245"},"uris":["http://www.mendeley.com/documents/?uuid=b0ba8f19-909e-4de7-84b7-6444359991b1"]},{"id":"ITEM-2","itemData":{"DOI":"10.1016/j.epsl.2020.116299","ISSN":"0012821X","abstract":"Deep waters of the Labrador Sea (LS) are important contributors to the Atlantic Meridional Overturning Circulation, but their water mass structure has been highly variable and sensitive to climatic changes on different time scales. The LS is also an area of intense exchange of rare earth elements (REE) between seawater and the underlying sediments, which complicates the reconstruction of past deep water provenance based on radiogenic neodymium (Nd) isotopes. Most notably, Northwest Atlantic Bottom Water exchanges Nd with Archaean age Laurentian detritus, resulting in a significant shift to less radiogenic Nd isotope signatures before it enters the North Atlantic to form the deep part of North Atlantic Deep Water. Here we show that the authigenic fractions of LS core top sediments carry Nd isotope signatures intermediate between bottom water and detritus and thus reflect pore waters that incorporate a mixture of both signatures. We furthermore find that detrital imprints on pore waters led to shifts of REE patterns in the authigenic fraction towards detrital signatures in the past during times of enhanced supply of glacially eroded material from Hudson Bay to the LS, as recorded by radiogenic lead isotopes. This allows an estimation of the intensity of past benthic REE exchange inside the LS. We exploit variations in the mid REE enrichment in the authigenic phase to propose a correction to one LS Nd isotope record for detrital imprints originating from pore water exchange. The corrected </w:instrText>
      </w:r>
      <w:r w:rsidR="0065012F">
        <w:rPr>
          <w:rFonts w:ascii="Cambria" w:hAnsi="Cambria" w:cs="Cambria"/>
          <w:sz w:val="18"/>
          <w:szCs w:val="18"/>
          <w:lang w:eastAsia="en-US"/>
        </w:rPr>
        <w:instrText>ϵ</w:instrText>
      </w:r>
      <w:r w:rsidR="0065012F">
        <w:rPr>
          <w:rFonts w:ascii="Times" w:hAnsi="Times"/>
          <w:sz w:val="18"/>
          <w:szCs w:val="18"/>
          <w:lang w:eastAsia="en-US"/>
        </w:rPr>
        <w:instrText xml:space="preserve">Nd signatures are argued to more accurately reflect those of past bottom waters. This correction results in past LS bottom water signatures of −16 ± 1 during MIS 2 and 3, considerably less radiogenic than today. This implies that no southern sourced waters advanced into the LS during the last 35 ka and instead supports continuous bottom water sourcing from the Nordic Seas. It thus seems likely that LS bottom waters supplied unradiogenic Nd to abyssal Glacial North Atlantic Bottom Water in the Northwest Atlantic, as was previously hypothesized.","author":[{"dropping-particle":"","family":"Blaser","given":"Patrick","non-dropping-particle":"","parse-names":false,"suffix":""},{"dropping-particle":"","family":"Gutjahr","given":"Marcus","non-dropping-particle":"","parse-names":false,"suffix":""},{"dropping-particle":"","family":"Pöppelmeier","given":"Frerk","non-dropping-particle":"","parse-names":false,"suffix":""},{"dropping-particle":"","family":"Frank","given":"Martin","non-dropping-particle":"","parse-names":false,"suffix":""},{"dropping-particle":"","family":"Kaboth-Bahr","given":"Stefanie","non-dropping-particle":"","parse-names":false,"suffix":""},{"dropping-particle":"","family":"Lippold","given":"Jörg","non-dropping-particle":"","parse-names":false,"suffix":""}],"container-title":"Earth and Planetary Science Letters","id":"ITEM-2","issued":{"date-parts":[["2020"]]},"page":"116299","publisher":"Elsevier B.V.","title":"Labrador Sea bottom water provenance and REE exchange during the past 35,000 years","type":"article-journal","volume":"542"},"uris":["http://www.mendeley.com/documents/?uuid=e10304b0-98c8-4d1b-af1c-b01ee867a2db"]},{"id":"ITEM-3","itemData":{"DOI":"10.1029/2005GC000956","ISBN":"1525-2027","ISSN":"15252027","abstract":"The North Atlantic Deep Water (NADW) neodymium isotopic composition (Nd IC) is increasingly used in oceanography and paleoceanography to trace large-scale circulation and weathering processes, notably to investigate past variations of the global thermohaline circulation. Although the present-day NADW Nd IC is well characterized at </w:instrText>
      </w:r>
      <w:r w:rsidR="0065012F">
        <w:rPr>
          <w:sz w:val="18"/>
          <w:szCs w:val="18"/>
          <w:lang w:eastAsia="en-US"/>
        </w:rPr>
        <w:instrText>ɛ</w:instrText>
      </w:r>
      <w:r w:rsidR="0065012F">
        <w:rPr>
          <w:rFonts w:ascii="Times" w:hAnsi="Times"/>
          <w:sz w:val="18"/>
          <w:szCs w:val="18"/>
          <w:lang w:eastAsia="en-US"/>
        </w:rPr>
        <w:instrText xml:space="preserve">Nd = −13.5, the acquisition of this isotopic signature (in other words, the causes of this value) has so far been very sparsely documented. Such an understanding is, however, fundamental to the interpretation of paleo records. Nd IC and rare earth element concentrations were measured at 9 stations within the North Atlantic Subpolar Gyre (SIGNATURE cruise, summer 1999). The comparison of this data set with our understanding of water mass circulation provides a description of how the three layers constituting the NADW, the Labrador Sea Water (LSW, </w:instrText>
      </w:r>
      <w:r w:rsidR="0065012F">
        <w:rPr>
          <w:sz w:val="18"/>
          <w:szCs w:val="18"/>
          <w:lang w:eastAsia="en-US"/>
        </w:rPr>
        <w:instrText>ɛ</w:instrText>
      </w:r>
      <w:r w:rsidR="0065012F">
        <w:rPr>
          <w:rFonts w:ascii="Times" w:hAnsi="Times"/>
          <w:sz w:val="18"/>
          <w:szCs w:val="18"/>
          <w:lang w:eastAsia="en-US"/>
        </w:rPr>
        <w:instrText xml:space="preserve">Nd = −13.9 ± 0.4), North East Atlantic Deep Water (NEADW, </w:instrText>
      </w:r>
      <w:r w:rsidR="0065012F">
        <w:rPr>
          <w:sz w:val="18"/>
          <w:szCs w:val="18"/>
          <w:lang w:eastAsia="en-US"/>
        </w:rPr>
        <w:instrText>ɛ</w:instrText>
      </w:r>
      <w:r w:rsidR="0065012F">
        <w:rPr>
          <w:rFonts w:ascii="Times" w:hAnsi="Times"/>
          <w:sz w:val="18"/>
          <w:szCs w:val="18"/>
          <w:lang w:eastAsia="en-US"/>
        </w:rPr>
        <w:instrText xml:space="preserve">Nd −13.2 ± 0.4), and North West Atlantic Bottom Water (NWABW, </w:instrText>
      </w:r>
      <w:r w:rsidR="0065012F">
        <w:rPr>
          <w:sz w:val="18"/>
          <w:szCs w:val="18"/>
          <w:lang w:eastAsia="en-US"/>
        </w:rPr>
        <w:instrText>ɛ</w:instrText>
      </w:r>
      <w:r w:rsidR="0065012F">
        <w:rPr>
          <w:rFonts w:ascii="Times" w:hAnsi="Times"/>
          <w:sz w:val="18"/>
          <w:szCs w:val="18"/>
          <w:lang w:eastAsia="en-US"/>
        </w:rPr>
        <w:instrText>Nd −14.5 ± 0.4), acquire their Nd IC through distinct water mass mixings and lithogenic inputs. These different mechanisms, acting upon water masses from very diverse sources, seem to bring the Nd IC of the three NADW layers to values close together and similar to that of the NADW. It is suggested that sediment/seawater interactions significantly lower the NEADW and NWABW Nd IC along the South East Greenland margin. Since these interactions do not significantly modify the Nd content of these water masses, sediment remobilizations leading to the Nd IC variations are probably associated with Nd removal fluxes from the water mass toward the sediment, a process called boundary exchange. On the other hand, LSW seems to acquire its Nd IC from the Subpolar Mode Waters from which it is formed by deep convection, and no other mechanism needs to be invoked. Its unradiogenic signature could ultimately be linked to fresh water runoff from the Canadian Shield. These conclusions should allow more precise interpretations of paleoceanographic Nd IC records, taking into account the distinct histories of the three NADW layers, including distinct water mass mixings and distinct lithogenic inputs.","author":[{"dropping-particle":"","family":"Lacan","given":"Francois","non-dropping-particle":"","parse-names":false,"suffix":""},{"dropping-particle":"","family":"Jeandel","given":"C","non-dropping-particle":"","parse-names":false,"suffix":""}],"container-title":"Geochemistry, Geophysics, Geosystems","id":"ITEM-3","issue":"12","issued":{"date-parts":[["2005","12","1"]]},"publisher":"John Wiley &amp; Sons, Ltd","title":"Acquisition of the neodymium isotopic composition of the North Atlantic Deep Water","type":"article-journal","volume":"6"},"uris":["http://www.mendeley.com/documents/?uuid=68c859f0-ce53-32ba-b82e-f18a29fa8db8"]}],"mendeley":{"formattedCitation":"(Blaser et al., 2019, 2020; Lacan and Jeandel, 2005a)","plainTextFormattedCitation":"(Blaser et al., 2019, 2020; Lacan and Jeandel, 2005a)","previouslyFormattedCitation":"(Blaser et al., 2019, 2020; Lacan and Jeandel, 2005a)"},"properties":{"noteIndex":0},"schema":"https://github.com/citation-style-language/schema/raw/master/csl-citation.json"}</w:instrText>
      </w:r>
      <w:r w:rsidRPr="00EC507D">
        <w:rPr>
          <w:rFonts w:ascii="Times" w:hAnsi="Times"/>
          <w:sz w:val="18"/>
          <w:szCs w:val="18"/>
          <w:lang w:eastAsia="en-US"/>
        </w:rPr>
        <w:fldChar w:fldCharType="separate"/>
      </w:r>
      <w:r w:rsidR="00734358" w:rsidRPr="00734358">
        <w:rPr>
          <w:rFonts w:ascii="Times" w:hAnsi="Times"/>
          <w:noProof/>
          <w:sz w:val="18"/>
          <w:szCs w:val="18"/>
          <w:lang w:eastAsia="en-US"/>
        </w:rPr>
        <w:t>(Blaser et al., 2019, 2020; Lacan and Jeandel, 2005a)</w:t>
      </w:r>
      <w:r w:rsidRPr="00EC507D">
        <w:rPr>
          <w:rFonts w:ascii="Times" w:hAnsi="Times"/>
          <w:sz w:val="18"/>
          <w:szCs w:val="18"/>
          <w:lang w:eastAsia="en-US"/>
        </w:rPr>
        <w:fldChar w:fldCharType="end"/>
      </w:r>
      <w:r w:rsidRPr="00EC507D">
        <w:rPr>
          <w:rFonts w:ascii="Times" w:hAnsi="Times"/>
          <w:sz w:val="18"/>
          <w:szCs w:val="18"/>
          <w:lang w:eastAsia="en-US"/>
        </w:rPr>
        <w:t>.</w:t>
      </w:r>
      <w:r w:rsidR="00445307" w:rsidRPr="00EC507D">
        <w:rPr>
          <w:rFonts w:ascii="Times" w:hAnsi="Times"/>
          <w:sz w:val="18"/>
          <w:szCs w:val="18"/>
          <w:lang w:eastAsia="en-US"/>
        </w:rPr>
        <w:t xml:space="preserve"> As such</w:t>
      </w:r>
      <w:r w:rsidR="00786BF4">
        <w:rPr>
          <w:rFonts w:ascii="Times" w:hAnsi="Times"/>
          <w:sz w:val="18"/>
          <w:szCs w:val="18"/>
          <w:lang w:eastAsia="en-US"/>
        </w:rPr>
        <w:t>,</w:t>
      </w:r>
      <w:r w:rsidR="00445307" w:rsidRPr="00EC507D">
        <w:rPr>
          <w:rFonts w:ascii="Times" w:hAnsi="Times"/>
          <w:sz w:val="18"/>
          <w:szCs w:val="18"/>
          <w:lang w:eastAsia="en-US"/>
        </w:rPr>
        <w:t xml:space="preserve"> the</w:t>
      </w:r>
      <w:r w:rsidR="001404D9" w:rsidRPr="00EC507D">
        <w:rPr>
          <w:rFonts w:ascii="Times" w:hAnsi="Times"/>
          <w:sz w:val="18"/>
          <w:szCs w:val="18"/>
          <w:lang w:eastAsia="en-US"/>
        </w:rPr>
        <w:t xml:space="preserve"> </w:t>
      </w:r>
      <w:r w:rsidR="001404D9" w:rsidRPr="00EC507D">
        <w:rPr>
          <w:rFonts w:ascii="Times" w:hAnsi="Times"/>
          <w:sz w:val="18"/>
          <w:szCs w:val="18"/>
        </w:rPr>
        <w:t>ε</w:t>
      </w:r>
      <w:r w:rsidR="001404D9" w:rsidRPr="00EC507D">
        <w:rPr>
          <w:rFonts w:ascii="Times" w:hAnsi="Times"/>
          <w:sz w:val="18"/>
          <w:szCs w:val="18"/>
          <w:vertAlign w:val="subscript"/>
        </w:rPr>
        <w:t>Nd</w:t>
      </w:r>
      <w:r w:rsidR="00445307" w:rsidRPr="00EC507D">
        <w:rPr>
          <w:rFonts w:ascii="Times" w:hAnsi="Times"/>
          <w:sz w:val="18"/>
          <w:szCs w:val="18"/>
          <w:lang w:eastAsia="en-US"/>
        </w:rPr>
        <w:t xml:space="preserve"> threshold value </w:t>
      </w:r>
      <w:r w:rsidR="001404D9" w:rsidRPr="00EC507D">
        <w:rPr>
          <w:rFonts w:ascii="Times" w:hAnsi="Times"/>
          <w:sz w:val="18"/>
          <w:szCs w:val="18"/>
          <w:lang w:eastAsia="en-US"/>
        </w:rPr>
        <w:t xml:space="preserve">for the </w:t>
      </w:r>
      <w:r w:rsidR="00BC6FC8" w:rsidRPr="00EC507D">
        <w:rPr>
          <w:rFonts w:ascii="Times" w:hAnsi="Times"/>
          <w:sz w:val="18"/>
          <w:szCs w:val="18"/>
          <w:lang w:eastAsia="en-US"/>
        </w:rPr>
        <w:t>‘</w:t>
      </w:r>
      <w:r w:rsidR="001404D9" w:rsidRPr="00EC507D">
        <w:rPr>
          <w:rFonts w:ascii="Times" w:hAnsi="Times"/>
          <w:sz w:val="18"/>
          <w:szCs w:val="18"/>
          <w:lang w:eastAsia="en-US"/>
        </w:rPr>
        <w:t>North-west North Atlantic</w:t>
      </w:r>
      <w:r w:rsidR="00BC6FC8" w:rsidRPr="00EC507D">
        <w:rPr>
          <w:rFonts w:ascii="Times" w:hAnsi="Times"/>
          <w:sz w:val="18"/>
          <w:szCs w:val="18"/>
          <w:lang w:eastAsia="en-US"/>
        </w:rPr>
        <w:t>’ region</w:t>
      </w:r>
      <w:r w:rsidR="001404D9" w:rsidRPr="00EC507D">
        <w:rPr>
          <w:rFonts w:ascii="Times" w:hAnsi="Times"/>
          <w:sz w:val="18"/>
          <w:szCs w:val="18"/>
          <w:lang w:eastAsia="en-US"/>
        </w:rPr>
        <w:t xml:space="preserve"> </w:t>
      </w:r>
      <w:r w:rsidR="00445307" w:rsidRPr="00EC507D">
        <w:rPr>
          <w:rFonts w:ascii="Times" w:hAnsi="Times"/>
          <w:sz w:val="18"/>
          <w:szCs w:val="18"/>
          <w:lang w:eastAsia="en-US"/>
        </w:rPr>
        <w:t xml:space="preserve">in </w:t>
      </w:r>
      <w:r w:rsidR="00445307" w:rsidRPr="00EC507D">
        <w:rPr>
          <w:rFonts w:ascii="Times" w:hAnsi="Times"/>
          <w:i/>
          <w:iCs/>
          <w:sz w:val="18"/>
          <w:szCs w:val="18"/>
          <w:lang w:eastAsia="en-US"/>
        </w:rPr>
        <w:t>REF-SED2</w:t>
      </w:r>
      <w:r w:rsidR="001404D9" w:rsidRPr="00EC507D">
        <w:rPr>
          <w:rFonts w:ascii="Times" w:hAnsi="Times"/>
          <w:sz w:val="18"/>
          <w:szCs w:val="18"/>
          <w:lang w:eastAsia="en-US"/>
        </w:rPr>
        <w:t xml:space="preserve"> is set to -28 to encompass this intense and unradiogenic exchange. The more extreme </w:t>
      </w:r>
      <w:r w:rsidR="001404D9" w:rsidRPr="00EC507D">
        <w:rPr>
          <w:rFonts w:ascii="Times" w:hAnsi="Times"/>
          <w:sz w:val="18"/>
          <w:szCs w:val="18"/>
        </w:rPr>
        <w:t>ε</w:t>
      </w:r>
      <w:r w:rsidR="001404D9" w:rsidRPr="00EC507D">
        <w:rPr>
          <w:rFonts w:ascii="Times" w:hAnsi="Times"/>
          <w:sz w:val="18"/>
          <w:szCs w:val="18"/>
          <w:vertAlign w:val="subscript"/>
        </w:rPr>
        <w:t>Nd</w:t>
      </w:r>
      <w:r w:rsidR="001404D9" w:rsidRPr="00EC507D">
        <w:rPr>
          <w:rFonts w:ascii="Times" w:hAnsi="Times"/>
          <w:sz w:val="18"/>
          <w:szCs w:val="18"/>
          <w:lang w:eastAsia="en-US"/>
        </w:rPr>
        <w:t xml:space="preserve"> threshold </w:t>
      </w:r>
      <w:r w:rsidR="00E05E66" w:rsidRPr="00EC507D">
        <w:rPr>
          <w:rFonts w:ascii="Times" w:hAnsi="Times"/>
          <w:sz w:val="18"/>
          <w:szCs w:val="18"/>
          <w:lang w:eastAsia="en-US"/>
        </w:rPr>
        <w:t xml:space="preserve">applied </w:t>
      </w:r>
      <w:r w:rsidR="001404D9" w:rsidRPr="00EC507D">
        <w:rPr>
          <w:rFonts w:ascii="Times" w:hAnsi="Times"/>
          <w:sz w:val="18"/>
          <w:szCs w:val="18"/>
          <w:lang w:eastAsia="en-US"/>
        </w:rPr>
        <w:t xml:space="preserve">in </w:t>
      </w:r>
      <w:r w:rsidR="001404D9" w:rsidRPr="00EC507D">
        <w:rPr>
          <w:rFonts w:ascii="Times" w:hAnsi="Times"/>
          <w:i/>
          <w:iCs/>
          <w:sz w:val="18"/>
          <w:szCs w:val="18"/>
          <w:lang w:eastAsia="en-US"/>
        </w:rPr>
        <w:t>REF-SED3</w:t>
      </w:r>
      <w:r w:rsidR="001404D9" w:rsidRPr="00EC507D">
        <w:rPr>
          <w:rFonts w:ascii="Times" w:hAnsi="Times"/>
          <w:sz w:val="18"/>
          <w:szCs w:val="18"/>
          <w:lang w:eastAsia="en-US"/>
        </w:rPr>
        <w:t xml:space="preserve"> of -34 represents a dominant exchange signal from the most unradiogenic detrital sediment phases in the North-west North Atlantic </w:t>
      </w:r>
      <w:r w:rsidR="00E05E66" w:rsidRPr="00EC507D">
        <w:rPr>
          <w:rFonts w:ascii="Times" w:hAnsi="Times"/>
          <w:sz w:val="18"/>
          <w:szCs w:val="18"/>
          <w:lang w:eastAsia="en-US"/>
        </w:rPr>
        <w:t xml:space="preserve">region, which occur in detrital measurements from Early Archean rock </w:t>
      </w:r>
      <w:r w:rsidR="00EC507D" w:rsidRPr="00EC507D">
        <w:rPr>
          <w:rFonts w:ascii="Times" w:hAnsi="Times"/>
          <w:sz w:val="18"/>
          <w:szCs w:val="18"/>
          <w:lang w:eastAsia="en-US"/>
        </w:rPr>
        <w:t xml:space="preserve">around </w:t>
      </w:r>
      <w:r w:rsidR="00E05E66" w:rsidRPr="00EC507D">
        <w:rPr>
          <w:rFonts w:ascii="Times" w:hAnsi="Times"/>
          <w:sz w:val="18"/>
          <w:szCs w:val="18"/>
          <w:lang w:eastAsia="en-US"/>
        </w:rPr>
        <w:t xml:space="preserve">southwest Greenland </w:t>
      </w:r>
      <w:r w:rsidR="00E05E66" w:rsidRPr="00EC507D">
        <w:rPr>
          <w:rFonts w:ascii="Times" w:hAnsi="Times"/>
          <w:sz w:val="18"/>
          <w:szCs w:val="18"/>
          <w:lang w:eastAsia="en-US"/>
        </w:rPr>
        <w:fldChar w:fldCharType="begin" w:fldLock="1"/>
      </w:r>
      <w:r w:rsidR="00A164F0" w:rsidRPr="00EC507D">
        <w:rPr>
          <w:rFonts w:ascii="Times" w:hAnsi="Times"/>
          <w:sz w:val="18"/>
          <w:szCs w:val="18"/>
          <w:lang w:eastAsia="en-US"/>
        </w:rPr>
        <w:instrText>ADDIN CSL_CITATION {"citationItems":[{"id":"ITEM-1","itemData":{"DOI":"10.1016/j.chemgeo.2021.120119","ISSN":"00092541","abstract":"Understanding the role of sediment-water interactions in the oceanic cycling of neodymium (Nd) isotopes is essential for its reliable use as a modern and palaeoceanographic tracer of ocean circulation. However, the exact processes that control Nd cycling in the ocean are poorly defined and require an up-to-date knowledge of the sources, sinks and transformation of this tracer to and within the ocean (e.g. as per the GEOTRACES core mission). We propose a considerable improvement of Nd-source identification by providing an extensive and up-to-date compilation of published terrestrial and marine sedimentary Nd isotopic measurements. From this database, we construct high resolution, gridded, global maps that characterise the Nd-isotopic signature of the continental margins and seafloor sediment. Here, we present the database, interpolation methods, and final data products. Consistent with the previous studies that inform our compilation, our global results show unradiogenic detrital Nd isotopic values (εNd ≈ -20) in the North Atlantic, εNd values of ≈ -12 to -7 in the Indian and Southern Ocean, and radiogenic values (εNd ≈ -3 to +4) in the Pacific. The new, high-resolution interpolation is useful for improving conceptual knowledge of Nd sources and sinks and enables the application of isotope-enabled ocean models to understand targeted Nd behaviour in the oceans. Such applications may include: examining the strength and distribution of a possible benthic flux required to reconcile global Nd budgets, establishing the potential use of Nd isotopes as a kinematic tracer of ocean circulation, and a general quantification of the non-conservative sedimentary processes that may contribute to marine Nd cycling.","author":[{"dropping-particle":"","family":"Robinson","given":"Suzanne","non-dropping-particle":"","parse-names":false,"suffix":""},{"dropping-particle":"","family":"Ivanovic","given":"Ruza","non-dropping-particle":"","parse-names":false,"suffix":""},{"dropping-particle":"","family":"Flierdt","given":"Tina","non-dropping-particle":"van de","parse-names":false,"suffix":""},{"dropping-particle":"","family":"Blanchet","given":"Cécile L.","non-dropping-particle":"","parse-names":false,"suffix":""},{"dropping-particle":"","family":"Tachikawa","given":"Kazuyo","non-dropping-particle":"","parse-names":false,"suffix":""},{"dropping-particle":"","family":"Martin","given":"Ellen E.","non-dropping-particle":"","parse-names":false,"suffix":""},{"dropping-particle":"","family":"Cook","given":"Carys P.","non-dropping-particle":"","parse-names":false,"suffix":""},{"dropping-particle":"","family":"Williams","given":"Trevor","non-dropping-particle":"","parse-names":false,"suffix":""},{"dropping-particle":"","family":"Gregoire","given":"Lauren","non-dropping-particle":"","parse-names":false,"suffix":""},{"dropping-particle":"","family":"Plancherel","given":"Yves","non-dropping-particle":"","parse-names":false,"suffix":""},{"dropping-particle":"","family":"Jeandel","given":"Catherine","non-dropping-particle":"","parse-names":false,"suffix":""},{"dropping-particle":"","family":"Arsouze","given":"Thomas","non-dropping-particle":"","parse-names":false,"suffix":""}],"container-title":"Chemical Geology","id":"ITEM-1","issued":{"date-parts":[["2021","4","20"]]},"page":"120119","publisher":"Elsevier","title":"Global continental and marine detrital εNd: An updated compilation for use in understanding marine Nd cycling","type":"article-journal","volume":"567"},"uris":["http://www.mendeley.com/documents/?uuid=3b19c854-6586-3606-be07-fd8e457c5320"]}],"mendeley":{"formattedCitation":"(Robinson et al., 2021)","plainTextFormattedCitation":"(Robinson et al., 2021)","previouslyFormattedCitation":"(Robinson et al., 2021)"},"properties":{"noteIndex":0},"schema":"https://github.com/citation-style-language/schema/raw/master/csl-citation.json"}</w:instrText>
      </w:r>
      <w:r w:rsidR="00E05E66" w:rsidRPr="00EC507D">
        <w:rPr>
          <w:rFonts w:ascii="Times" w:hAnsi="Times"/>
          <w:sz w:val="18"/>
          <w:szCs w:val="18"/>
          <w:lang w:eastAsia="en-US"/>
        </w:rPr>
        <w:fldChar w:fldCharType="separate"/>
      </w:r>
      <w:r w:rsidR="00E05E66" w:rsidRPr="00EC507D">
        <w:rPr>
          <w:rFonts w:ascii="Times" w:hAnsi="Times"/>
          <w:noProof/>
          <w:sz w:val="18"/>
          <w:szCs w:val="18"/>
          <w:lang w:eastAsia="en-US"/>
        </w:rPr>
        <w:t>(Robinson et al., 2021)</w:t>
      </w:r>
      <w:r w:rsidR="00E05E66" w:rsidRPr="00EC507D">
        <w:rPr>
          <w:rFonts w:ascii="Times" w:hAnsi="Times"/>
          <w:sz w:val="18"/>
          <w:szCs w:val="18"/>
          <w:lang w:eastAsia="en-US"/>
        </w:rPr>
        <w:fldChar w:fldCharType="end"/>
      </w:r>
      <w:r w:rsidR="00E05E66" w:rsidRPr="00EC507D">
        <w:rPr>
          <w:rFonts w:ascii="Times" w:hAnsi="Times"/>
          <w:sz w:val="18"/>
          <w:szCs w:val="18"/>
          <w:lang w:eastAsia="en-US"/>
        </w:rPr>
        <w:t xml:space="preserve">. </w:t>
      </w:r>
    </w:p>
    <w:p w14:paraId="5A10DAF5" w14:textId="53ACBCB3" w:rsidR="007E07E8" w:rsidRDefault="007E07E8" w:rsidP="005C6A18">
      <w:pPr>
        <w:rPr>
          <w:rFonts w:ascii="Times" w:hAnsi="Times"/>
          <w:lang w:eastAsia="en-US"/>
        </w:rPr>
      </w:pPr>
    </w:p>
    <w:p w14:paraId="5BA088E8" w14:textId="77777777" w:rsidR="005C6A18" w:rsidRDefault="005C6A18" w:rsidP="005C6A18">
      <w:pPr>
        <w:rPr>
          <w:rFonts w:ascii="Times" w:hAnsi="Times"/>
          <w:lang w:eastAsia="en-US"/>
        </w:rPr>
      </w:pPr>
    </w:p>
    <w:p w14:paraId="7ADA1E35" w14:textId="547BB8A7" w:rsidR="005C6A18" w:rsidRDefault="00E66196" w:rsidP="005C6A18">
      <w:pPr>
        <w:rPr>
          <w:rFonts w:ascii="Times" w:hAnsi="Times"/>
          <w:lang w:eastAsia="en-US"/>
        </w:rPr>
      </w:pPr>
      <w:r>
        <w:rPr>
          <w:noProof/>
          <w:lang w:eastAsia="en-GB"/>
        </w:rPr>
        <w:lastRenderedPageBreak/>
        <w:drawing>
          <wp:anchor distT="0" distB="0" distL="114300" distR="114300" simplePos="0" relativeHeight="251658244" behindDoc="0" locked="0" layoutInCell="1" allowOverlap="1" wp14:anchorId="59C68049" wp14:editId="39440B53">
            <wp:simplePos x="0" y="0"/>
            <wp:positionH relativeFrom="margin">
              <wp:align>center</wp:align>
            </wp:positionH>
            <wp:positionV relativeFrom="paragraph">
              <wp:posOffset>0</wp:posOffset>
            </wp:positionV>
            <wp:extent cx="5153025" cy="6786245"/>
            <wp:effectExtent l="0" t="0" r="3175" b="0"/>
            <wp:wrapTopAndBottom/>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53025" cy="6786245"/>
                    </a:xfrm>
                    <a:prstGeom prst="rect">
                      <a:avLst/>
                    </a:prstGeom>
                  </pic:spPr>
                </pic:pic>
              </a:graphicData>
            </a:graphic>
            <wp14:sizeRelH relativeFrom="page">
              <wp14:pctWidth>0</wp14:pctWidth>
            </wp14:sizeRelH>
            <wp14:sizeRelV relativeFrom="page">
              <wp14:pctHeight>0</wp14:pctHeight>
            </wp14:sizeRelV>
          </wp:anchor>
        </w:drawing>
      </w:r>
    </w:p>
    <w:p w14:paraId="17A3A1AC" w14:textId="60F927E9" w:rsidR="00EC6DB4" w:rsidRPr="00FF581F" w:rsidRDefault="00E66196" w:rsidP="00E66196">
      <w:pPr>
        <w:pStyle w:val="Caption"/>
        <w:rPr>
          <w:rFonts w:ascii="Times" w:hAnsi="Times"/>
          <w:lang w:eastAsia="en-US"/>
        </w:rPr>
      </w:pPr>
      <w:r>
        <w:t xml:space="preserve">Figure S3: </w:t>
      </w:r>
      <w:r w:rsidR="00FF581F">
        <w:t xml:space="preserve">Gridded global </w:t>
      </w:r>
      <w:r w:rsidR="00A344BC">
        <w:t xml:space="preserve">seafloor </w:t>
      </w:r>
      <w:r w:rsidR="00FF581F">
        <w:t xml:space="preserve">sediment </w:t>
      </w:r>
      <w:r w:rsidR="00FF581F" w:rsidRPr="004625EA">
        <w:rPr>
          <w:rFonts w:ascii="Times" w:hAnsi="Times"/>
        </w:rPr>
        <w:t>ε</w:t>
      </w:r>
      <w:r w:rsidR="00FF581F" w:rsidRPr="004625EA">
        <w:rPr>
          <w:rFonts w:ascii="Times" w:hAnsi="Times"/>
          <w:vertAlign w:val="subscript"/>
        </w:rPr>
        <w:t>Nd</w:t>
      </w:r>
      <w:r w:rsidR="00FF581F">
        <w:rPr>
          <w:rFonts w:ascii="Times" w:hAnsi="Times"/>
        </w:rPr>
        <w:t xml:space="preserve"> used in </w:t>
      </w:r>
      <w:r w:rsidR="00553AA4">
        <w:rPr>
          <w:rFonts w:ascii="Times" w:hAnsi="Times"/>
        </w:rPr>
        <w:t>the sensitivity tests of the sediment-ocean boundary condition</w:t>
      </w:r>
      <w:r w:rsidR="00A122C5">
        <w:rPr>
          <w:rFonts w:ascii="Times" w:hAnsi="Times"/>
        </w:rPr>
        <w:t>,</w:t>
      </w:r>
      <w:r w:rsidR="00FF581F">
        <w:rPr>
          <w:rFonts w:ascii="Times" w:hAnsi="Times"/>
        </w:rPr>
        <w:t xml:space="preserve"> </w:t>
      </w:r>
      <w:r w:rsidR="00553AA4">
        <w:rPr>
          <w:rFonts w:ascii="Times" w:hAnsi="Times"/>
        </w:rPr>
        <w:t>including</w:t>
      </w:r>
      <w:r w:rsidR="00A344BC">
        <w:rPr>
          <w:rFonts w:ascii="Times" w:hAnsi="Times"/>
        </w:rPr>
        <w:t xml:space="preserve"> </w:t>
      </w:r>
      <w:r w:rsidR="00FF581F">
        <w:rPr>
          <w:rFonts w:ascii="Times" w:hAnsi="Times"/>
        </w:rPr>
        <w:t>(a</w:t>
      </w:r>
      <w:r w:rsidR="00A344BC">
        <w:rPr>
          <w:rFonts w:ascii="Times" w:hAnsi="Times"/>
        </w:rPr>
        <w:t>)</w:t>
      </w:r>
      <w:r w:rsidR="00FF581F">
        <w:rPr>
          <w:rFonts w:ascii="Times" w:hAnsi="Times"/>
        </w:rPr>
        <w:t xml:space="preserve"> </w:t>
      </w:r>
      <w:r w:rsidR="00FF581F" w:rsidRPr="007137BB">
        <w:rPr>
          <w:rFonts w:ascii="Times" w:hAnsi="Times"/>
          <w:i/>
          <w:iCs/>
        </w:rPr>
        <w:t>REF</w:t>
      </w:r>
      <w:r w:rsidR="00A344BC">
        <w:rPr>
          <w:rFonts w:ascii="Times" w:hAnsi="Times"/>
        </w:rPr>
        <w:t>,</w:t>
      </w:r>
      <w:r w:rsidR="00FF581F">
        <w:rPr>
          <w:rFonts w:ascii="Times" w:hAnsi="Times"/>
        </w:rPr>
        <w:t xml:space="preserve"> </w:t>
      </w:r>
      <w:r w:rsidR="00FF581F" w:rsidRPr="004625EA">
        <w:rPr>
          <w:rFonts w:ascii="Times" w:hAnsi="Times"/>
        </w:rPr>
        <w:t>the bulk sediment ε</w:t>
      </w:r>
      <w:r w:rsidR="00FF581F" w:rsidRPr="004625EA">
        <w:rPr>
          <w:rFonts w:ascii="Times" w:hAnsi="Times"/>
          <w:vertAlign w:val="subscript"/>
        </w:rPr>
        <w:t>Nd</w:t>
      </w:r>
      <w:r w:rsidR="00FF581F" w:rsidRPr="004625EA">
        <w:rPr>
          <w:rFonts w:ascii="Times" w:hAnsi="Times"/>
        </w:rPr>
        <w:t xml:space="preserve"> signal as presented in Figure 4; Robinson et al. (2021)</w:t>
      </w:r>
      <w:r w:rsidR="00A344BC">
        <w:rPr>
          <w:rFonts w:ascii="Times" w:hAnsi="Times"/>
        </w:rPr>
        <w:t>;</w:t>
      </w:r>
      <w:r w:rsidR="00FF581F" w:rsidRPr="004625EA">
        <w:rPr>
          <w:rFonts w:ascii="Times" w:hAnsi="Times"/>
        </w:rPr>
        <w:t xml:space="preserve"> and </w:t>
      </w:r>
      <w:r w:rsidR="00FF581F">
        <w:rPr>
          <w:rFonts w:ascii="Times" w:hAnsi="Times"/>
        </w:rPr>
        <w:t>(b</w:t>
      </w:r>
      <w:r w:rsidR="00A344BC">
        <w:rPr>
          <w:rFonts w:ascii="Times" w:hAnsi="Times"/>
        </w:rPr>
        <w:t>)</w:t>
      </w:r>
      <w:r w:rsidR="00FF581F">
        <w:rPr>
          <w:rFonts w:ascii="Times" w:hAnsi="Times"/>
        </w:rPr>
        <w:t xml:space="preserve"> </w:t>
      </w:r>
      <w:r w:rsidR="00FF581F" w:rsidRPr="007137BB">
        <w:rPr>
          <w:rFonts w:ascii="Times" w:hAnsi="Times"/>
          <w:i/>
          <w:iCs/>
        </w:rPr>
        <w:t>REF-SED2</w:t>
      </w:r>
      <w:r w:rsidR="00FF581F">
        <w:rPr>
          <w:rFonts w:ascii="Times" w:hAnsi="Times"/>
        </w:rPr>
        <w:t xml:space="preserve"> and </w:t>
      </w:r>
      <w:r w:rsidR="00A344BC">
        <w:rPr>
          <w:rFonts w:ascii="Times" w:hAnsi="Times"/>
        </w:rPr>
        <w:t>(</w:t>
      </w:r>
      <w:r w:rsidR="00FF581F">
        <w:rPr>
          <w:rFonts w:ascii="Times" w:hAnsi="Times"/>
        </w:rPr>
        <w:t>c</w:t>
      </w:r>
      <w:r w:rsidR="00A344BC">
        <w:rPr>
          <w:rFonts w:ascii="Times" w:hAnsi="Times"/>
        </w:rPr>
        <w:t>)</w:t>
      </w:r>
      <w:r w:rsidR="00FF581F">
        <w:rPr>
          <w:rFonts w:ascii="Times" w:hAnsi="Times"/>
        </w:rPr>
        <w:t xml:space="preserve"> </w:t>
      </w:r>
      <w:r w:rsidR="00FF581F" w:rsidRPr="007137BB">
        <w:rPr>
          <w:rFonts w:ascii="Times" w:hAnsi="Times"/>
          <w:i/>
          <w:iCs/>
        </w:rPr>
        <w:t>REF-SED3</w:t>
      </w:r>
      <w:r w:rsidR="00553AA4">
        <w:rPr>
          <w:rFonts w:ascii="Times" w:hAnsi="Times"/>
        </w:rPr>
        <w:t>,</w:t>
      </w:r>
      <w:r w:rsidR="00FF581F">
        <w:rPr>
          <w:rFonts w:ascii="Times" w:hAnsi="Times"/>
        </w:rPr>
        <w:t xml:space="preserve"> </w:t>
      </w:r>
      <w:r w:rsidR="00FF581F" w:rsidRPr="004625EA">
        <w:rPr>
          <w:rFonts w:ascii="Times" w:hAnsi="Times"/>
        </w:rPr>
        <w:t>t</w:t>
      </w:r>
      <w:r w:rsidR="00FF581F">
        <w:rPr>
          <w:rFonts w:ascii="Times" w:hAnsi="Times"/>
        </w:rPr>
        <w:t>wo</w:t>
      </w:r>
      <w:r w:rsidR="00FF581F" w:rsidRPr="004625EA">
        <w:rPr>
          <w:rFonts w:ascii="Times" w:hAnsi="Times"/>
        </w:rPr>
        <w:t xml:space="preserve"> modified sediment ε</w:t>
      </w:r>
      <w:r w:rsidR="00FF581F" w:rsidRPr="004625EA">
        <w:rPr>
          <w:rFonts w:ascii="Times" w:hAnsi="Times"/>
          <w:vertAlign w:val="subscript"/>
        </w:rPr>
        <w:t>Nd</w:t>
      </w:r>
      <w:r w:rsidR="00FF581F" w:rsidRPr="004625EA">
        <w:rPr>
          <w:rFonts w:ascii="Times" w:hAnsi="Times"/>
        </w:rPr>
        <w:t xml:space="preserve"> maps </w:t>
      </w:r>
      <w:r w:rsidR="00553AA4">
        <w:rPr>
          <w:rFonts w:ascii="Times" w:hAnsi="Times"/>
        </w:rPr>
        <w:t>of different extremity designed to</w:t>
      </w:r>
      <w:r w:rsidR="00FF581F" w:rsidRPr="004625EA">
        <w:rPr>
          <w:rFonts w:ascii="Times" w:hAnsi="Times"/>
        </w:rPr>
        <w:t xml:space="preserve"> test the hypothesis that certain reactive sedimentary phases dominate sediment-seawater interactions</w:t>
      </w:r>
      <w:r w:rsidR="00A122C5">
        <w:rPr>
          <w:rFonts w:ascii="Times" w:hAnsi="Times"/>
        </w:rPr>
        <w:t>. S</w:t>
      </w:r>
      <w:r w:rsidR="00FF581F">
        <w:rPr>
          <w:rFonts w:ascii="Times" w:hAnsi="Times"/>
        </w:rPr>
        <w:t xml:space="preserve">ee Sect. 4 of the main text for a full description of the </w:t>
      </w:r>
      <w:r w:rsidR="0008753C">
        <w:rPr>
          <w:rFonts w:ascii="Times" w:hAnsi="Times"/>
        </w:rPr>
        <w:t>experiment</w:t>
      </w:r>
      <w:r w:rsidR="00FF581F">
        <w:rPr>
          <w:rFonts w:ascii="Times" w:hAnsi="Times"/>
        </w:rPr>
        <w:t>, and Supplementary Table S</w:t>
      </w:r>
      <w:r w:rsidR="00D55A99">
        <w:rPr>
          <w:rFonts w:ascii="Times" w:hAnsi="Times"/>
        </w:rPr>
        <w:t>3</w:t>
      </w:r>
      <w:r w:rsidR="00FF581F">
        <w:rPr>
          <w:rFonts w:ascii="Times" w:hAnsi="Times"/>
        </w:rPr>
        <w:t xml:space="preserve"> and Text S1 for the specific definition and choice of the regional sediment </w:t>
      </w:r>
      <w:r w:rsidR="00FF581F" w:rsidRPr="004625EA">
        <w:rPr>
          <w:rFonts w:ascii="Times" w:hAnsi="Times"/>
        </w:rPr>
        <w:t>ε</w:t>
      </w:r>
      <w:r w:rsidR="00FF581F" w:rsidRPr="004625EA">
        <w:rPr>
          <w:rFonts w:ascii="Times" w:hAnsi="Times"/>
          <w:vertAlign w:val="subscript"/>
        </w:rPr>
        <w:t>Nd</w:t>
      </w:r>
      <w:r w:rsidR="00FF581F">
        <w:rPr>
          <w:rFonts w:ascii="Times" w:hAnsi="Times"/>
        </w:rPr>
        <w:t xml:space="preserve"> thresholds</w:t>
      </w:r>
      <w:r w:rsidR="00A122C5">
        <w:rPr>
          <w:rFonts w:ascii="Times" w:hAnsi="Times"/>
        </w:rPr>
        <w:t>.</w:t>
      </w:r>
    </w:p>
    <w:p w14:paraId="391A2E30" w14:textId="01C279D3" w:rsidR="00A122C5" w:rsidRPr="007D3669" w:rsidRDefault="005C1B7A" w:rsidP="005C6A18">
      <w:pPr>
        <w:pStyle w:val="Heading1"/>
        <w:rPr>
          <w:sz w:val="18"/>
          <w:szCs w:val="18"/>
        </w:rPr>
      </w:pPr>
      <w:r>
        <w:rPr>
          <w:noProof/>
          <w:lang w:eastAsia="en-GB"/>
        </w:rPr>
        <w:lastRenderedPageBreak/>
        <w:drawing>
          <wp:anchor distT="0" distB="0" distL="114300" distR="114300" simplePos="0" relativeHeight="251658241" behindDoc="0" locked="0" layoutInCell="1" allowOverlap="1" wp14:anchorId="040E453E" wp14:editId="22491195">
            <wp:simplePos x="0" y="0"/>
            <wp:positionH relativeFrom="margin">
              <wp:posOffset>-110490</wp:posOffset>
            </wp:positionH>
            <wp:positionV relativeFrom="paragraph">
              <wp:posOffset>3877310</wp:posOffset>
            </wp:positionV>
            <wp:extent cx="5939155" cy="2687955"/>
            <wp:effectExtent l="0" t="0" r="4445" b="4445"/>
            <wp:wrapTopAndBottom/>
            <wp:docPr id="3" name="Picture 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imeline&#10;&#10;Description automatically generated"/>
                    <pic:cNvPicPr/>
                  </pic:nvPicPr>
                  <pic:blipFill rotWithShape="1">
                    <a:blip r:embed="rId14" cstate="print">
                      <a:extLst>
                        <a:ext uri="{28A0092B-C50C-407E-A947-70E740481C1C}">
                          <a14:useLocalDpi xmlns:a14="http://schemas.microsoft.com/office/drawing/2010/main" val="0"/>
                        </a:ext>
                      </a:extLst>
                    </a:blip>
                    <a:srcRect b="35966"/>
                    <a:stretch/>
                  </pic:blipFill>
                  <pic:spPr bwMode="auto">
                    <a:xfrm>
                      <a:off x="0" y="0"/>
                      <a:ext cx="5939155" cy="2687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51FBE">
        <w:rPr>
          <w:noProof/>
          <w:sz w:val="18"/>
          <w:szCs w:val="18"/>
          <w:lang w:eastAsia="en-GB"/>
        </w:rPr>
        <w:drawing>
          <wp:anchor distT="0" distB="0" distL="114300" distR="114300" simplePos="0" relativeHeight="251659273" behindDoc="0" locked="0" layoutInCell="1" allowOverlap="1" wp14:anchorId="7ADC8CFA" wp14:editId="1CC841BC">
            <wp:simplePos x="0" y="0"/>
            <wp:positionH relativeFrom="column">
              <wp:posOffset>0</wp:posOffset>
            </wp:positionH>
            <wp:positionV relativeFrom="paragraph">
              <wp:posOffset>0</wp:posOffset>
            </wp:positionV>
            <wp:extent cx="5871210" cy="3132455"/>
            <wp:effectExtent l="0" t="0" r="0" b="4445"/>
            <wp:wrapTopAndBottom/>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rotWithShape="1">
                    <a:blip r:embed="rId15" cstate="print">
                      <a:extLst>
                        <a:ext uri="{28A0092B-C50C-407E-A947-70E740481C1C}">
                          <a14:useLocalDpi xmlns:a14="http://schemas.microsoft.com/office/drawing/2010/main" val="0"/>
                        </a:ext>
                      </a:extLst>
                    </a:blip>
                    <a:srcRect r="4270"/>
                    <a:stretch/>
                  </pic:blipFill>
                  <pic:spPr bwMode="auto">
                    <a:xfrm>
                      <a:off x="0" y="0"/>
                      <a:ext cx="5871210" cy="3132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22C5" w:rsidRPr="00A122C5">
        <w:rPr>
          <w:sz w:val="18"/>
          <w:szCs w:val="18"/>
        </w:rPr>
        <w:t>Figure S</w:t>
      </w:r>
      <w:r w:rsidR="00D6172B">
        <w:rPr>
          <w:sz w:val="18"/>
          <w:szCs w:val="18"/>
        </w:rPr>
        <w:t>4</w:t>
      </w:r>
      <w:r w:rsidR="00A122C5" w:rsidRPr="00A122C5">
        <w:rPr>
          <w:sz w:val="18"/>
          <w:szCs w:val="18"/>
        </w:rPr>
        <w:t xml:space="preserve">: Difference between </w:t>
      </w:r>
      <w:r w:rsidR="00A122C5" w:rsidRPr="00A122C5">
        <w:rPr>
          <w:rFonts w:cs="Times New Roman"/>
          <w:sz w:val="18"/>
          <w:szCs w:val="18"/>
        </w:rPr>
        <w:t>ε</w:t>
      </w:r>
      <w:r w:rsidR="00A122C5" w:rsidRPr="00A122C5">
        <w:rPr>
          <w:sz w:val="18"/>
          <w:szCs w:val="18"/>
          <w:vertAlign w:val="subscript"/>
        </w:rPr>
        <w:t xml:space="preserve">Nd </w:t>
      </w:r>
      <w:r w:rsidR="00A122C5" w:rsidRPr="00A122C5">
        <w:rPr>
          <w:sz w:val="18"/>
          <w:szCs w:val="18"/>
        </w:rPr>
        <w:t xml:space="preserve">simulated in </w:t>
      </w:r>
      <w:r w:rsidR="00A122C5" w:rsidRPr="00A122C5">
        <w:rPr>
          <w:i/>
          <w:iCs/>
          <w:sz w:val="18"/>
          <w:szCs w:val="18"/>
        </w:rPr>
        <w:t>REF</w:t>
      </w:r>
      <w:r w:rsidR="00A122C5" w:rsidRPr="00A122C5">
        <w:rPr>
          <w:sz w:val="18"/>
          <w:szCs w:val="18"/>
        </w:rPr>
        <w:t xml:space="preserve"> (where the seafloor sediment source is based only on bulk sediment</w:t>
      </w:r>
      <w:r w:rsidR="00A122C5" w:rsidRPr="00A122C5">
        <w:rPr>
          <w:rFonts w:cs="Times New Roman"/>
          <w:sz w:val="18"/>
          <w:szCs w:val="18"/>
        </w:rPr>
        <w:t xml:space="preserve"> ε</w:t>
      </w:r>
      <w:r w:rsidR="00A122C5" w:rsidRPr="00A122C5">
        <w:rPr>
          <w:sz w:val="18"/>
          <w:szCs w:val="18"/>
          <w:vertAlign w:val="subscript"/>
        </w:rPr>
        <w:t>Nd</w:t>
      </w:r>
      <w:r w:rsidR="00A122C5">
        <w:rPr>
          <w:sz w:val="18"/>
          <w:szCs w:val="18"/>
        </w:rPr>
        <w:t xml:space="preserve">), and (a) </w:t>
      </w:r>
      <w:r w:rsidR="00A122C5" w:rsidRPr="00A122C5">
        <w:rPr>
          <w:i/>
          <w:iCs/>
          <w:sz w:val="18"/>
          <w:szCs w:val="18"/>
        </w:rPr>
        <w:t>REF-SED2</w:t>
      </w:r>
      <w:r w:rsidR="00A122C5">
        <w:rPr>
          <w:sz w:val="18"/>
          <w:szCs w:val="18"/>
        </w:rPr>
        <w:t xml:space="preserve">, and (b) </w:t>
      </w:r>
      <w:r w:rsidR="00A122C5" w:rsidRPr="00A122C5">
        <w:rPr>
          <w:i/>
          <w:iCs/>
          <w:sz w:val="18"/>
          <w:szCs w:val="18"/>
        </w:rPr>
        <w:t>REF-SED3</w:t>
      </w:r>
      <w:r w:rsidR="00A122C5">
        <w:rPr>
          <w:sz w:val="18"/>
          <w:szCs w:val="18"/>
        </w:rPr>
        <w:t xml:space="preserve"> following adjustments to the sediment source descri</w:t>
      </w:r>
      <w:r w:rsidR="00553AA4">
        <w:rPr>
          <w:sz w:val="18"/>
          <w:szCs w:val="18"/>
        </w:rPr>
        <w:t>b</w:t>
      </w:r>
      <w:r w:rsidR="00A122C5">
        <w:rPr>
          <w:sz w:val="18"/>
          <w:szCs w:val="18"/>
        </w:rPr>
        <w:t>ed in Supplementary Table S</w:t>
      </w:r>
      <w:r w:rsidR="00D55A99">
        <w:rPr>
          <w:sz w:val="18"/>
          <w:szCs w:val="18"/>
        </w:rPr>
        <w:t>3</w:t>
      </w:r>
      <w:r w:rsidR="00A122C5">
        <w:rPr>
          <w:sz w:val="18"/>
          <w:szCs w:val="18"/>
        </w:rPr>
        <w:t xml:space="preserve"> and Text S1. </w:t>
      </w:r>
      <w:r w:rsidR="007D3669">
        <w:rPr>
          <w:sz w:val="18"/>
          <w:szCs w:val="18"/>
        </w:rPr>
        <w:t>[</w:t>
      </w:r>
      <w:r w:rsidR="007D3669">
        <w:rPr>
          <w:i/>
          <w:iCs/>
          <w:sz w:val="18"/>
          <w:szCs w:val="18"/>
        </w:rPr>
        <w:t>Nd</w:t>
      </w:r>
      <w:r w:rsidR="007D3669">
        <w:rPr>
          <w:sz w:val="18"/>
          <w:szCs w:val="18"/>
        </w:rPr>
        <w:t>]</w:t>
      </w:r>
      <w:r w:rsidR="007D3669">
        <w:rPr>
          <w:i/>
          <w:iCs/>
          <w:sz w:val="18"/>
          <w:szCs w:val="18"/>
          <w:vertAlign w:val="subscript"/>
        </w:rPr>
        <w:t>d</w:t>
      </w:r>
      <w:r w:rsidR="007D3669">
        <w:rPr>
          <w:sz w:val="18"/>
          <w:szCs w:val="18"/>
        </w:rPr>
        <w:t xml:space="preserve"> remains the same in all simulations since there were no changes to those model inputs. </w:t>
      </w:r>
    </w:p>
    <w:p w14:paraId="4C8F40FC" w14:textId="044A7C50" w:rsidR="000B5641" w:rsidRDefault="007D3669" w:rsidP="000B5641">
      <w:pPr>
        <w:pStyle w:val="Caption"/>
      </w:pPr>
      <w:r w:rsidRPr="00A122C5">
        <w:t>Figure S</w:t>
      </w:r>
      <w:r w:rsidR="00D6172B">
        <w:t>5</w:t>
      </w:r>
      <w:r w:rsidRPr="00A122C5">
        <w:t>:</w:t>
      </w:r>
      <w:r>
        <w:t xml:space="preserve"> Comparison of [</w:t>
      </w:r>
      <w:r>
        <w:rPr>
          <w:i/>
          <w:iCs/>
        </w:rPr>
        <w:t>Nd</w:t>
      </w:r>
      <w:r>
        <w:t>]</w:t>
      </w:r>
      <w:r>
        <w:rPr>
          <w:i/>
          <w:iCs/>
          <w:vertAlign w:val="subscript"/>
        </w:rPr>
        <w:t>d</w:t>
      </w:r>
      <w:r>
        <w:t xml:space="preserve"> in (a) </w:t>
      </w:r>
      <w:r w:rsidRPr="00734358">
        <w:rPr>
          <w:i/>
          <w:iCs/>
        </w:rPr>
        <w:t>EXPT_RS4</w:t>
      </w:r>
      <w:r>
        <w:t xml:space="preserve">, the best performing simulation from Robinson et al. (submitted), (b) </w:t>
      </w:r>
      <w:r w:rsidRPr="007D3669">
        <w:rPr>
          <w:i/>
          <w:iCs/>
        </w:rPr>
        <w:t>REF</w:t>
      </w:r>
      <w:r>
        <w:t xml:space="preserve">, </w:t>
      </w:r>
      <w:r w:rsidR="000B5641">
        <w:t>the optimised simulation (Sect. 3.2, main text)</w:t>
      </w:r>
      <w:r w:rsidR="00553AA4">
        <w:t xml:space="preserve">; note that </w:t>
      </w:r>
      <w:r w:rsidR="00553AA4" w:rsidRPr="00F61F69">
        <w:rPr>
          <w:i/>
        </w:rPr>
        <w:t>REF-SED2</w:t>
      </w:r>
      <w:r w:rsidR="00553AA4">
        <w:t xml:space="preserve"> and </w:t>
      </w:r>
      <w:r w:rsidR="00553AA4" w:rsidRPr="00F61F69">
        <w:rPr>
          <w:i/>
        </w:rPr>
        <w:t>REF-SED3</w:t>
      </w:r>
      <w:r w:rsidR="00553AA4">
        <w:t xml:space="preserve"> are identical to </w:t>
      </w:r>
      <w:r w:rsidR="00553AA4" w:rsidRPr="00F61F69">
        <w:rPr>
          <w:i/>
        </w:rPr>
        <w:t>REF</w:t>
      </w:r>
      <w:r w:rsidR="00553AA4">
        <w:t xml:space="preserve"> for [</w:t>
      </w:r>
      <w:r w:rsidR="00553AA4">
        <w:rPr>
          <w:i/>
          <w:iCs/>
        </w:rPr>
        <w:t>Nd</w:t>
      </w:r>
      <w:r w:rsidR="00553AA4">
        <w:t>]</w:t>
      </w:r>
      <w:r w:rsidR="00553AA4">
        <w:rPr>
          <w:i/>
          <w:iCs/>
          <w:vertAlign w:val="subscript"/>
        </w:rPr>
        <w:t>d</w:t>
      </w:r>
      <w:r w:rsidR="00553AA4" w:rsidRPr="00F61F69">
        <w:rPr>
          <w:iCs/>
        </w:rPr>
        <w:t>, since</w:t>
      </w:r>
      <w:r w:rsidR="00553AA4">
        <w:t xml:space="preserve"> no adjustment was made to the amount of Nd entering the ocean from sediments in those simulations</w:t>
      </w:r>
      <w:r w:rsidR="000B5641">
        <w:rPr>
          <w:rFonts w:ascii="Times" w:hAnsi="Times"/>
        </w:rPr>
        <w:t xml:space="preserve">. </w:t>
      </w:r>
      <w:r w:rsidR="000B5641">
        <w:t xml:space="preserve"> </w:t>
      </w:r>
      <w:r>
        <w:t xml:space="preserve"> </w:t>
      </w:r>
    </w:p>
    <w:p w14:paraId="5A6B7019" w14:textId="55FDA5B6" w:rsidR="00376701" w:rsidRPr="00376701" w:rsidRDefault="00734358" w:rsidP="00376701">
      <w:pPr>
        <w:pStyle w:val="Caption"/>
      </w:pPr>
      <w:r>
        <w:rPr>
          <w:rFonts w:ascii="Times" w:hAnsi="Times"/>
          <w:noProof/>
          <w:lang w:eastAsia="en-GB"/>
        </w:rPr>
        <w:lastRenderedPageBreak/>
        <w:drawing>
          <wp:anchor distT="0" distB="0" distL="114300" distR="114300" simplePos="0" relativeHeight="251658248" behindDoc="0" locked="0" layoutInCell="1" allowOverlap="1" wp14:anchorId="5C949B8B" wp14:editId="1AD56502">
            <wp:simplePos x="0" y="0"/>
            <wp:positionH relativeFrom="margin">
              <wp:align>center</wp:align>
            </wp:positionH>
            <wp:positionV relativeFrom="paragraph">
              <wp:posOffset>4851400</wp:posOffset>
            </wp:positionV>
            <wp:extent cx="5940000" cy="2485976"/>
            <wp:effectExtent l="0" t="0" r="3810" b="3810"/>
            <wp:wrapTopAndBottom/>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000" cy="2485976"/>
                    </a:xfrm>
                    <a:prstGeom prst="rect">
                      <a:avLst/>
                    </a:prstGeom>
                  </pic:spPr>
                </pic:pic>
              </a:graphicData>
            </a:graphic>
            <wp14:sizeRelH relativeFrom="page">
              <wp14:pctWidth>0</wp14:pctWidth>
            </wp14:sizeRelH>
            <wp14:sizeRelV relativeFrom="page">
              <wp14:pctHeight>0</wp14:pctHeight>
            </wp14:sizeRelV>
          </wp:anchor>
        </w:drawing>
      </w:r>
      <w:r w:rsidRPr="000B5641">
        <w:rPr>
          <w:noProof/>
          <w:lang w:eastAsia="en-GB"/>
        </w:rPr>
        <w:drawing>
          <wp:anchor distT="0" distB="0" distL="114300" distR="114300" simplePos="0" relativeHeight="251658242" behindDoc="0" locked="0" layoutInCell="1" allowOverlap="1" wp14:anchorId="69CC1A32" wp14:editId="7AEF4785">
            <wp:simplePos x="0" y="0"/>
            <wp:positionH relativeFrom="margin">
              <wp:align>center</wp:align>
            </wp:positionH>
            <wp:positionV relativeFrom="paragraph">
              <wp:posOffset>0</wp:posOffset>
            </wp:positionV>
            <wp:extent cx="5940000" cy="4156593"/>
            <wp:effectExtent l="0" t="0" r="3810" b="0"/>
            <wp:wrapTopAndBottom/>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rotWithShape="1">
                    <a:blip r:embed="rId17" cstate="print">
                      <a:extLst>
                        <a:ext uri="{28A0092B-C50C-407E-A947-70E740481C1C}">
                          <a14:useLocalDpi xmlns:a14="http://schemas.microsoft.com/office/drawing/2010/main" val="0"/>
                        </a:ext>
                      </a:extLst>
                    </a:blip>
                    <a:srcRect b="4575"/>
                    <a:stretch/>
                  </pic:blipFill>
                  <pic:spPr bwMode="auto">
                    <a:xfrm>
                      <a:off x="0" y="0"/>
                      <a:ext cx="5940000" cy="415659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5641" w:rsidRPr="000B5641">
        <w:t>Figure S</w:t>
      </w:r>
      <w:r w:rsidR="00D6172B">
        <w:t>6</w:t>
      </w:r>
      <w:r w:rsidR="000B5641" w:rsidRPr="000B5641">
        <w:t>: Comparison of ε</w:t>
      </w:r>
      <w:r w:rsidR="000B5641" w:rsidRPr="000B5641">
        <w:rPr>
          <w:vertAlign w:val="subscript"/>
        </w:rPr>
        <w:t>Nd</w:t>
      </w:r>
      <w:r w:rsidR="000B5641" w:rsidRPr="000B5641">
        <w:t xml:space="preserve"> in (a) </w:t>
      </w:r>
      <w:r w:rsidR="000B5641" w:rsidRPr="00734358">
        <w:rPr>
          <w:i/>
          <w:iCs/>
        </w:rPr>
        <w:t>EXPT_RS4</w:t>
      </w:r>
      <w:r w:rsidR="000B5641" w:rsidRPr="000B5641">
        <w:t>, the best performing simulation from Robinson et al. (submitted), (b)</w:t>
      </w:r>
      <w:r w:rsidR="00A94429">
        <w:t> </w:t>
      </w:r>
      <w:r w:rsidR="000B5641" w:rsidRPr="000B5641">
        <w:rPr>
          <w:i/>
          <w:iCs/>
        </w:rPr>
        <w:t>REF</w:t>
      </w:r>
      <w:r w:rsidR="000B5641" w:rsidRPr="000B5641">
        <w:t xml:space="preserve">, the optimised simulation (Sect. 3.2, main text), and (c) </w:t>
      </w:r>
      <w:r w:rsidR="000B5641" w:rsidRPr="000B5641">
        <w:rPr>
          <w:i/>
          <w:iCs/>
        </w:rPr>
        <w:t>REF</w:t>
      </w:r>
      <w:r w:rsidR="00D530B0">
        <w:rPr>
          <w:i/>
          <w:iCs/>
        </w:rPr>
        <w:t>-</w:t>
      </w:r>
      <w:r w:rsidR="000B5641" w:rsidRPr="000B5641">
        <w:rPr>
          <w:i/>
          <w:iCs/>
        </w:rPr>
        <w:t>SED3</w:t>
      </w:r>
      <w:r w:rsidR="000B5641" w:rsidRPr="000B5641">
        <w:t xml:space="preserve">, the optimised simulation with updated mobile sediment </w:t>
      </w:r>
      <w:r w:rsidR="000B5641" w:rsidRPr="000B5641">
        <w:rPr>
          <w:rFonts w:ascii="Times" w:hAnsi="Times"/>
        </w:rPr>
        <w:t>ε</w:t>
      </w:r>
      <w:r w:rsidR="000B5641" w:rsidRPr="000B5641">
        <w:rPr>
          <w:rFonts w:ascii="Times" w:hAnsi="Times"/>
          <w:vertAlign w:val="subscript"/>
        </w:rPr>
        <w:t>Nd</w:t>
      </w:r>
      <w:r w:rsidR="000B5641" w:rsidRPr="000B5641">
        <w:rPr>
          <w:rFonts w:ascii="Times" w:hAnsi="Times"/>
        </w:rPr>
        <w:t xml:space="preserve"> boundary conditions (Sect. 4, main text). </w:t>
      </w:r>
      <w:r w:rsidR="000B5641" w:rsidRPr="000B5641">
        <w:t xml:space="preserve">  </w:t>
      </w:r>
    </w:p>
    <w:p w14:paraId="2A4EA35C" w14:textId="30EA23A8" w:rsidR="005C571D" w:rsidRDefault="005C571D" w:rsidP="005C6A18">
      <w:pPr>
        <w:pStyle w:val="Heading1"/>
        <w:rPr>
          <w:rFonts w:ascii="Times" w:hAnsi="Times" w:cstheme="minorHAnsi"/>
          <w:sz w:val="18"/>
          <w:szCs w:val="18"/>
        </w:rPr>
      </w:pPr>
      <w:r w:rsidRPr="00F3757A">
        <w:rPr>
          <w:rFonts w:ascii="Times" w:hAnsi="Times"/>
          <w:sz w:val="18"/>
          <w:szCs w:val="18"/>
        </w:rPr>
        <w:t>Figure S</w:t>
      </w:r>
      <w:r w:rsidR="00D6172B">
        <w:rPr>
          <w:rFonts w:ascii="Times" w:hAnsi="Times"/>
          <w:sz w:val="18"/>
          <w:szCs w:val="18"/>
        </w:rPr>
        <w:t>7</w:t>
      </w:r>
      <w:r w:rsidRPr="00F3757A">
        <w:rPr>
          <w:rFonts w:ascii="Times" w:hAnsi="Times"/>
          <w:sz w:val="18"/>
          <w:szCs w:val="18"/>
        </w:rPr>
        <w:t>: Gridded global sediment ε</w:t>
      </w:r>
      <w:r w:rsidRPr="00F3757A">
        <w:rPr>
          <w:rFonts w:ascii="Times" w:hAnsi="Times"/>
          <w:sz w:val="18"/>
          <w:szCs w:val="18"/>
          <w:vertAlign w:val="subscript"/>
        </w:rPr>
        <w:t>Nd</w:t>
      </w:r>
      <w:r w:rsidRPr="00F3757A">
        <w:rPr>
          <w:rFonts w:ascii="Times" w:hAnsi="Times"/>
          <w:sz w:val="18"/>
          <w:szCs w:val="18"/>
        </w:rPr>
        <w:t xml:space="preserve"> distributions at the sediment-ocean interface used as sediment source boundary conditions </w:t>
      </w:r>
      <w:r w:rsidR="00F3757A">
        <w:rPr>
          <w:rFonts w:ascii="Times" w:hAnsi="Times"/>
          <w:sz w:val="18"/>
          <w:szCs w:val="18"/>
        </w:rPr>
        <w:t>in the Nd isotope scheme in FAMOUS for simulation</w:t>
      </w:r>
      <w:r w:rsidRPr="00F3757A">
        <w:rPr>
          <w:rFonts w:ascii="Times" w:hAnsi="Times"/>
          <w:sz w:val="18"/>
          <w:szCs w:val="18"/>
        </w:rPr>
        <w:t xml:space="preserve"> </w:t>
      </w:r>
      <w:r w:rsidRPr="00F3757A">
        <w:rPr>
          <w:rFonts w:ascii="Times" w:hAnsi="Times"/>
          <w:i/>
          <w:iCs/>
          <w:sz w:val="18"/>
          <w:szCs w:val="18"/>
        </w:rPr>
        <w:t>REF-SED3-MG</w:t>
      </w:r>
      <w:r w:rsidRPr="00F3757A">
        <w:rPr>
          <w:rFonts w:ascii="Times" w:hAnsi="Times"/>
          <w:sz w:val="18"/>
          <w:szCs w:val="18"/>
        </w:rPr>
        <w:t>, investigating the sensitivity of seawater ε</w:t>
      </w:r>
      <w:r w:rsidRPr="00F3757A">
        <w:rPr>
          <w:rFonts w:ascii="Times" w:hAnsi="Times"/>
          <w:sz w:val="18"/>
          <w:szCs w:val="18"/>
          <w:vertAlign w:val="subscript"/>
        </w:rPr>
        <w:t>Nd</w:t>
      </w:r>
      <w:r w:rsidRPr="00F3757A">
        <w:rPr>
          <w:rFonts w:ascii="Times" w:hAnsi="Times"/>
          <w:sz w:val="18"/>
          <w:szCs w:val="18"/>
        </w:rPr>
        <w:t xml:space="preserve"> to a margin-only constrained sediment source</w:t>
      </w:r>
      <w:r w:rsidR="00F3757A" w:rsidRPr="00F3757A">
        <w:rPr>
          <w:rFonts w:ascii="Times" w:hAnsi="Times"/>
          <w:sz w:val="18"/>
          <w:szCs w:val="18"/>
        </w:rPr>
        <w:t xml:space="preserve"> (Sect. 5, main text). </w:t>
      </w:r>
      <w:r w:rsidR="00F3757A">
        <w:rPr>
          <w:rFonts w:ascii="Times" w:hAnsi="Times"/>
          <w:sz w:val="18"/>
          <w:szCs w:val="18"/>
        </w:rPr>
        <w:t>The continental margins are de</w:t>
      </w:r>
      <w:r w:rsidR="00A94429">
        <w:rPr>
          <w:rFonts w:ascii="Times" w:hAnsi="Times"/>
          <w:sz w:val="18"/>
          <w:szCs w:val="18"/>
        </w:rPr>
        <w:t>lineated</w:t>
      </w:r>
      <w:r w:rsidR="00F3757A">
        <w:rPr>
          <w:rFonts w:ascii="Times" w:hAnsi="Times"/>
          <w:sz w:val="18"/>
          <w:szCs w:val="18"/>
        </w:rPr>
        <w:t xml:space="preserve"> following the definition by Robinson et al. (2021), where </w:t>
      </w:r>
      <w:r w:rsidR="00F3757A" w:rsidRPr="00F3757A">
        <w:rPr>
          <w:rFonts w:ascii="Times" w:hAnsi="Times"/>
          <w:sz w:val="18"/>
          <w:szCs w:val="18"/>
        </w:rPr>
        <w:t xml:space="preserve">sediment thickness </w:t>
      </w:r>
      <w:r w:rsidR="00F3757A" w:rsidRPr="00F3757A">
        <w:rPr>
          <w:rFonts w:ascii="Times" w:hAnsi="Times" w:cstheme="minorHAnsi"/>
          <w:sz w:val="18"/>
          <w:szCs w:val="18"/>
        </w:rPr>
        <w:t>≥ 1</w:t>
      </w:r>
      <w:r w:rsidR="005C1B7A">
        <w:rPr>
          <w:rFonts w:ascii="Times" w:hAnsi="Times" w:cstheme="minorHAnsi"/>
          <w:sz w:val="18"/>
          <w:szCs w:val="18"/>
        </w:rPr>
        <w:t>,</w:t>
      </w:r>
      <w:r w:rsidR="00F3757A" w:rsidRPr="00F3757A">
        <w:rPr>
          <w:rFonts w:ascii="Times" w:hAnsi="Times" w:cstheme="minorHAnsi"/>
          <w:sz w:val="18"/>
          <w:szCs w:val="18"/>
        </w:rPr>
        <w:t>000 m</w:t>
      </w:r>
      <w:r w:rsidR="00F3757A">
        <w:rPr>
          <w:rFonts w:ascii="Times" w:hAnsi="Times" w:cstheme="minorHAnsi"/>
          <w:sz w:val="18"/>
          <w:szCs w:val="18"/>
        </w:rPr>
        <w:t xml:space="preserve">. </w:t>
      </w:r>
    </w:p>
    <w:p w14:paraId="338AC491" w14:textId="77777777" w:rsidR="00E742E8" w:rsidRDefault="00E742E8" w:rsidP="00E742E8"/>
    <w:p w14:paraId="3D61D7DF" w14:textId="77777777" w:rsidR="00E742E8" w:rsidRDefault="00E742E8" w:rsidP="00E742E8"/>
    <w:p w14:paraId="2C93230C" w14:textId="77777777" w:rsidR="00E742E8" w:rsidRDefault="00E742E8" w:rsidP="00E742E8"/>
    <w:p w14:paraId="54DEF372" w14:textId="375DC2B9" w:rsidR="00E742E8" w:rsidRDefault="00302823" w:rsidP="00E742E8">
      <w:r>
        <w:rPr>
          <w:noProof/>
        </w:rPr>
        <w:lastRenderedPageBreak/>
        <w:drawing>
          <wp:anchor distT="0" distB="0" distL="114300" distR="114300" simplePos="0" relativeHeight="251660297" behindDoc="0" locked="0" layoutInCell="1" allowOverlap="1" wp14:anchorId="2304143E" wp14:editId="1ACE807A">
            <wp:simplePos x="0" y="0"/>
            <wp:positionH relativeFrom="column">
              <wp:posOffset>-470897</wp:posOffset>
            </wp:positionH>
            <wp:positionV relativeFrom="paragraph">
              <wp:posOffset>454</wp:posOffset>
            </wp:positionV>
            <wp:extent cx="6386830" cy="3095625"/>
            <wp:effectExtent l="0" t="0" r="1270" b="3175"/>
            <wp:wrapTopAndBottom/>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86830" cy="3095625"/>
                    </a:xfrm>
                    <a:prstGeom prst="rect">
                      <a:avLst/>
                    </a:prstGeom>
                  </pic:spPr>
                </pic:pic>
              </a:graphicData>
            </a:graphic>
            <wp14:sizeRelH relativeFrom="page">
              <wp14:pctWidth>0</wp14:pctWidth>
            </wp14:sizeRelH>
            <wp14:sizeRelV relativeFrom="page">
              <wp14:pctHeight>0</wp14:pctHeight>
            </wp14:sizeRelV>
          </wp:anchor>
        </w:drawing>
      </w:r>
    </w:p>
    <w:p w14:paraId="721D53AD" w14:textId="61965D06" w:rsidR="00E742E8" w:rsidRDefault="00302823" w:rsidP="00302823">
      <w:pPr>
        <w:pStyle w:val="Caption"/>
      </w:pPr>
      <w:r>
        <w:rPr>
          <w:lang w:eastAsia="en-US"/>
        </w:rPr>
        <w:t xml:space="preserve">Figure S8: </w:t>
      </w:r>
      <w:r w:rsidR="00B26166">
        <w:rPr>
          <w:rFonts w:ascii="Times" w:hAnsi="Times"/>
        </w:rPr>
        <w:t xml:space="preserve">Vertical sections of simulated </w:t>
      </w:r>
      <w:r w:rsidR="00B26166">
        <w:rPr>
          <w:rFonts w:ascii="Times" w:hAnsi="Times" w:cstheme="minorHAnsi"/>
        </w:rPr>
        <w:t>[</w:t>
      </w:r>
      <w:r w:rsidR="00B26166" w:rsidRPr="00B26166">
        <w:rPr>
          <w:rFonts w:ascii="Times" w:hAnsi="Times" w:cstheme="minorHAnsi"/>
          <w:i/>
          <w:iCs/>
        </w:rPr>
        <w:t>Nd</w:t>
      </w:r>
      <w:r w:rsidR="00B26166">
        <w:rPr>
          <w:rFonts w:ascii="Times" w:hAnsi="Times" w:cstheme="minorHAnsi"/>
        </w:rPr>
        <w:t>]</w:t>
      </w:r>
      <w:r w:rsidR="00B26166">
        <w:rPr>
          <w:rFonts w:ascii="Times" w:hAnsi="Times" w:cstheme="minorHAnsi"/>
          <w:vertAlign w:val="subscript"/>
        </w:rPr>
        <w:t>d</w:t>
      </w:r>
      <w:r w:rsidR="00B26166">
        <w:rPr>
          <w:rFonts w:ascii="Times" w:hAnsi="Times"/>
        </w:rPr>
        <w:t xml:space="preserve"> within sensitivity studies (a) </w:t>
      </w:r>
      <w:r w:rsidR="00B26166">
        <w:rPr>
          <w:rFonts w:ascii="Times" w:hAnsi="Times"/>
          <w:i/>
          <w:iCs/>
        </w:rPr>
        <w:t xml:space="preserve">REF-SED3 with a seafloor-wide </w:t>
      </w:r>
      <w:r w:rsidR="00B26166">
        <w:rPr>
          <w:rFonts w:ascii="Times" w:hAnsi="Times"/>
        </w:rPr>
        <w:t xml:space="preserve">benthic flux and (b) </w:t>
      </w:r>
      <w:r w:rsidR="00B26166">
        <w:rPr>
          <w:rFonts w:ascii="Times" w:hAnsi="Times"/>
          <w:i/>
          <w:iCs/>
        </w:rPr>
        <w:t>REF</w:t>
      </w:r>
      <w:r w:rsidR="00B26166">
        <w:rPr>
          <w:rFonts w:cstheme="minorHAnsi"/>
          <w:i/>
          <w:iCs/>
        </w:rPr>
        <w:noBreakHyphen/>
      </w:r>
      <w:r w:rsidR="00B26166">
        <w:rPr>
          <w:rFonts w:ascii="Times" w:hAnsi="Times"/>
          <w:i/>
          <w:iCs/>
        </w:rPr>
        <w:t>SED3-MG</w:t>
      </w:r>
      <w:r w:rsidR="00B26166">
        <w:rPr>
          <w:rFonts w:ascii="Times" w:hAnsi="Times"/>
        </w:rPr>
        <w:t xml:space="preserve"> with a </w:t>
      </w:r>
      <w:r w:rsidR="00B26166">
        <w:rPr>
          <w:rFonts w:ascii="Times" w:hAnsi="Times"/>
          <w:i/>
          <w:iCs/>
        </w:rPr>
        <w:t xml:space="preserve">margin-only </w:t>
      </w:r>
      <w:r w:rsidR="00B26166">
        <w:rPr>
          <w:rFonts w:ascii="Times" w:hAnsi="Times"/>
        </w:rPr>
        <w:t xml:space="preserve">constrained benthic flux along a transect from the Pacific to Atlantic, traversing the Southern Ocean from West to East. Water column measurements are imposed as filled circles using the same colour scale. Simulated and measured </w:t>
      </w:r>
      <w:r w:rsidR="00B26166">
        <w:rPr>
          <w:rFonts w:ascii="Times" w:hAnsi="Times" w:cstheme="minorHAnsi"/>
        </w:rPr>
        <w:t>[</w:t>
      </w:r>
      <w:r w:rsidR="00B26166" w:rsidRPr="00B26166">
        <w:rPr>
          <w:rFonts w:ascii="Times" w:hAnsi="Times" w:cstheme="minorHAnsi"/>
          <w:i/>
          <w:iCs/>
        </w:rPr>
        <w:t>Nd</w:t>
      </w:r>
      <w:r w:rsidR="00B26166">
        <w:rPr>
          <w:rFonts w:ascii="Times" w:hAnsi="Times" w:cstheme="minorHAnsi"/>
        </w:rPr>
        <w:t>]</w:t>
      </w:r>
      <w:r w:rsidR="00B26166">
        <w:rPr>
          <w:rFonts w:ascii="Times" w:hAnsi="Times" w:cstheme="minorHAnsi"/>
          <w:vertAlign w:val="subscript"/>
        </w:rPr>
        <w:t>d</w:t>
      </w:r>
      <w:r w:rsidR="00B26166">
        <w:rPr>
          <w:rFonts w:ascii="Times" w:hAnsi="Times"/>
        </w:rPr>
        <w:t xml:space="preserve"> from the Pacific </w:t>
      </w:r>
      <w:proofErr w:type="gramStart"/>
      <w:r w:rsidR="00B26166">
        <w:rPr>
          <w:rFonts w:ascii="Times" w:hAnsi="Times"/>
        </w:rPr>
        <w:t>are</w:t>
      </w:r>
      <w:proofErr w:type="gramEnd"/>
      <w:r w:rsidR="00B26166">
        <w:rPr>
          <w:rFonts w:ascii="Times" w:hAnsi="Times"/>
        </w:rPr>
        <w:t xml:space="preserve"> from 150-160</w:t>
      </w:r>
      <w:r w:rsidR="00B26166">
        <w:rPr>
          <w:rFonts w:ascii="Times" w:hAnsi="Times"/>
          <w:shd w:val="clear" w:color="auto" w:fill="FFFFFF"/>
        </w:rPr>
        <w:t xml:space="preserve">° </w:t>
      </w:r>
      <w:r w:rsidR="00B26166">
        <w:rPr>
          <w:rFonts w:ascii="Times" w:hAnsi="Times"/>
        </w:rPr>
        <w:t>W, in the Southern Ocean are from 55-65</w:t>
      </w:r>
      <w:r w:rsidR="00B26166">
        <w:rPr>
          <w:rFonts w:ascii="Times" w:hAnsi="Times"/>
          <w:shd w:val="clear" w:color="auto" w:fill="FFFFFF"/>
        </w:rPr>
        <w:t xml:space="preserve">° </w:t>
      </w:r>
      <w:r w:rsidR="00B26166">
        <w:rPr>
          <w:rFonts w:ascii="Times" w:hAnsi="Times"/>
        </w:rPr>
        <w:t>S, and in the Atlantic values are from 20-30</w:t>
      </w:r>
      <w:r w:rsidR="00B26166">
        <w:rPr>
          <w:rFonts w:ascii="Times" w:hAnsi="Times"/>
          <w:shd w:val="clear" w:color="auto" w:fill="FFFFFF"/>
        </w:rPr>
        <w:t xml:space="preserve">° </w:t>
      </w:r>
      <w:r w:rsidR="00B26166">
        <w:rPr>
          <w:rFonts w:ascii="Times" w:hAnsi="Times"/>
        </w:rPr>
        <w:t>W.</w:t>
      </w:r>
      <w:r w:rsidR="00B26166">
        <w:t xml:space="preserve"> </w:t>
      </w:r>
      <w:r w:rsidR="00B26166">
        <w:rPr>
          <w:rFonts w:ascii="Times" w:hAnsi="Times"/>
        </w:rPr>
        <w:t xml:space="preserve">The continental margins are constrained following the definition by Robinson et al. (2021), where sediment thickness </w:t>
      </w:r>
      <w:r w:rsidR="00B26166">
        <w:rPr>
          <w:rFonts w:ascii="Times" w:hAnsi="Times" w:cstheme="minorHAnsi"/>
        </w:rPr>
        <w:t>≥ 1,000 m.</w:t>
      </w:r>
    </w:p>
    <w:p w14:paraId="6A101B17" w14:textId="77777777" w:rsidR="00E742E8" w:rsidRDefault="00E742E8" w:rsidP="00E742E8"/>
    <w:p w14:paraId="2E88148C" w14:textId="77777777" w:rsidR="00E742E8" w:rsidRDefault="00E742E8" w:rsidP="00E742E8"/>
    <w:p w14:paraId="66B945E1" w14:textId="77777777" w:rsidR="00E742E8" w:rsidRDefault="00E742E8" w:rsidP="00E742E8"/>
    <w:p w14:paraId="528550B3" w14:textId="77777777" w:rsidR="00E742E8" w:rsidRDefault="00E742E8" w:rsidP="00E742E8"/>
    <w:p w14:paraId="43BB983C" w14:textId="77777777" w:rsidR="00E742E8" w:rsidRDefault="00E742E8" w:rsidP="00E742E8"/>
    <w:p w14:paraId="4341CBC1" w14:textId="77777777" w:rsidR="00E742E8" w:rsidRDefault="00E742E8" w:rsidP="00E742E8"/>
    <w:p w14:paraId="001B393C" w14:textId="77777777" w:rsidR="00E742E8" w:rsidRDefault="00E742E8" w:rsidP="00E742E8"/>
    <w:p w14:paraId="5FA7DD9E" w14:textId="77777777" w:rsidR="00E742E8" w:rsidRDefault="00E742E8" w:rsidP="00E742E8"/>
    <w:p w14:paraId="53E99153" w14:textId="77777777" w:rsidR="00E742E8" w:rsidRDefault="00E742E8" w:rsidP="00E742E8"/>
    <w:p w14:paraId="37D0271E" w14:textId="77777777" w:rsidR="00E742E8" w:rsidRDefault="00E742E8" w:rsidP="00E742E8"/>
    <w:p w14:paraId="1816A57F" w14:textId="77777777" w:rsidR="00E742E8" w:rsidRDefault="00E742E8" w:rsidP="00E742E8"/>
    <w:p w14:paraId="68115430" w14:textId="77777777" w:rsidR="00E742E8" w:rsidRPr="00E742E8" w:rsidRDefault="00E742E8" w:rsidP="00E742E8"/>
    <w:p w14:paraId="213D458F" w14:textId="4030AD58" w:rsidR="005C6A18" w:rsidRDefault="005C6A18" w:rsidP="005C6A18"/>
    <w:p w14:paraId="57078CE8" w14:textId="667298F0" w:rsidR="0056674B" w:rsidRDefault="0056674B" w:rsidP="00D530B0">
      <w:pPr>
        <w:pStyle w:val="Caption"/>
        <w:rPr>
          <w:rFonts w:ascii="Times" w:hAnsi="Times"/>
          <w:lang w:eastAsia="en-US"/>
        </w:rPr>
      </w:pPr>
      <w:r>
        <w:rPr>
          <w:noProof/>
          <w:lang w:eastAsia="en-GB"/>
        </w:rPr>
        <w:lastRenderedPageBreak/>
        <w:drawing>
          <wp:anchor distT="0" distB="0" distL="114300" distR="114300" simplePos="0" relativeHeight="251658245" behindDoc="0" locked="0" layoutInCell="1" allowOverlap="1" wp14:anchorId="0650FF95" wp14:editId="17F4A76C">
            <wp:simplePos x="0" y="0"/>
            <wp:positionH relativeFrom="margin">
              <wp:align>center</wp:align>
            </wp:positionH>
            <wp:positionV relativeFrom="paragraph">
              <wp:posOffset>0</wp:posOffset>
            </wp:positionV>
            <wp:extent cx="5940000" cy="5467171"/>
            <wp:effectExtent l="0" t="0" r="3810" b="0"/>
            <wp:wrapTopAndBottom/>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0000" cy="5467171"/>
                    </a:xfrm>
                    <a:prstGeom prst="rect">
                      <a:avLst/>
                    </a:prstGeom>
                  </pic:spPr>
                </pic:pic>
              </a:graphicData>
            </a:graphic>
            <wp14:sizeRelH relativeFrom="page">
              <wp14:pctWidth>0</wp14:pctWidth>
            </wp14:sizeRelH>
            <wp14:sizeRelV relativeFrom="page">
              <wp14:pctHeight>0</wp14:pctHeight>
            </wp14:sizeRelV>
          </wp:anchor>
        </w:drawing>
      </w:r>
    </w:p>
    <w:p w14:paraId="2574355F" w14:textId="6EB623F7" w:rsidR="00734358" w:rsidRDefault="00D530B0" w:rsidP="00734358">
      <w:pPr>
        <w:pStyle w:val="Caption"/>
        <w:rPr>
          <w:rFonts w:ascii="Times" w:hAnsi="Times" w:cstheme="minorHAnsi"/>
        </w:rPr>
      </w:pPr>
      <w:r>
        <w:rPr>
          <w:rFonts w:ascii="Times" w:hAnsi="Times"/>
          <w:lang w:eastAsia="en-US"/>
        </w:rPr>
        <w:t>Figure S</w:t>
      </w:r>
      <w:r w:rsidR="00965514">
        <w:rPr>
          <w:rFonts w:ascii="Times" w:hAnsi="Times"/>
          <w:lang w:eastAsia="en-US"/>
        </w:rPr>
        <w:t>9</w:t>
      </w:r>
      <w:r>
        <w:rPr>
          <w:rFonts w:ascii="Times" w:hAnsi="Times"/>
          <w:lang w:eastAsia="en-US"/>
        </w:rPr>
        <w:t>:</w:t>
      </w:r>
      <w:r>
        <w:t xml:space="preserve"> </w:t>
      </w:r>
      <w:r w:rsidR="00681C9D">
        <w:t xml:space="preserve">Comparison of simulated </w:t>
      </w:r>
      <w:r w:rsidR="000E13F9" w:rsidRPr="002A6C54">
        <w:rPr>
          <w:i/>
        </w:rPr>
        <w:t>[Nd]</w:t>
      </w:r>
      <w:r w:rsidR="000E13F9" w:rsidRPr="002A6C54">
        <w:rPr>
          <w:i/>
          <w:vertAlign w:val="subscript"/>
        </w:rPr>
        <w:t>d</w:t>
      </w:r>
      <w:r w:rsidR="0056674B">
        <w:t xml:space="preserve"> </w:t>
      </w:r>
      <w:r w:rsidR="00681C9D">
        <w:t xml:space="preserve">between a </w:t>
      </w:r>
      <w:r w:rsidR="00681C9D" w:rsidRPr="00482FBC">
        <w:rPr>
          <w:i/>
          <w:iCs/>
        </w:rPr>
        <w:t>seafloor</w:t>
      </w:r>
      <w:r w:rsidR="00482FBC" w:rsidRPr="00482FBC">
        <w:rPr>
          <w:i/>
          <w:iCs/>
        </w:rPr>
        <w:t>-</w:t>
      </w:r>
      <w:r w:rsidR="00681C9D" w:rsidRPr="00482FBC">
        <w:rPr>
          <w:i/>
          <w:iCs/>
        </w:rPr>
        <w:t>wide</w:t>
      </w:r>
      <w:r w:rsidR="00681C9D">
        <w:t xml:space="preserve"> </w:t>
      </w:r>
      <w:r w:rsidR="0065532B">
        <w:t>(</w:t>
      </w:r>
      <w:r w:rsidR="0065532B" w:rsidRPr="0065532B">
        <w:rPr>
          <w:i/>
          <w:iCs/>
        </w:rPr>
        <w:t>REF-SED3</w:t>
      </w:r>
      <w:r w:rsidR="0065532B">
        <w:t xml:space="preserve">) and a </w:t>
      </w:r>
      <w:r w:rsidR="0065532B" w:rsidRPr="00482FBC">
        <w:rPr>
          <w:i/>
          <w:iCs/>
        </w:rPr>
        <w:t>margin-only</w:t>
      </w:r>
      <w:r w:rsidR="0065532B">
        <w:t xml:space="preserve"> constrained (</w:t>
      </w:r>
      <w:r w:rsidR="0065532B" w:rsidRPr="0065532B">
        <w:rPr>
          <w:i/>
          <w:iCs/>
        </w:rPr>
        <w:t>REF</w:t>
      </w:r>
      <w:r w:rsidR="00685AD6">
        <w:rPr>
          <w:i/>
          <w:iCs/>
        </w:rPr>
        <w:noBreakHyphen/>
      </w:r>
      <w:r w:rsidR="0065532B" w:rsidRPr="0065532B">
        <w:rPr>
          <w:i/>
          <w:iCs/>
        </w:rPr>
        <w:t>SED3-MG</w:t>
      </w:r>
      <w:r w:rsidR="0065532B">
        <w:t>) sediment source</w:t>
      </w:r>
      <w:r w:rsidR="00FF20C5">
        <w:t>,</w:t>
      </w:r>
      <w:r w:rsidR="0065532B">
        <w:t xml:space="preserve"> see </w:t>
      </w:r>
      <w:r w:rsidR="00681C9D">
        <w:t>Sect.</w:t>
      </w:r>
      <w:r w:rsidR="0065532B">
        <w:t xml:space="preserve"> </w:t>
      </w:r>
      <w:r w:rsidR="00681C9D">
        <w:t>5</w:t>
      </w:r>
      <w:r w:rsidR="0065532B">
        <w:t xml:space="preserve"> of the</w:t>
      </w:r>
      <w:r w:rsidR="00681C9D">
        <w:t xml:space="preserve"> main text</w:t>
      </w:r>
      <w:r w:rsidR="0065532B">
        <w:t xml:space="preserve"> for a full </w:t>
      </w:r>
      <w:r w:rsidR="00FF20C5">
        <w:t xml:space="preserve">experiment </w:t>
      </w:r>
      <w:r w:rsidR="0065532B">
        <w:t>description</w:t>
      </w:r>
      <w:r w:rsidR="00681C9D">
        <w:t xml:space="preserve">. </w:t>
      </w:r>
      <w:r>
        <w:t>Central panel</w:t>
      </w:r>
      <w:r w:rsidR="0065532B">
        <w:t xml:space="preserve"> </w:t>
      </w:r>
      <w:r>
        <w:t>(g)</w:t>
      </w:r>
      <w:r w:rsidR="009033AE">
        <w:t> </w:t>
      </w:r>
      <w:r>
        <w:t xml:space="preserve">displays </w:t>
      </w:r>
      <w:r w:rsidR="0056674B" w:rsidRPr="000B5641">
        <w:t>ε</w:t>
      </w:r>
      <w:r w:rsidR="0056674B" w:rsidRPr="000B5641">
        <w:rPr>
          <w:vertAlign w:val="subscript"/>
        </w:rPr>
        <w:t>Nd</w:t>
      </w:r>
      <w:r w:rsidR="0056674B">
        <w:t xml:space="preserve"> </w:t>
      </w:r>
      <w:r>
        <w:t xml:space="preserve">at the seafloor for </w:t>
      </w:r>
      <w:r w:rsidRPr="000B5641">
        <w:t xml:space="preserve">the optimised </w:t>
      </w:r>
      <w:r w:rsidR="000E13F9" w:rsidRPr="00482FBC">
        <w:rPr>
          <w:i/>
          <w:iCs/>
        </w:rPr>
        <w:t>seafloor-wide</w:t>
      </w:r>
      <w:r w:rsidR="000E13F9">
        <w:t xml:space="preserve"> benthic flux </w:t>
      </w:r>
      <w:r w:rsidRPr="000B5641">
        <w:t xml:space="preserve">simulation with updated mobile sediment </w:t>
      </w:r>
      <w:r w:rsidRPr="000B5641">
        <w:rPr>
          <w:rFonts w:ascii="Times" w:hAnsi="Times"/>
        </w:rPr>
        <w:t>ε</w:t>
      </w:r>
      <w:r w:rsidRPr="000B5641">
        <w:rPr>
          <w:rFonts w:ascii="Times" w:hAnsi="Times"/>
          <w:vertAlign w:val="subscript"/>
        </w:rPr>
        <w:t>Nd</w:t>
      </w:r>
      <w:r w:rsidRPr="000B5641">
        <w:rPr>
          <w:rFonts w:ascii="Times" w:hAnsi="Times"/>
        </w:rPr>
        <w:t xml:space="preserve"> boundary conditions</w:t>
      </w:r>
      <w:r w:rsidR="00681C9D">
        <w:rPr>
          <w:rFonts w:ascii="Times" w:hAnsi="Times"/>
        </w:rPr>
        <w:t>:</w:t>
      </w:r>
      <w:r w:rsidRPr="000B5641">
        <w:rPr>
          <w:rFonts w:ascii="Times" w:hAnsi="Times"/>
        </w:rPr>
        <w:t xml:space="preserve"> </w:t>
      </w:r>
      <w:r w:rsidRPr="000B5641">
        <w:rPr>
          <w:i/>
          <w:iCs/>
        </w:rPr>
        <w:t>REF</w:t>
      </w:r>
      <w:r>
        <w:rPr>
          <w:i/>
          <w:iCs/>
        </w:rPr>
        <w:t>-</w:t>
      </w:r>
      <w:r w:rsidRPr="000B5641">
        <w:rPr>
          <w:i/>
          <w:iCs/>
        </w:rPr>
        <w:t>SED3</w:t>
      </w:r>
      <w:r>
        <w:rPr>
          <w:i/>
          <w:iCs/>
        </w:rPr>
        <w:t xml:space="preserve"> </w:t>
      </w:r>
      <w:r>
        <w:t xml:space="preserve">(100-year mean from the end of the simulation), </w:t>
      </w:r>
      <w:r w:rsidR="00681C9D">
        <w:t xml:space="preserve">with superimposed water column measurements </w:t>
      </w:r>
      <w:r w:rsidR="00681C9D" w:rsidRPr="00B36D89">
        <w:rPr>
          <w:rFonts w:ascii="TimesNewRomanPS" w:hAnsi="TimesNewRomanPS"/>
          <w:lang w:eastAsia="en-GB"/>
        </w:rPr>
        <w:t xml:space="preserve">(Osborne et al., 2017, 2015; GEOTRACES Intermediate Data Product Group, 2021) </w:t>
      </w:r>
      <w:r w:rsidR="00681C9D" w:rsidRPr="00B36D89">
        <w:rPr>
          <w:rFonts w:ascii="Times" w:hAnsi="Times"/>
          <w:lang w:eastAsia="en-GB"/>
        </w:rPr>
        <w:t xml:space="preserve">from </w:t>
      </w:r>
      <w:r w:rsidR="00681C9D" w:rsidRPr="00B36D89">
        <w:rPr>
          <w:rFonts w:ascii="Times" w:hAnsi="Times"/>
          <w:color w:val="3A3F42"/>
          <w:lang w:eastAsia="en-GB"/>
        </w:rPr>
        <w:t xml:space="preserve">≥ </w:t>
      </w:r>
      <w:r w:rsidR="00681C9D" w:rsidRPr="00B36D89">
        <w:rPr>
          <w:rFonts w:ascii="Times" w:hAnsi="Times"/>
          <w:lang w:eastAsia="en-GB"/>
        </w:rPr>
        <w:t>3000 m shown by filled circles</w:t>
      </w:r>
      <w:r w:rsidR="009033AE">
        <w:rPr>
          <w:rFonts w:ascii="Times" w:hAnsi="Times"/>
          <w:lang w:eastAsia="en-GB"/>
        </w:rPr>
        <w:t xml:space="preserve"> on the same colour scale</w:t>
      </w:r>
      <w:r w:rsidR="00681C9D">
        <w:rPr>
          <w:rFonts w:ascii="Times" w:hAnsi="Times"/>
          <w:lang w:eastAsia="en-GB"/>
        </w:rPr>
        <w:t xml:space="preserve">. </w:t>
      </w:r>
      <w:r>
        <w:rPr>
          <w:rFonts w:ascii="Times" w:hAnsi="Times"/>
          <w:lang w:eastAsia="en-GB"/>
        </w:rPr>
        <w:t>S</w:t>
      </w:r>
      <w:r w:rsidRPr="00B36D89">
        <w:rPr>
          <w:rFonts w:ascii="Times" w:hAnsi="Times"/>
          <w:lang w:eastAsia="en-GB"/>
        </w:rPr>
        <w:t>urrounding panels</w:t>
      </w:r>
      <w:r>
        <w:rPr>
          <w:rFonts w:ascii="Times" w:hAnsi="Times"/>
          <w:lang w:eastAsia="en-GB"/>
        </w:rPr>
        <w:t xml:space="preserve"> </w:t>
      </w:r>
      <w:r w:rsidRPr="00B36D89">
        <w:rPr>
          <w:rFonts w:ascii="Times" w:hAnsi="Times"/>
          <w:lang w:eastAsia="en-GB"/>
        </w:rPr>
        <w:t>(a-f) and (h-m)</w:t>
      </w:r>
      <w:r>
        <w:rPr>
          <w:rFonts w:ascii="Times" w:hAnsi="Times"/>
          <w:lang w:eastAsia="en-GB"/>
        </w:rPr>
        <w:t xml:space="preserve"> display depth profiles of simulated (coloured lines: </w:t>
      </w:r>
      <w:r w:rsidRPr="00756872">
        <w:rPr>
          <w:rFonts w:ascii="Times" w:hAnsi="Times"/>
          <w:i/>
          <w:lang w:eastAsia="en-GB"/>
        </w:rPr>
        <w:t>REF</w:t>
      </w:r>
      <w:r w:rsidR="00681C9D">
        <w:rPr>
          <w:rFonts w:ascii="Times" w:hAnsi="Times"/>
          <w:i/>
          <w:lang w:eastAsia="en-GB"/>
        </w:rPr>
        <w:t>-SED3</w:t>
      </w:r>
      <w:r>
        <w:rPr>
          <w:rFonts w:ascii="Times" w:hAnsi="Times"/>
          <w:i/>
          <w:lang w:eastAsia="en-GB"/>
        </w:rPr>
        <w:t xml:space="preserve"> </w:t>
      </w:r>
      <w:r w:rsidR="009033AE">
        <w:rPr>
          <w:rFonts w:ascii="Times" w:hAnsi="Times"/>
          <w:lang w:eastAsia="en-GB"/>
        </w:rPr>
        <w:t xml:space="preserve">in </w:t>
      </w:r>
      <w:r>
        <w:rPr>
          <w:rFonts w:ascii="Times" w:hAnsi="Times"/>
          <w:lang w:eastAsia="en-GB"/>
        </w:rPr>
        <w:t>red,</w:t>
      </w:r>
      <w:r w:rsidR="00681C9D">
        <w:rPr>
          <w:rFonts w:ascii="Times" w:hAnsi="Times"/>
          <w:lang w:eastAsia="en-GB"/>
        </w:rPr>
        <w:t xml:space="preserve"> and </w:t>
      </w:r>
      <w:r w:rsidRPr="00756872">
        <w:rPr>
          <w:rFonts w:ascii="Times" w:hAnsi="Times"/>
          <w:i/>
          <w:lang w:eastAsia="en-GB"/>
        </w:rPr>
        <w:t>REF</w:t>
      </w:r>
      <w:r w:rsidR="00681C9D">
        <w:rPr>
          <w:rFonts w:ascii="Times" w:hAnsi="Times"/>
          <w:i/>
          <w:lang w:eastAsia="en-GB"/>
        </w:rPr>
        <w:t>-SED3-MG</w:t>
      </w:r>
      <w:r w:rsidR="00681C9D">
        <w:rPr>
          <w:rFonts w:ascii="Times" w:hAnsi="Times"/>
          <w:lang w:eastAsia="en-GB"/>
        </w:rPr>
        <w:t xml:space="preserve"> </w:t>
      </w:r>
      <w:r w:rsidR="009033AE">
        <w:rPr>
          <w:rFonts w:ascii="Times" w:hAnsi="Times"/>
          <w:lang w:eastAsia="en-GB"/>
        </w:rPr>
        <w:t xml:space="preserve">in </w:t>
      </w:r>
      <w:r>
        <w:rPr>
          <w:rFonts w:ascii="Times" w:hAnsi="Times"/>
          <w:lang w:eastAsia="en-GB"/>
        </w:rPr>
        <w:t>blue) and measured (</w:t>
      </w:r>
      <w:r w:rsidR="009033AE">
        <w:rPr>
          <w:rFonts w:ascii="Times" w:hAnsi="Times"/>
          <w:lang w:eastAsia="en-GB"/>
        </w:rPr>
        <w:t xml:space="preserve">filled </w:t>
      </w:r>
      <w:r>
        <w:rPr>
          <w:rFonts w:ascii="Times" w:hAnsi="Times"/>
          <w:lang w:eastAsia="en-GB"/>
        </w:rPr>
        <w:t xml:space="preserve">circles) </w:t>
      </w:r>
      <w:r w:rsidR="000E13F9" w:rsidRPr="002A6C54">
        <w:rPr>
          <w:i/>
        </w:rPr>
        <w:t>[Nd]</w:t>
      </w:r>
      <w:r w:rsidR="000E13F9" w:rsidRPr="002A6C54">
        <w:rPr>
          <w:i/>
          <w:vertAlign w:val="subscript"/>
        </w:rPr>
        <w:t>d</w:t>
      </w:r>
      <w:r w:rsidR="0065532B">
        <w:rPr>
          <w:rFonts w:ascii="Times" w:hAnsi="Times"/>
          <w:lang w:eastAsia="en-GB"/>
        </w:rPr>
        <w:t>.</w:t>
      </w:r>
      <w:r>
        <w:rPr>
          <w:rFonts w:ascii="Times" w:hAnsi="Times"/>
          <w:lang w:eastAsia="en-GB"/>
        </w:rPr>
        <w:t xml:space="preserve"> </w:t>
      </w:r>
      <w:proofErr w:type="gramStart"/>
      <w:r w:rsidR="000E13F9">
        <w:t>Larger</w:t>
      </w:r>
      <w:proofErr w:type="gramEnd"/>
      <w:r w:rsidR="000E13F9">
        <w:t xml:space="preserve"> shifts in the </w:t>
      </w:r>
      <w:r w:rsidR="000E13F9">
        <w:rPr>
          <w:rFonts w:ascii="Times" w:hAnsi="Times"/>
        </w:rPr>
        <w:t>[</w:t>
      </w:r>
      <w:r w:rsidR="000E13F9">
        <w:rPr>
          <w:rFonts w:ascii="Times" w:hAnsi="Times"/>
          <w:i/>
          <w:iCs/>
        </w:rPr>
        <w:t>Nd</w:t>
      </w:r>
      <w:r w:rsidR="000E13F9">
        <w:rPr>
          <w:rFonts w:ascii="Times" w:hAnsi="Times"/>
        </w:rPr>
        <w:t>]</w:t>
      </w:r>
      <w:r w:rsidR="000E13F9">
        <w:rPr>
          <w:rFonts w:ascii="Times" w:hAnsi="Times"/>
          <w:i/>
          <w:iCs/>
          <w:vertAlign w:val="subscript"/>
        </w:rPr>
        <w:t>d</w:t>
      </w:r>
      <w:r w:rsidR="000E13F9">
        <w:t xml:space="preserve"> between the two simulations highlight regions most sensitive to </w:t>
      </w:r>
      <w:r w:rsidR="00482FBC">
        <w:t>a margin constrained versus a seafloor wide sediment source</w:t>
      </w:r>
      <w:r w:rsidR="000E13F9">
        <w:t>.</w:t>
      </w:r>
      <w:r w:rsidR="00482FBC">
        <w:t xml:space="preserve"> </w:t>
      </w:r>
    </w:p>
    <w:p w14:paraId="6193D7E8" w14:textId="1017D063" w:rsidR="00734358" w:rsidRDefault="00734358" w:rsidP="00734358">
      <w:pPr>
        <w:pStyle w:val="Caption"/>
        <w:rPr>
          <w:rFonts w:ascii="Times" w:hAnsi="Times" w:cstheme="minorHAnsi"/>
        </w:rPr>
      </w:pPr>
      <w:r>
        <w:rPr>
          <w:noProof/>
          <w:lang w:eastAsia="en-GB"/>
        </w:rPr>
        <w:lastRenderedPageBreak/>
        <w:drawing>
          <wp:anchor distT="0" distB="0" distL="114300" distR="114300" simplePos="0" relativeHeight="251658247" behindDoc="0" locked="0" layoutInCell="1" allowOverlap="1" wp14:anchorId="4F29F9AC" wp14:editId="04689983">
            <wp:simplePos x="0" y="0"/>
            <wp:positionH relativeFrom="margin">
              <wp:posOffset>-269875</wp:posOffset>
            </wp:positionH>
            <wp:positionV relativeFrom="paragraph">
              <wp:posOffset>6807200</wp:posOffset>
            </wp:positionV>
            <wp:extent cx="5940000" cy="1358617"/>
            <wp:effectExtent l="0" t="0" r="3810" b="635"/>
            <wp:wrapTopAndBottom/>
            <wp:docPr id="10" name="Picture 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000" cy="1358617"/>
                    </a:xfrm>
                    <a:prstGeom prst="rect">
                      <a:avLst/>
                    </a:prstGeom>
                  </pic:spPr>
                </pic:pic>
              </a:graphicData>
            </a:graphic>
            <wp14:sizeRelH relativeFrom="page">
              <wp14:pctWidth>0</wp14:pctWidth>
            </wp14:sizeRelH>
            <wp14:sizeRelV relativeFrom="page">
              <wp14:pctHeight>0</wp14:pctHeight>
            </wp14:sizeRelV>
          </wp:anchor>
        </w:drawing>
      </w:r>
      <w:r w:rsidRPr="00734358">
        <w:rPr>
          <w:rFonts w:ascii="Times" w:hAnsi="Times"/>
          <w:noProof/>
          <w:lang w:eastAsia="en-GB"/>
        </w:rPr>
        <w:drawing>
          <wp:anchor distT="0" distB="0" distL="114300" distR="114300" simplePos="0" relativeHeight="251658246" behindDoc="0" locked="0" layoutInCell="1" allowOverlap="1" wp14:anchorId="41F3998B" wp14:editId="6C8D1D86">
            <wp:simplePos x="0" y="0"/>
            <wp:positionH relativeFrom="margin">
              <wp:posOffset>26035</wp:posOffset>
            </wp:positionH>
            <wp:positionV relativeFrom="paragraph">
              <wp:posOffset>0</wp:posOffset>
            </wp:positionV>
            <wp:extent cx="5940000" cy="5397366"/>
            <wp:effectExtent l="0" t="0" r="3810" b="635"/>
            <wp:wrapTopAndBottom/>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0000" cy="5397366"/>
                    </a:xfrm>
                    <a:prstGeom prst="rect">
                      <a:avLst/>
                    </a:prstGeom>
                  </pic:spPr>
                </pic:pic>
              </a:graphicData>
            </a:graphic>
            <wp14:sizeRelH relativeFrom="page">
              <wp14:pctWidth>0</wp14:pctWidth>
            </wp14:sizeRelH>
            <wp14:sizeRelV relativeFrom="page">
              <wp14:pctHeight>0</wp14:pctHeight>
            </wp14:sizeRelV>
          </wp:anchor>
        </w:drawing>
      </w:r>
      <w:r w:rsidR="000E13F9" w:rsidRPr="00734358">
        <w:rPr>
          <w:rFonts w:ascii="Times" w:hAnsi="Times"/>
          <w:lang w:eastAsia="en-US"/>
        </w:rPr>
        <w:t>Figure S</w:t>
      </w:r>
      <w:r w:rsidR="00965514">
        <w:rPr>
          <w:rFonts w:ascii="Times" w:hAnsi="Times"/>
          <w:lang w:eastAsia="en-US"/>
        </w:rPr>
        <w:t>10</w:t>
      </w:r>
      <w:r w:rsidR="000E13F9" w:rsidRPr="00734358">
        <w:rPr>
          <w:rFonts w:ascii="Times" w:hAnsi="Times"/>
          <w:lang w:eastAsia="en-US"/>
        </w:rPr>
        <w:t>:</w:t>
      </w:r>
      <w:r w:rsidR="000E13F9" w:rsidRPr="00734358">
        <w:rPr>
          <w:rFonts w:ascii="Times" w:hAnsi="Times"/>
        </w:rPr>
        <w:t xml:space="preserve"> Comparison of simulated ε</w:t>
      </w:r>
      <w:r w:rsidR="000E13F9" w:rsidRPr="00734358">
        <w:rPr>
          <w:rFonts w:ascii="Times" w:hAnsi="Times"/>
          <w:vertAlign w:val="subscript"/>
        </w:rPr>
        <w:t>Nd</w:t>
      </w:r>
      <w:r w:rsidR="000E13F9" w:rsidRPr="00734358">
        <w:rPr>
          <w:rFonts w:ascii="Times" w:hAnsi="Times"/>
        </w:rPr>
        <w:t xml:space="preserve"> between a </w:t>
      </w:r>
      <w:r w:rsidR="000E13F9" w:rsidRPr="00734358">
        <w:rPr>
          <w:rFonts w:ascii="Times" w:hAnsi="Times"/>
          <w:i/>
          <w:iCs/>
        </w:rPr>
        <w:t>seafloor</w:t>
      </w:r>
      <w:r w:rsidR="009F1CB3" w:rsidRPr="00734358">
        <w:rPr>
          <w:rFonts w:ascii="Times" w:hAnsi="Times"/>
          <w:i/>
          <w:iCs/>
        </w:rPr>
        <w:t>-</w:t>
      </w:r>
      <w:r w:rsidR="000E13F9" w:rsidRPr="00734358">
        <w:rPr>
          <w:rFonts w:ascii="Times" w:hAnsi="Times"/>
          <w:i/>
          <w:iCs/>
        </w:rPr>
        <w:t>wide</w:t>
      </w:r>
      <w:r w:rsidR="000E13F9" w:rsidRPr="00734358">
        <w:rPr>
          <w:rFonts w:ascii="Times" w:hAnsi="Times"/>
        </w:rPr>
        <w:t xml:space="preserve"> (</w:t>
      </w:r>
      <w:r w:rsidR="000E13F9" w:rsidRPr="00734358">
        <w:rPr>
          <w:rFonts w:ascii="Times" w:hAnsi="Times"/>
          <w:i/>
          <w:iCs/>
        </w:rPr>
        <w:t>REF-SED3</w:t>
      </w:r>
      <w:r w:rsidR="000E13F9" w:rsidRPr="00734358">
        <w:rPr>
          <w:rFonts w:ascii="Times" w:hAnsi="Times"/>
        </w:rPr>
        <w:t xml:space="preserve">) and a </w:t>
      </w:r>
      <w:r w:rsidR="000E13F9" w:rsidRPr="00734358">
        <w:rPr>
          <w:rFonts w:ascii="Times" w:hAnsi="Times"/>
          <w:i/>
          <w:iCs/>
        </w:rPr>
        <w:t>margin-only</w:t>
      </w:r>
      <w:r w:rsidR="000E13F9" w:rsidRPr="00734358">
        <w:rPr>
          <w:rFonts w:ascii="Times" w:hAnsi="Times"/>
        </w:rPr>
        <w:t xml:space="preserve"> constrained (</w:t>
      </w:r>
      <w:r w:rsidR="000E13F9" w:rsidRPr="00734358">
        <w:rPr>
          <w:rFonts w:ascii="Times" w:hAnsi="Times"/>
          <w:i/>
          <w:iCs/>
        </w:rPr>
        <w:t>REF</w:t>
      </w:r>
      <w:r w:rsidR="00E31BC2">
        <w:rPr>
          <w:rFonts w:ascii="Times" w:hAnsi="Times"/>
          <w:i/>
          <w:iCs/>
        </w:rPr>
        <w:noBreakHyphen/>
      </w:r>
      <w:r w:rsidR="000E13F9" w:rsidRPr="00734358">
        <w:rPr>
          <w:rFonts w:ascii="Times" w:hAnsi="Times"/>
          <w:i/>
          <w:iCs/>
        </w:rPr>
        <w:t>SED3-MG</w:t>
      </w:r>
      <w:r w:rsidR="000E13F9" w:rsidRPr="00734358">
        <w:rPr>
          <w:rFonts w:ascii="Times" w:hAnsi="Times"/>
        </w:rPr>
        <w:t>) sediment source, see Sect. 5 of the main text for a full experiment description. Central panel (g)</w:t>
      </w:r>
      <w:r w:rsidR="00E31BC2">
        <w:rPr>
          <w:rFonts w:ascii="Times" w:hAnsi="Times"/>
        </w:rPr>
        <w:t> </w:t>
      </w:r>
      <w:r w:rsidR="000E13F9" w:rsidRPr="00734358">
        <w:rPr>
          <w:rFonts w:ascii="Times" w:hAnsi="Times"/>
        </w:rPr>
        <w:t>displays ε</w:t>
      </w:r>
      <w:r w:rsidR="000E13F9" w:rsidRPr="00734358">
        <w:rPr>
          <w:rFonts w:ascii="Times" w:hAnsi="Times"/>
          <w:vertAlign w:val="subscript"/>
        </w:rPr>
        <w:t>Nd</w:t>
      </w:r>
      <w:r w:rsidR="000E13F9" w:rsidRPr="00734358">
        <w:rPr>
          <w:rFonts w:ascii="Times" w:hAnsi="Times"/>
        </w:rPr>
        <w:t xml:space="preserve"> at the seafloor for the optimised </w:t>
      </w:r>
      <w:r w:rsidR="000E13F9" w:rsidRPr="00734358">
        <w:rPr>
          <w:rFonts w:ascii="Times" w:hAnsi="Times"/>
          <w:i/>
          <w:iCs/>
        </w:rPr>
        <w:t>seafloor-wide</w:t>
      </w:r>
      <w:r w:rsidR="000E13F9" w:rsidRPr="00734358">
        <w:rPr>
          <w:rFonts w:ascii="Times" w:hAnsi="Times"/>
        </w:rPr>
        <w:t xml:space="preserve"> benthic flux simulation with updated mobile sediment ε</w:t>
      </w:r>
      <w:r w:rsidR="000E13F9" w:rsidRPr="00734358">
        <w:rPr>
          <w:rFonts w:ascii="Times" w:hAnsi="Times"/>
          <w:vertAlign w:val="subscript"/>
        </w:rPr>
        <w:t>Nd</w:t>
      </w:r>
      <w:r w:rsidR="000E13F9" w:rsidRPr="00734358">
        <w:rPr>
          <w:rFonts w:ascii="Times" w:hAnsi="Times"/>
        </w:rPr>
        <w:t xml:space="preserve"> boundary conditions: </w:t>
      </w:r>
      <w:r w:rsidR="000E13F9" w:rsidRPr="00734358">
        <w:rPr>
          <w:rFonts w:ascii="Times" w:hAnsi="Times"/>
          <w:i/>
          <w:iCs/>
        </w:rPr>
        <w:t xml:space="preserve">REF-SED3 </w:t>
      </w:r>
      <w:r w:rsidR="000E13F9" w:rsidRPr="00734358">
        <w:rPr>
          <w:rFonts w:ascii="Times" w:hAnsi="Times"/>
        </w:rPr>
        <w:t xml:space="preserve">(100-year mean from the end of the simulation), with superimposed water column measurements </w:t>
      </w:r>
      <w:r w:rsidR="000E13F9" w:rsidRPr="00734358">
        <w:rPr>
          <w:rFonts w:ascii="Times" w:hAnsi="Times"/>
          <w:lang w:eastAsia="en-GB"/>
        </w:rPr>
        <w:t xml:space="preserve">(Osborne et al., 2017, 2015; GEOTRACES Intermediate Data Product Group, 2021) from </w:t>
      </w:r>
      <w:r w:rsidR="000E13F9" w:rsidRPr="00734358">
        <w:rPr>
          <w:rFonts w:ascii="Times" w:hAnsi="Times"/>
          <w:color w:val="3A3F42"/>
          <w:lang w:eastAsia="en-GB"/>
        </w:rPr>
        <w:t xml:space="preserve">≥ </w:t>
      </w:r>
      <w:r w:rsidR="000E13F9" w:rsidRPr="00734358">
        <w:rPr>
          <w:rFonts w:ascii="Times" w:hAnsi="Times"/>
          <w:lang w:eastAsia="en-GB"/>
        </w:rPr>
        <w:t>3000 m shown by filled circles</w:t>
      </w:r>
      <w:r w:rsidR="00E31BC2">
        <w:rPr>
          <w:rFonts w:ascii="Times" w:hAnsi="Times"/>
          <w:lang w:eastAsia="en-GB"/>
        </w:rPr>
        <w:t xml:space="preserve"> on the same colour scale</w:t>
      </w:r>
      <w:r w:rsidR="000E13F9" w:rsidRPr="00734358">
        <w:rPr>
          <w:rFonts w:ascii="Times" w:hAnsi="Times"/>
          <w:lang w:eastAsia="en-GB"/>
        </w:rPr>
        <w:t xml:space="preserve">. Surrounding panels (a-f) and (h-m) display depth profiles of simulated (coloured lines for simulations: </w:t>
      </w:r>
      <w:r w:rsidR="000E13F9" w:rsidRPr="00734358">
        <w:rPr>
          <w:rFonts w:ascii="Times" w:hAnsi="Times"/>
          <w:i/>
          <w:lang w:eastAsia="en-GB"/>
        </w:rPr>
        <w:t xml:space="preserve">REF-SED3 </w:t>
      </w:r>
      <w:r w:rsidR="00E31BC2">
        <w:rPr>
          <w:rFonts w:ascii="Times" w:hAnsi="Times"/>
          <w:lang w:eastAsia="en-GB"/>
        </w:rPr>
        <w:t xml:space="preserve">in </w:t>
      </w:r>
      <w:r w:rsidR="000E13F9" w:rsidRPr="00734358">
        <w:rPr>
          <w:rFonts w:ascii="Times" w:hAnsi="Times"/>
          <w:lang w:eastAsia="en-GB"/>
        </w:rPr>
        <w:t xml:space="preserve">red, and </w:t>
      </w:r>
      <w:r w:rsidR="000E13F9" w:rsidRPr="00734358">
        <w:rPr>
          <w:rFonts w:ascii="Times" w:hAnsi="Times"/>
          <w:i/>
          <w:lang w:eastAsia="en-GB"/>
        </w:rPr>
        <w:t>REF-SED3-MG</w:t>
      </w:r>
      <w:r w:rsidR="000E13F9" w:rsidRPr="00734358">
        <w:rPr>
          <w:rFonts w:ascii="Times" w:hAnsi="Times"/>
          <w:lang w:eastAsia="en-GB"/>
        </w:rPr>
        <w:t xml:space="preserve"> </w:t>
      </w:r>
      <w:r w:rsidR="00E31BC2">
        <w:rPr>
          <w:rFonts w:ascii="Times" w:hAnsi="Times"/>
          <w:lang w:eastAsia="en-GB"/>
        </w:rPr>
        <w:t xml:space="preserve">in </w:t>
      </w:r>
      <w:r w:rsidR="000E13F9" w:rsidRPr="00734358">
        <w:rPr>
          <w:rFonts w:ascii="Times" w:hAnsi="Times"/>
          <w:lang w:eastAsia="en-GB"/>
        </w:rPr>
        <w:t>blue) and measured (</w:t>
      </w:r>
      <w:r w:rsidR="00E31BC2">
        <w:rPr>
          <w:rFonts w:ascii="Times" w:hAnsi="Times"/>
          <w:lang w:eastAsia="en-GB"/>
        </w:rPr>
        <w:t>filled</w:t>
      </w:r>
      <w:r w:rsidR="00E31BC2" w:rsidRPr="00734358">
        <w:rPr>
          <w:rFonts w:ascii="Times" w:hAnsi="Times"/>
          <w:lang w:eastAsia="en-GB"/>
        </w:rPr>
        <w:t xml:space="preserve"> </w:t>
      </w:r>
      <w:r w:rsidR="000E13F9" w:rsidRPr="00734358">
        <w:rPr>
          <w:rFonts w:ascii="Times" w:hAnsi="Times"/>
          <w:lang w:eastAsia="en-GB"/>
        </w:rPr>
        <w:t xml:space="preserve">circles) </w:t>
      </w:r>
      <w:r w:rsidR="000E13F9" w:rsidRPr="00734358">
        <w:rPr>
          <w:rFonts w:ascii="Times" w:hAnsi="Times"/>
        </w:rPr>
        <w:t>ε</w:t>
      </w:r>
      <w:r w:rsidR="000E13F9" w:rsidRPr="00734358">
        <w:rPr>
          <w:rFonts w:ascii="Times" w:hAnsi="Times"/>
          <w:vertAlign w:val="subscript"/>
        </w:rPr>
        <w:t>Nd</w:t>
      </w:r>
      <w:r w:rsidR="000E13F9" w:rsidRPr="00734358">
        <w:rPr>
          <w:rFonts w:ascii="Times" w:hAnsi="Times"/>
          <w:lang w:eastAsia="en-GB"/>
        </w:rPr>
        <w:t xml:space="preserve">. </w:t>
      </w:r>
      <w:r w:rsidR="00482FBC" w:rsidRPr="00734358">
        <w:rPr>
          <w:rFonts w:ascii="Times" w:hAnsi="Times"/>
        </w:rPr>
        <w:t>Larger shifts in the ε</w:t>
      </w:r>
      <w:r w:rsidR="00482FBC" w:rsidRPr="00734358">
        <w:rPr>
          <w:rFonts w:ascii="Times" w:hAnsi="Times"/>
          <w:vertAlign w:val="subscript"/>
        </w:rPr>
        <w:t>Nd</w:t>
      </w:r>
      <w:r w:rsidR="00482FBC" w:rsidRPr="00734358">
        <w:rPr>
          <w:rFonts w:ascii="Times" w:hAnsi="Times"/>
        </w:rPr>
        <w:t xml:space="preserve"> between the two simulations highlight regions most sensitive to a margin constrained versus a seafloor wide sediment source.</w:t>
      </w:r>
    </w:p>
    <w:p w14:paraId="6EE77B03" w14:textId="714C7A81" w:rsidR="00D400F4" w:rsidRDefault="00734358" w:rsidP="00D400F4">
      <w:pPr>
        <w:pStyle w:val="Caption"/>
        <w:rPr>
          <w:rFonts w:ascii="Times" w:hAnsi="Times" w:cstheme="minorHAnsi"/>
        </w:rPr>
      </w:pPr>
      <w:r>
        <w:t>F</w:t>
      </w:r>
      <w:r w:rsidRPr="00A122C5">
        <w:t>igure S</w:t>
      </w:r>
      <w:r>
        <w:t>1</w:t>
      </w:r>
      <w:r w:rsidR="00965514">
        <w:t>1</w:t>
      </w:r>
      <w:r w:rsidRPr="00A122C5">
        <w:t>: Difference between ε</w:t>
      </w:r>
      <w:r w:rsidRPr="00A122C5">
        <w:rPr>
          <w:vertAlign w:val="subscript"/>
        </w:rPr>
        <w:t xml:space="preserve">Nd </w:t>
      </w:r>
      <w:r w:rsidRPr="00A122C5">
        <w:t xml:space="preserve">simulated in </w:t>
      </w:r>
      <w:r w:rsidRPr="00A122C5">
        <w:rPr>
          <w:i/>
          <w:iCs/>
        </w:rPr>
        <w:t>REF</w:t>
      </w:r>
      <w:r>
        <w:rPr>
          <w:i/>
          <w:iCs/>
        </w:rPr>
        <w:t>-SED3</w:t>
      </w:r>
      <w:r w:rsidRPr="00A122C5">
        <w:t xml:space="preserve"> (</w:t>
      </w:r>
      <w:r>
        <w:t xml:space="preserve">with a </w:t>
      </w:r>
      <w:r w:rsidRPr="009F1CB3">
        <w:rPr>
          <w:i/>
          <w:iCs/>
        </w:rPr>
        <w:t>seafloor-wide</w:t>
      </w:r>
      <w:r>
        <w:t xml:space="preserve"> benthic flux) and </w:t>
      </w:r>
      <w:r w:rsidRPr="00A122C5">
        <w:rPr>
          <w:i/>
          <w:iCs/>
        </w:rPr>
        <w:t>REF-SED</w:t>
      </w:r>
      <w:r>
        <w:rPr>
          <w:i/>
          <w:iCs/>
        </w:rPr>
        <w:t>3-MG</w:t>
      </w:r>
      <w:r>
        <w:t xml:space="preserve"> (with a </w:t>
      </w:r>
      <w:r w:rsidRPr="009F1CB3">
        <w:rPr>
          <w:i/>
          <w:iCs/>
        </w:rPr>
        <w:t>margin-only</w:t>
      </w:r>
      <w:r>
        <w:t xml:space="preserve"> constrained benthic flux) </w:t>
      </w:r>
      <w:r w:rsidRPr="009F1CB3">
        <w:rPr>
          <w:rFonts w:ascii="Times" w:hAnsi="Times"/>
        </w:rPr>
        <w:t>using the optimised seafloor-wide benthic flux simulation with updated mobile sediment ε</w:t>
      </w:r>
      <w:r w:rsidRPr="009F1CB3">
        <w:rPr>
          <w:rFonts w:ascii="Times" w:hAnsi="Times"/>
          <w:vertAlign w:val="subscript"/>
        </w:rPr>
        <w:t>Nd</w:t>
      </w:r>
      <w:r w:rsidRPr="009F1CB3">
        <w:rPr>
          <w:rFonts w:ascii="Times" w:hAnsi="Times"/>
        </w:rPr>
        <w:t xml:space="preserve"> boundary conditions (Sect. 5, main text)</w:t>
      </w:r>
      <w:r w:rsidR="008A10DF">
        <w:rPr>
          <w:rFonts w:ascii="Times" w:hAnsi="Times"/>
        </w:rPr>
        <w:t xml:space="preserve">: </w:t>
      </w:r>
      <w:r w:rsidR="008A10DF">
        <w:rPr>
          <w:rFonts w:ascii="Times" w:hAnsi="Times"/>
          <w:i/>
        </w:rPr>
        <w:t>REF</w:t>
      </w:r>
      <w:r w:rsidR="00132871">
        <w:rPr>
          <w:rFonts w:ascii="Times" w:hAnsi="Times"/>
          <w:i/>
        </w:rPr>
        <w:t>-SED3</w:t>
      </w:r>
      <w:r w:rsidR="008A10DF">
        <w:rPr>
          <w:rFonts w:ascii="Times" w:hAnsi="Times"/>
          <w:i/>
        </w:rPr>
        <w:t xml:space="preserve"> </w:t>
      </w:r>
      <w:r w:rsidR="008A10DF">
        <w:rPr>
          <w:rFonts w:ascii="Times" w:hAnsi="Times"/>
        </w:rPr>
        <w:t xml:space="preserve">minus </w:t>
      </w:r>
      <w:r w:rsidR="008A10DF">
        <w:rPr>
          <w:rFonts w:ascii="Times" w:hAnsi="Times"/>
          <w:i/>
        </w:rPr>
        <w:t>REF-SED3</w:t>
      </w:r>
      <w:r w:rsidR="00132871">
        <w:rPr>
          <w:rFonts w:ascii="Times" w:hAnsi="Times"/>
          <w:i/>
        </w:rPr>
        <w:t>-MG</w:t>
      </w:r>
      <w:r w:rsidRPr="009F1CB3">
        <w:rPr>
          <w:rFonts w:ascii="Times" w:hAnsi="Times"/>
        </w:rPr>
        <w:t xml:space="preserve">. </w:t>
      </w:r>
      <w:r w:rsidR="00C82F4B">
        <w:rPr>
          <w:rFonts w:ascii="Times" w:hAnsi="Times" w:cstheme="minorHAnsi"/>
        </w:rPr>
        <w:t xml:space="preserve">Note the vertical gradients for the Pacific and Southern Ocean </w:t>
      </w:r>
      <w:r w:rsidR="006046BA">
        <w:rPr>
          <w:rFonts w:ascii="Times" w:hAnsi="Times" w:cstheme="minorHAnsi"/>
        </w:rPr>
        <w:t>compared to the w</w:t>
      </w:r>
      <w:r w:rsidR="00B15BD0">
        <w:rPr>
          <w:rFonts w:ascii="Times" w:hAnsi="Times" w:cstheme="minorHAnsi"/>
        </w:rPr>
        <w:t>eake</w:t>
      </w:r>
      <w:r w:rsidR="000C6E77">
        <w:rPr>
          <w:rFonts w:ascii="Times" w:hAnsi="Times" w:cstheme="minorHAnsi"/>
        </w:rPr>
        <w:t>r response</w:t>
      </w:r>
      <w:r w:rsidR="00B15BD0">
        <w:rPr>
          <w:rFonts w:ascii="Times" w:hAnsi="Times" w:cstheme="minorHAnsi"/>
        </w:rPr>
        <w:t xml:space="preserve"> in the Atlantic. </w:t>
      </w:r>
    </w:p>
    <w:p w14:paraId="736EDF5F" w14:textId="6752CF4C" w:rsidR="00734358" w:rsidRPr="00D400F4" w:rsidRDefault="00734358" w:rsidP="00D400F4">
      <w:pPr>
        <w:pStyle w:val="Caption"/>
        <w:rPr>
          <w:rFonts w:ascii="Times" w:hAnsi="Times" w:cstheme="minorHAnsi"/>
        </w:rPr>
      </w:pPr>
      <w:r w:rsidRPr="00734358">
        <w:lastRenderedPageBreak/>
        <w:t xml:space="preserve">References </w:t>
      </w:r>
    </w:p>
    <w:p w14:paraId="07F66A93" w14:textId="0035BC03" w:rsidR="008565CB" w:rsidRPr="008565CB" w:rsidRDefault="0065012F" w:rsidP="008565CB">
      <w:pPr>
        <w:widowControl w:val="0"/>
        <w:autoSpaceDE w:val="0"/>
        <w:autoSpaceDN w:val="0"/>
        <w:adjustRightInd w:val="0"/>
        <w:spacing w:after="120" w:line="240" w:lineRule="auto"/>
        <w:rPr>
          <w:noProof/>
          <w:sz w:val="18"/>
        </w:rPr>
      </w:pPr>
      <w:r>
        <w:rPr>
          <w:sz w:val="18"/>
          <w:szCs w:val="18"/>
        </w:rPr>
        <w:fldChar w:fldCharType="begin" w:fldLock="1"/>
      </w:r>
      <w:r>
        <w:rPr>
          <w:sz w:val="18"/>
          <w:szCs w:val="18"/>
        </w:rPr>
        <w:instrText xml:space="preserve">ADDIN Mendeley Bibliography CSL_BIBLIOGRAPHY </w:instrText>
      </w:r>
      <w:r>
        <w:rPr>
          <w:sz w:val="18"/>
          <w:szCs w:val="18"/>
        </w:rPr>
        <w:fldChar w:fldCharType="separate"/>
      </w:r>
      <w:r w:rsidR="008565CB" w:rsidRPr="008565CB">
        <w:rPr>
          <w:noProof/>
          <w:sz w:val="18"/>
        </w:rPr>
        <w:t>Abbott, A. N., Haley, B. A., and McManus, J.: Bottoms up: Sedimentary control of the deep North Pacific Ocean’s εNd signature, Geology, 43, 1035–1038, https://doi.org/10.1130/G37114.1, 2015a.</w:t>
      </w:r>
    </w:p>
    <w:p w14:paraId="13634247"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Abbott, A. N., Haley, B. A., McManus, J., and Reimers, C. E.: The sedimentary flux of dissolved rare earth elements to the ocean, Geochim. Cosmochim. Acta, 154, 186–200, https://doi.org/10.1016/j.gca.2015.01.010, 2015b.</w:t>
      </w:r>
    </w:p>
    <w:p w14:paraId="61F24C19"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Behrens, M. K., Pahnke, K., Schnetger, B., and Brumsack, H. J.: Sources and processes affecting the distribution of dissolved Nd isotopes and concentrations in the West Pacific, Geochim. Cosmochim. Acta, 222, 508–534, https://doi.org/10.1016/j.gca.2017.11.008, 2018.</w:t>
      </w:r>
    </w:p>
    <w:p w14:paraId="275E3EAA"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Blaser, P., Pöppelmeier, F., Schulz, H., Gutjahr, M., Frank, M., Lippold, J., Heinrich, H., Link, J. M., Hoffmann, J., Szidat, S., and Frank, N.: The resilience and sensitivity of Northeast Atlantic deep water εNd to overprinting by detrital fluxes over the past 30,000 years, Geochim. Cosmochim. Acta, 245, 79–97, https://doi.org/10.1016/j.gca.2018.10.018, 2019.</w:t>
      </w:r>
    </w:p>
    <w:p w14:paraId="6596C298"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Blaser, P., Gutjahr, M., Pöppelmeier, F., Frank, M., Kaboth-Bahr, S., and Lippold, J.: Labrador Sea bottom water provenance and REE exchange during the past 35,000 years, Earth Planet. Sci. Lett., 542, 116299, https://doi.org/10.1016/j.epsl.2020.116299, 2020.</w:t>
      </w:r>
    </w:p>
    <w:p w14:paraId="63B41BF4"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Du, J., Haley, B. A., and Mix, A. C.: Neodymium isotopes in authigenic phases, bottom waters and detrital sediments in the Gulf of Alaska and their implications for paleo-circulation reconstruction, Geochim. Cosmochim. Acta, 193, 14–35, https://doi.org/10.1016/j.gca.2016.08.005, 2016.</w:t>
      </w:r>
    </w:p>
    <w:p w14:paraId="0FA15E93"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Fuhr, M., Laukert, G., Yu, Y., Nürnberg, D., and Frank, M.: Tracing Water Mass Mixing From the Equatorial to the North Pacific Ocean With Dissolved Neodymium Isotopes and Concentrations, Front. Mar. Sci., 7, 1261, https://doi.org/10.3389/fmars.2020.603761, 2021.</w:t>
      </w:r>
    </w:p>
    <w:p w14:paraId="3CB5D557"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Grasse, P., Stichel, T., Stumpf, R., Stramma, L., and Frank, M.: The distribution of neodymium isotopes and concentrations in the Eastern Equatorial Pacific: Water mass advection versus particle exchange, Earth Planet. Sci. Lett., 353–354, 198–207, https://doi.org/10.1016/j.epsl.2012.07.044, 2012.</w:t>
      </w:r>
    </w:p>
    <w:p w14:paraId="26C63D54"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Grenier, M., Jeandel, C., Lacan, F., Vance, D., Venchiarutti, C., Cros, A., and Cravatte, S.: From the subtropics to the central equatorial Pacific Ocean: Neodymium isotopic composition and rare earth element concentration variations, J. Geophys. Res. Ocean., 118, 592–618, https://doi.org/10.1029/2012JC008239, 2013.</w:t>
      </w:r>
    </w:p>
    <w:p w14:paraId="1E2B8760"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Hu, R. and Piotrowski, A. M.: Neodymium isotope evidence for glacial-interglacial variability of deepwater transit time in the Pacific Ocean, Nat. Commun., 9, 1–12, https://doi.org/10.1038/s41467-018-07079-z, 2018.</w:t>
      </w:r>
    </w:p>
    <w:p w14:paraId="06F528C6"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Jones, K. M., Khatiwala, S. P., Goldstein, S. L., Hemming, S. R., and van de Flierdt, T.: Modeling the distribution of Nd isotopes in the oceans using an ocean general circulation model, Earth Planet. Sci. Lett., 272, 610–619, https://doi.org/10.1016/j.epsl.2008.05.027, 2008.</w:t>
      </w:r>
    </w:p>
    <w:p w14:paraId="0629DE91"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Lacan, F. and Jeandel, C.: Tracing Papua New Guinea imprint on the central Equatorial Pacific Ocean using neodymium isotopic compositions and rare earth element patterns, Earth Planet. Sci. Lett., 186, 497–512, https://doi.org/10.1016/S0012-821X(01)00263-1, 2001.</w:t>
      </w:r>
    </w:p>
    <w:p w14:paraId="0F4C21B8"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Lacan, F. and Jeandel, C.: Acquisition of the neodymium isotopic composition of the North Atlantic Deep Water, Geochemistry, Geophys. Geosystems, 6, https://doi.org/10.1029/2005GC000956, 2005a.</w:t>
      </w:r>
    </w:p>
    <w:p w14:paraId="76B6366E"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Lacan, F. and Jeandel, C.: Neodymium isotopes as a new tool for quantifying exchange fluxes at the continent-ocean interface, Earth Planet. Sci. Lett., 232, 245–257, https://doi.org/10.1016/j.epsl.2005.01.004, 2005b.</w:t>
      </w:r>
    </w:p>
    <w:p w14:paraId="475308B4"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Molina-Kescher, M., Hathorne, E. C., Osborne, A. H., Behrens, M. K., Kölling, M., Pahnke, K., and Frank, M.: The influence of basaltic islands on the oceanic REE distribution: A case study from the Tropical South Pacific, Front. Mar. Sci., 5, 50, https://doi.org/10.3389/fmars.2018.00050, 2018.</w:t>
      </w:r>
    </w:p>
    <w:p w14:paraId="5781CD36"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Pasquier, B., Hines, S. K. V, Liang, H., Wu, Y., and John, S. G.: GNOM v1 . 0 : An optimized steady-state model of the modern marine neodymium cycle, Geosci. Model Dev., 147, 2021.</w:t>
      </w:r>
    </w:p>
    <w:p w14:paraId="29AA7912"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Robinson, S., Ivanovic, R., van de Flierdt, T., Blanchet, C. L., Tachikawa, K., Martin, E. E., Cook, C. P., Williams, T., Gregoire, L., Plancherel, Y., Jeandel, C., and Arsouze, T.: Global continental and marine detrital εNd: An updated compilation for use in understanding marine Nd cycling, Chem. Geol., 567, 120119, https://doi.org/10.1016/j.chemgeo.2021.120119, 2021.</w:t>
      </w:r>
    </w:p>
    <w:p w14:paraId="0BF362F6"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Tachikawa, K., Athias, V., and Jeandel, C.: Neodymium budget in the modern ocean and paleo-oceanographic implications, J. Geophys. Res., 108, 3254, https://doi.org/10.1029/1999JC000285, 2003.</w:t>
      </w:r>
    </w:p>
    <w:p w14:paraId="13282C6B"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Tachikawa, K., Arsouze, T., Bayon, G., Bory, A., Colin, C., Dutay, J. C., Frank, N., Giraud, X., Gourlan, A. T., Jeandel, C., Lacan, F., Meynadier, L., Montagna, P., Piotrowski, A. M., Plancherel, Y., Pucéat, E., Roy-Barman, M., and Waelbroeck, C.: The large-scale evolution of neodymium isotopic composition in the global modern and Holocene ocean revealed from seawater and archive data, Chem. Geol., 457, 131–148, https://doi.org/10.1016/j.chemgeo.2017.03.018, 2017.</w:t>
      </w:r>
    </w:p>
    <w:p w14:paraId="073CCF6E" w14:textId="77777777" w:rsidR="008565CB" w:rsidRPr="008565CB" w:rsidRDefault="008565CB" w:rsidP="008565CB">
      <w:pPr>
        <w:widowControl w:val="0"/>
        <w:autoSpaceDE w:val="0"/>
        <w:autoSpaceDN w:val="0"/>
        <w:adjustRightInd w:val="0"/>
        <w:spacing w:after="120" w:line="240" w:lineRule="auto"/>
        <w:rPr>
          <w:noProof/>
          <w:sz w:val="18"/>
        </w:rPr>
      </w:pPr>
      <w:r w:rsidRPr="008565CB">
        <w:rPr>
          <w:noProof/>
          <w:sz w:val="18"/>
        </w:rPr>
        <w:t>Wilson, D. J., Piotrowski, A. M., Galy, A., and Clegg, J. A.: Reactivity of neodymium carriers in deep sea sediments: Implications for boundary exchange and paleoceanography, Geochim. Cosmochim. Acta, 109, 197–221, https://doi.org/10.1016/j.gca.2013.01.042, 2013.</w:t>
      </w:r>
    </w:p>
    <w:p w14:paraId="59EC5382" w14:textId="42EE582C" w:rsidR="00553AA4" w:rsidRPr="00734358" w:rsidRDefault="0065012F" w:rsidP="008565CB">
      <w:pPr>
        <w:widowControl w:val="0"/>
        <w:autoSpaceDE w:val="0"/>
        <w:autoSpaceDN w:val="0"/>
        <w:adjustRightInd w:val="0"/>
        <w:spacing w:after="120" w:line="240" w:lineRule="auto"/>
        <w:rPr>
          <w:sz w:val="18"/>
          <w:szCs w:val="18"/>
        </w:rPr>
      </w:pPr>
      <w:r>
        <w:rPr>
          <w:sz w:val="18"/>
          <w:szCs w:val="18"/>
        </w:rPr>
        <w:lastRenderedPageBreak/>
        <w:fldChar w:fldCharType="end"/>
      </w:r>
    </w:p>
    <w:sectPr w:rsidR="00553AA4" w:rsidRPr="00734358" w:rsidSect="00C026E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7A085" w14:textId="77777777" w:rsidR="005C0EAA" w:rsidRDefault="005C0EAA" w:rsidP="0065012F">
      <w:pPr>
        <w:spacing w:line="240" w:lineRule="auto"/>
      </w:pPr>
      <w:r>
        <w:separator/>
      </w:r>
    </w:p>
  </w:endnote>
  <w:endnote w:type="continuationSeparator" w:id="0">
    <w:p w14:paraId="6AC6B7F2" w14:textId="77777777" w:rsidR="005C0EAA" w:rsidRDefault="005C0EAA" w:rsidP="0065012F">
      <w:pPr>
        <w:spacing w:line="240" w:lineRule="auto"/>
      </w:pPr>
      <w:r>
        <w:continuationSeparator/>
      </w:r>
    </w:p>
  </w:endnote>
  <w:endnote w:type="continuationNotice" w:id="1">
    <w:p w14:paraId="5C3EC0F6" w14:textId="77777777" w:rsidR="005C0EAA" w:rsidRDefault="005C0EA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Times">
    <w:panose1 w:val="00000500000000020000"/>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NewRomanPS">
    <w:altName w:val="Times New Roman"/>
    <w:panose1 w:val="020B06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93516" w14:textId="77777777" w:rsidR="005C0EAA" w:rsidRDefault="005C0EAA" w:rsidP="0065012F">
      <w:pPr>
        <w:spacing w:line="240" w:lineRule="auto"/>
      </w:pPr>
      <w:r>
        <w:separator/>
      </w:r>
    </w:p>
  </w:footnote>
  <w:footnote w:type="continuationSeparator" w:id="0">
    <w:p w14:paraId="10B86CAE" w14:textId="77777777" w:rsidR="005C0EAA" w:rsidRDefault="005C0EAA" w:rsidP="0065012F">
      <w:pPr>
        <w:spacing w:line="240" w:lineRule="auto"/>
      </w:pPr>
      <w:r>
        <w:continuationSeparator/>
      </w:r>
    </w:p>
  </w:footnote>
  <w:footnote w:type="continuationNotice" w:id="1">
    <w:p w14:paraId="15B1310B" w14:textId="77777777" w:rsidR="005C0EAA" w:rsidRDefault="005C0EAA">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081466D"/>
    <w:multiLevelType w:val="hybridMultilevel"/>
    <w:tmpl w:val="E3CA5904"/>
    <w:lvl w:ilvl="0" w:tplc="24BC86A4">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21606848">
    <w:abstractNumId w:val="2"/>
  </w:num>
  <w:num w:numId="2" w16cid:durableId="1389303801">
    <w:abstractNumId w:val="0"/>
  </w:num>
  <w:num w:numId="3" w16cid:durableId="7712483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6A18"/>
    <w:rsid w:val="00000D48"/>
    <w:rsid w:val="0000510E"/>
    <w:rsid w:val="000148A5"/>
    <w:rsid w:val="000334A0"/>
    <w:rsid w:val="00035ADF"/>
    <w:rsid w:val="00082D1F"/>
    <w:rsid w:val="0008753C"/>
    <w:rsid w:val="0009509B"/>
    <w:rsid w:val="000B49F5"/>
    <w:rsid w:val="000B5641"/>
    <w:rsid w:val="000C6E77"/>
    <w:rsid w:val="000E10B0"/>
    <w:rsid w:val="000E13F9"/>
    <w:rsid w:val="00132871"/>
    <w:rsid w:val="00132DBB"/>
    <w:rsid w:val="001404D9"/>
    <w:rsid w:val="00165743"/>
    <w:rsid w:val="001E211A"/>
    <w:rsid w:val="001E31F2"/>
    <w:rsid w:val="00216F55"/>
    <w:rsid w:val="0029523F"/>
    <w:rsid w:val="002B7AB7"/>
    <w:rsid w:val="002E1B4D"/>
    <w:rsid w:val="002E5E45"/>
    <w:rsid w:val="00302823"/>
    <w:rsid w:val="00302F38"/>
    <w:rsid w:val="00306676"/>
    <w:rsid w:val="00345C31"/>
    <w:rsid w:val="00376701"/>
    <w:rsid w:val="003A1E09"/>
    <w:rsid w:val="003D3C9D"/>
    <w:rsid w:val="004008E7"/>
    <w:rsid w:val="00420005"/>
    <w:rsid w:val="00445307"/>
    <w:rsid w:val="0045174B"/>
    <w:rsid w:val="00462D07"/>
    <w:rsid w:val="00482A6D"/>
    <w:rsid w:val="00482FBC"/>
    <w:rsid w:val="00495167"/>
    <w:rsid w:val="004B3EBD"/>
    <w:rsid w:val="004B74A5"/>
    <w:rsid w:val="004E21AC"/>
    <w:rsid w:val="00501BC7"/>
    <w:rsid w:val="005131FD"/>
    <w:rsid w:val="00541184"/>
    <w:rsid w:val="0054334E"/>
    <w:rsid w:val="00553AA4"/>
    <w:rsid w:val="0056674B"/>
    <w:rsid w:val="0057779B"/>
    <w:rsid w:val="0058716F"/>
    <w:rsid w:val="005C0EAA"/>
    <w:rsid w:val="005C1B7A"/>
    <w:rsid w:val="005C571D"/>
    <w:rsid w:val="005C6A18"/>
    <w:rsid w:val="005E26D1"/>
    <w:rsid w:val="005E522D"/>
    <w:rsid w:val="006046BA"/>
    <w:rsid w:val="0060559E"/>
    <w:rsid w:val="00612159"/>
    <w:rsid w:val="0062591E"/>
    <w:rsid w:val="0065012F"/>
    <w:rsid w:val="00650BA8"/>
    <w:rsid w:val="0065490A"/>
    <w:rsid w:val="0065532B"/>
    <w:rsid w:val="00672FCF"/>
    <w:rsid w:val="00681C9D"/>
    <w:rsid w:val="00685AD6"/>
    <w:rsid w:val="006C1EB5"/>
    <w:rsid w:val="006F4131"/>
    <w:rsid w:val="00731538"/>
    <w:rsid w:val="00734358"/>
    <w:rsid w:val="00751FBE"/>
    <w:rsid w:val="00756872"/>
    <w:rsid w:val="00757457"/>
    <w:rsid w:val="0076037C"/>
    <w:rsid w:val="00786BF4"/>
    <w:rsid w:val="007D3669"/>
    <w:rsid w:val="007D4FEE"/>
    <w:rsid w:val="007E07E8"/>
    <w:rsid w:val="007E32D3"/>
    <w:rsid w:val="007F25E2"/>
    <w:rsid w:val="00854A68"/>
    <w:rsid w:val="008565CB"/>
    <w:rsid w:val="00885E00"/>
    <w:rsid w:val="008A10DF"/>
    <w:rsid w:val="008A2BDA"/>
    <w:rsid w:val="008C3E23"/>
    <w:rsid w:val="008C4D42"/>
    <w:rsid w:val="008F6750"/>
    <w:rsid w:val="009033AE"/>
    <w:rsid w:val="009042E5"/>
    <w:rsid w:val="00934C7A"/>
    <w:rsid w:val="00941027"/>
    <w:rsid w:val="00965514"/>
    <w:rsid w:val="00970469"/>
    <w:rsid w:val="00980F1A"/>
    <w:rsid w:val="00985AD4"/>
    <w:rsid w:val="009867A8"/>
    <w:rsid w:val="009B639B"/>
    <w:rsid w:val="009C2130"/>
    <w:rsid w:val="009F18AA"/>
    <w:rsid w:val="009F1CB3"/>
    <w:rsid w:val="00A122C5"/>
    <w:rsid w:val="00A164F0"/>
    <w:rsid w:val="00A344BC"/>
    <w:rsid w:val="00A77939"/>
    <w:rsid w:val="00A8074F"/>
    <w:rsid w:val="00A94429"/>
    <w:rsid w:val="00AB196B"/>
    <w:rsid w:val="00AE4F98"/>
    <w:rsid w:val="00B10188"/>
    <w:rsid w:val="00B15BD0"/>
    <w:rsid w:val="00B22A10"/>
    <w:rsid w:val="00B24CF5"/>
    <w:rsid w:val="00B26166"/>
    <w:rsid w:val="00B31A31"/>
    <w:rsid w:val="00B36D89"/>
    <w:rsid w:val="00B558D0"/>
    <w:rsid w:val="00BC6FC8"/>
    <w:rsid w:val="00BE5A6B"/>
    <w:rsid w:val="00C026E5"/>
    <w:rsid w:val="00C035BE"/>
    <w:rsid w:val="00C076C7"/>
    <w:rsid w:val="00C10A0F"/>
    <w:rsid w:val="00C660EE"/>
    <w:rsid w:val="00C82F4B"/>
    <w:rsid w:val="00C8654E"/>
    <w:rsid w:val="00CA4792"/>
    <w:rsid w:val="00CC4ED3"/>
    <w:rsid w:val="00CC59D2"/>
    <w:rsid w:val="00CD76B0"/>
    <w:rsid w:val="00CE505C"/>
    <w:rsid w:val="00CE6027"/>
    <w:rsid w:val="00D222DB"/>
    <w:rsid w:val="00D400F4"/>
    <w:rsid w:val="00D427D0"/>
    <w:rsid w:val="00D443CC"/>
    <w:rsid w:val="00D530B0"/>
    <w:rsid w:val="00D55A99"/>
    <w:rsid w:val="00D6172B"/>
    <w:rsid w:val="00DA703A"/>
    <w:rsid w:val="00DD500E"/>
    <w:rsid w:val="00DD7D66"/>
    <w:rsid w:val="00DF5688"/>
    <w:rsid w:val="00E05E66"/>
    <w:rsid w:val="00E21244"/>
    <w:rsid w:val="00E22454"/>
    <w:rsid w:val="00E23947"/>
    <w:rsid w:val="00E23E8D"/>
    <w:rsid w:val="00E31BC2"/>
    <w:rsid w:val="00E325E9"/>
    <w:rsid w:val="00E43094"/>
    <w:rsid w:val="00E66196"/>
    <w:rsid w:val="00E742E8"/>
    <w:rsid w:val="00EB6271"/>
    <w:rsid w:val="00EB70AB"/>
    <w:rsid w:val="00EC507D"/>
    <w:rsid w:val="00EC6DB4"/>
    <w:rsid w:val="00F2463F"/>
    <w:rsid w:val="00F32B27"/>
    <w:rsid w:val="00F372DC"/>
    <w:rsid w:val="00F3757A"/>
    <w:rsid w:val="00F61F69"/>
    <w:rsid w:val="00F817E3"/>
    <w:rsid w:val="00F916FF"/>
    <w:rsid w:val="00FA2F90"/>
    <w:rsid w:val="00FA4026"/>
    <w:rsid w:val="00FB2DC0"/>
    <w:rsid w:val="00FB358F"/>
    <w:rsid w:val="00FD21AA"/>
    <w:rsid w:val="00FD23F2"/>
    <w:rsid w:val="00FE5212"/>
    <w:rsid w:val="00FF1C49"/>
    <w:rsid w:val="00FF20C5"/>
    <w:rsid w:val="00FF55B2"/>
    <w:rsid w:val="00FF581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6E934A"/>
  <w15:chartTrackingRefBased/>
  <w15:docId w15:val="{6556B7DF-4D7D-B441-8529-3970A4230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6A18"/>
    <w:pPr>
      <w:spacing w:line="360" w:lineRule="auto"/>
      <w:jc w:val="both"/>
    </w:pPr>
    <w:rPr>
      <w:rFonts w:ascii="Times New Roman" w:eastAsia="Times New Roman" w:hAnsi="Times New Roman" w:cs="Times New Roman"/>
      <w:sz w:val="20"/>
      <w:lang w:eastAsia="de-DE"/>
    </w:rPr>
  </w:style>
  <w:style w:type="paragraph" w:styleId="Heading1">
    <w:name w:val="heading 1"/>
    <w:basedOn w:val="Normal"/>
    <w:next w:val="Normal"/>
    <w:link w:val="Heading1Char"/>
    <w:qFormat/>
    <w:rsid w:val="005C6A1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5C6A18"/>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C6A18"/>
    <w:pPr>
      <w:keepNext/>
      <w:spacing w:before="240" w:after="240" w:line="240" w:lineRule="auto"/>
      <w:outlineLvl w:val="2"/>
    </w:pPr>
    <w:rPr>
      <w:rFonts w:cs="Arial"/>
      <w:b/>
      <w:bCs/>
      <w:szCs w:val="26"/>
    </w:rPr>
  </w:style>
  <w:style w:type="paragraph" w:styleId="Heading4">
    <w:name w:val="heading 4"/>
    <w:basedOn w:val="Normal"/>
    <w:next w:val="Normal"/>
    <w:link w:val="Heading4Char"/>
    <w:rsid w:val="005C6A18"/>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C6A18"/>
    <w:rPr>
      <w:rFonts w:ascii="Times New Roman" w:eastAsia="Times New Roman" w:hAnsi="Times New Roman" w:cs="Arial"/>
      <w:b/>
      <w:bCs/>
      <w:color w:val="000000"/>
      <w:kern w:val="32"/>
      <w:sz w:val="20"/>
      <w:szCs w:val="32"/>
      <w:lang w:eastAsia="de-DE"/>
    </w:rPr>
  </w:style>
  <w:style w:type="character" w:customStyle="1" w:styleId="Heading2Char">
    <w:name w:val="Heading 2 Char"/>
    <w:basedOn w:val="DefaultParagraphFont"/>
    <w:link w:val="Heading2"/>
    <w:rsid w:val="005C6A18"/>
    <w:rPr>
      <w:rFonts w:ascii="Times New Roman" w:eastAsia="Times New Roman" w:hAnsi="Times New Roman" w:cs="Arial"/>
      <w:b/>
      <w:bCs/>
      <w:iCs/>
      <w:sz w:val="20"/>
      <w:szCs w:val="28"/>
      <w:lang w:eastAsia="de-DE"/>
    </w:rPr>
  </w:style>
  <w:style w:type="character" w:customStyle="1" w:styleId="Heading3Char">
    <w:name w:val="Heading 3 Char"/>
    <w:basedOn w:val="DefaultParagraphFont"/>
    <w:link w:val="Heading3"/>
    <w:rsid w:val="005C6A18"/>
    <w:rPr>
      <w:rFonts w:ascii="Times New Roman" w:eastAsia="Times New Roman" w:hAnsi="Times New Roman" w:cs="Arial"/>
      <w:b/>
      <w:bCs/>
      <w:sz w:val="20"/>
      <w:szCs w:val="26"/>
      <w:lang w:eastAsia="de-DE"/>
    </w:rPr>
  </w:style>
  <w:style w:type="character" w:customStyle="1" w:styleId="Heading4Char">
    <w:name w:val="Heading 4 Char"/>
    <w:basedOn w:val="DefaultParagraphFont"/>
    <w:link w:val="Heading4"/>
    <w:rsid w:val="005C6A18"/>
    <w:rPr>
      <w:rFonts w:ascii="Times New Roman" w:eastAsia="Times New Roman" w:hAnsi="Times New Roman" w:cs="Times New Roman"/>
      <w:b/>
      <w:bCs/>
      <w:sz w:val="20"/>
      <w:szCs w:val="28"/>
      <w:lang w:eastAsia="de-DE"/>
    </w:rPr>
  </w:style>
  <w:style w:type="paragraph" w:customStyle="1" w:styleId="Betreff">
    <w:name w:val="Betreff"/>
    <w:basedOn w:val="Normal"/>
    <w:next w:val="Normal"/>
    <w:rsid w:val="005C6A18"/>
    <w:rPr>
      <w:b/>
    </w:rPr>
  </w:style>
  <w:style w:type="paragraph" w:customStyle="1" w:styleId="Bullets">
    <w:name w:val="Bullets"/>
    <w:basedOn w:val="Normal"/>
    <w:link w:val="BulletsChar"/>
    <w:rsid w:val="005C6A18"/>
    <w:pPr>
      <w:numPr>
        <w:numId w:val="1"/>
      </w:numPr>
    </w:pPr>
  </w:style>
  <w:style w:type="character" w:customStyle="1" w:styleId="BulletsChar">
    <w:name w:val="Bullets Char"/>
    <w:link w:val="Bullets"/>
    <w:rsid w:val="005C6A18"/>
    <w:rPr>
      <w:rFonts w:ascii="Times New Roman" w:eastAsia="Times New Roman" w:hAnsi="Times New Roman" w:cs="Times New Roman"/>
      <w:sz w:val="20"/>
      <w:lang w:eastAsia="de-DE"/>
    </w:rPr>
  </w:style>
  <w:style w:type="table" w:customStyle="1" w:styleId="Copernicus">
    <w:name w:val="Copernicus"/>
    <w:basedOn w:val="TableNormal"/>
    <w:rsid w:val="005C6A18"/>
    <w:rPr>
      <w:rFonts w:ascii="Verdana" w:eastAsia="Times New Roman" w:hAnsi="Verdana" w:cs="Times New Roman"/>
      <w:sz w:val="19"/>
      <w:szCs w:val="20"/>
      <w:lang w:eastAsia="en-GB"/>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5C6A18"/>
    <w:pPr>
      <w:tabs>
        <w:tab w:val="center" w:pos="4536"/>
        <w:tab w:val="right" w:pos="9072"/>
      </w:tabs>
    </w:pPr>
  </w:style>
  <w:style w:type="character" w:customStyle="1" w:styleId="HeaderChar">
    <w:name w:val="Header Char"/>
    <w:basedOn w:val="DefaultParagraphFont"/>
    <w:link w:val="Header"/>
    <w:rsid w:val="005C6A18"/>
    <w:rPr>
      <w:rFonts w:ascii="Times New Roman" w:eastAsia="Times New Roman" w:hAnsi="Times New Roman" w:cs="Times New Roman"/>
      <w:sz w:val="20"/>
      <w:lang w:eastAsia="de-DE"/>
    </w:rPr>
  </w:style>
  <w:style w:type="character" w:styleId="Hyperlink">
    <w:name w:val="Hyperlink"/>
    <w:rsid w:val="005C6A18"/>
    <w:rPr>
      <w:color w:val="0000FF"/>
      <w:u w:val="single"/>
    </w:rPr>
  </w:style>
  <w:style w:type="paragraph" w:customStyle="1" w:styleId="Kontakt">
    <w:name w:val="Kontakt"/>
    <w:basedOn w:val="Normal"/>
    <w:rsid w:val="005C6A18"/>
    <w:pPr>
      <w:spacing w:line="160" w:lineRule="exact"/>
    </w:pPr>
    <w:rPr>
      <w:color w:val="808080"/>
      <w:sz w:val="13"/>
    </w:rPr>
  </w:style>
  <w:style w:type="paragraph" w:customStyle="1" w:styleId="Name">
    <w:name w:val="Name"/>
    <w:basedOn w:val="Normal"/>
    <w:rsid w:val="005C6A18"/>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5C6A18"/>
  </w:style>
  <w:style w:type="character" w:customStyle="1" w:styleId="CopernicusWordtemplateChar">
    <w:name w:val="Copernicus_Word_template Char"/>
    <w:basedOn w:val="DefaultParagraphFont"/>
    <w:link w:val="CopernicusWordtemplate"/>
    <w:rsid w:val="005C6A18"/>
    <w:rPr>
      <w:rFonts w:ascii="Times New Roman" w:eastAsia="Times New Roman" w:hAnsi="Times New Roman" w:cs="Times New Roman"/>
      <w:sz w:val="20"/>
      <w:lang w:eastAsia="de-DE"/>
    </w:rPr>
  </w:style>
  <w:style w:type="character" w:styleId="LineNumber">
    <w:name w:val="line number"/>
    <w:basedOn w:val="DefaultParagraphFont"/>
    <w:uiPriority w:val="99"/>
    <w:semiHidden/>
    <w:unhideWhenUsed/>
    <w:rsid w:val="005C6A18"/>
  </w:style>
  <w:style w:type="paragraph" w:customStyle="1" w:styleId="MStitle">
    <w:name w:val="MS title"/>
    <w:basedOn w:val="Normal"/>
    <w:link w:val="MStitleChar"/>
    <w:qFormat/>
    <w:rsid w:val="005C6A18"/>
    <w:pPr>
      <w:spacing w:before="360" w:line="440" w:lineRule="exact"/>
      <w:contextualSpacing/>
    </w:pPr>
    <w:rPr>
      <w:b/>
      <w:sz w:val="34"/>
    </w:rPr>
  </w:style>
  <w:style w:type="paragraph" w:styleId="ListParagraph">
    <w:name w:val="List Paragraph"/>
    <w:basedOn w:val="Normal"/>
    <w:uiPriority w:val="34"/>
    <w:rsid w:val="005C6A18"/>
    <w:pPr>
      <w:ind w:left="720"/>
      <w:contextualSpacing/>
    </w:pPr>
  </w:style>
  <w:style w:type="character" w:customStyle="1" w:styleId="MStitleChar">
    <w:name w:val="MS title Char"/>
    <w:basedOn w:val="DefaultParagraphFont"/>
    <w:link w:val="MStitle"/>
    <w:rsid w:val="005C6A18"/>
    <w:rPr>
      <w:rFonts w:ascii="Times New Roman" w:eastAsia="Times New Roman" w:hAnsi="Times New Roman" w:cs="Times New Roman"/>
      <w:b/>
      <w:sz w:val="34"/>
      <w:lang w:eastAsia="de-DE"/>
    </w:rPr>
  </w:style>
  <w:style w:type="paragraph" w:customStyle="1" w:styleId="Affiliation">
    <w:name w:val="Affiliation"/>
    <w:basedOn w:val="Normal"/>
    <w:link w:val="AffiliationChar"/>
    <w:qFormat/>
    <w:rsid w:val="005C6A18"/>
    <w:pPr>
      <w:spacing w:before="120" w:line="240" w:lineRule="auto"/>
      <w:contextualSpacing/>
    </w:pPr>
  </w:style>
  <w:style w:type="character" w:styleId="PlaceholderText">
    <w:name w:val="Placeholder Text"/>
    <w:basedOn w:val="DefaultParagraphFont"/>
    <w:uiPriority w:val="99"/>
    <w:semiHidden/>
    <w:rsid w:val="005C6A18"/>
    <w:rPr>
      <w:color w:val="808080"/>
    </w:rPr>
  </w:style>
  <w:style w:type="character" w:customStyle="1" w:styleId="AffiliationChar">
    <w:name w:val="Affiliation Char"/>
    <w:basedOn w:val="DefaultParagraphFont"/>
    <w:link w:val="Affiliation"/>
    <w:rsid w:val="005C6A18"/>
    <w:rPr>
      <w:rFonts w:ascii="Times New Roman" w:eastAsia="Times New Roman" w:hAnsi="Times New Roman" w:cs="Times New Roman"/>
      <w:sz w:val="20"/>
      <w:lang w:eastAsia="de-DE"/>
    </w:rPr>
  </w:style>
  <w:style w:type="paragraph" w:styleId="BalloonText">
    <w:name w:val="Balloon Text"/>
    <w:basedOn w:val="Normal"/>
    <w:link w:val="BalloonTextChar"/>
    <w:uiPriority w:val="99"/>
    <w:semiHidden/>
    <w:unhideWhenUsed/>
    <w:rsid w:val="005C6A1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6A18"/>
    <w:rPr>
      <w:rFonts w:ascii="Tahoma" w:eastAsia="Times New Roman" w:hAnsi="Tahoma" w:cs="Tahoma"/>
      <w:sz w:val="16"/>
      <w:szCs w:val="16"/>
      <w:lang w:eastAsia="de-DE"/>
    </w:rPr>
  </w:style>
  <w:style w:type="paragraph" w:customStyle="1" w:styleId="Equation">
    <w:name w:val="Equation"/>
    <w:basedOn w:val="Normal"/>
    <w:link w:val="EquationChar"/>
    <w:rsid w:val="005C6A18"/>
    <w:pPr>
      <w:spacing w:before="120" w:after="120"/>
    </w:pPr>
    <w:rPr>
      <w:rFonts w:ascii="Cambria Math" w:hAnsi="Cambria Math"/>
    </w:rPr>
  </w:style>
  <w:style w:type="paragraph" w:styleId="Caption">
    <w:name w:val="caption"/>
    <w:basedOn w:val="Normal"/>
    <w:next w:val="Normal"/>
    <w:uiPriority w:val="35"/>
    <w:unhideWhenUsed/>
    <w:qFormat/>
    <w:rsid w:val="005C6A18"/>
    <w:pPr>
      <w:spacing w:after="200" w:line="240" w:lineRule="auto"/>
    </w:pPr>
    <w:rPr>
      <w:b/>
      <w:bCs/>
      <w:sz w:val="18"/>
      <w:szCs w:val="18"/>
    </w:rPr>
  </w:style>
  <w:style w:type="character" w:customStyle="1" w:styleId="EquationChar">
    <w:name w:val="Equation Char"/>
    <w:basedOn w:val="DefaultParagraphFont"/>
    <w:link w:val="Equation"/>
    <w:rsid w:val="005C6A18"/>
    <w:rPr>
      <w:rFonts w:ascii="Cambria Math" w:eastAsia="Times New Roman" w:hAnsi="Cambria Math" w:cs="Times New Roman"/>
      <w:sz w:val="20"/>
      <w:lang w:eastAsia="de-DE"/>
    </w:rPr>
  </w:style>
  <w:style w:type="paragraph" w:styleId="Footer">
    <w:name w:val="footer"/>
    <w:basedOn w:val="Normal"/>
    <w:link w:val="FooterChar"/>
    <w:uiPriority w:val="99"/>
    <w:unhideWhenUsed/>
    <w:rsid w:val="005C6A18"/>
    <w:pPr>
      <w:tabs>
        <w:tab w:val="center" w:pos="4513"/>
        <w:tab w:val="right" w:pos="9026"/>
      </w:tabs>
      <w:spacing w:line="240" w:lineRule="auto"/>
    </w:pPr>
  </w:style>
  <w:style w:type="character" w:customStyle="1" w:styleId="FooterChar">
    <w:name w:val="Footer Char"/>
    <w:basedOn w:val="DefaultParagraphFont"/>
    <w:link w:val="Footer"/>
    <w:uiPriority w:val="99"/>
    <w:rsid w:val="005C6A18"/>
    <w:rPr>
      <w:rFonts w:ascii="Times New Roman" w:eastAsia="Times New Roman" w:hAnsi="Times New Roman" w:cs="Times New Roman"/>
      <w:sz w:val="20"/>
      <w:lang w:eastAsia="de-DE"/>
    </w:rPr>
  </w:style>
  <w:style w:type="paragraph" w:customStyle="1" w:styleId="Correspondence">
    <w:name w:val="Correspondence"/>
    <w:basedOn w:val="Normal"/>
    <w:link w:val="CorrespondenceChar"/>
    <w:qFormat/>
    <w:rsid w:val="005C6A18"/>
    <w:pPr>
      <w:spacing w:before="120" w:after="360" w:line="240" w:lineRule="auto"/>
    </w:pPr>
  </w:style>
  <w:style w:type="character" w:customStyle="1" w:styleId="CorrespondenceChar">
    <w:name w:val="Correspondence Char"/>
    <w:basedOn w:val="DefaultParagraphFont"/>
    <w:link w:val="Correspondence"/>
    <w:rsid w:val="005C6A18"/>
    <w:rPr>
      <w:rFonts w:ascii="Times New Roman" w:eastAsia="Times New Roman" w:hAnsi="Times New Roman" w:cs="Times New Roman"/>
      <w:sz w:val="20"/>
      <w:lang w:eastAsia="de-DE"/>
    </w:rPr>
  </w:style>
  <w:style w:type="paragraph" w:customStyle="1" w:styleId="Authors">
    <w:name w:val="Authors"/>
    <w:basedOn w:val="Normal"/>
    <w:link w:val="AuthorsChar"/>
    <w:qFormat/>
    <w:rsid w:val="005C6A18"/>
    <w:pPr>
      <w:spacing w:before="180" w:line="240" w:lineRule="auto"/>
      <w:contextualSpacing/>
    </w:pPr>
    <w:rPr>
      <w:sz w:val="24"/>
    </w:rPr>
  </w:style>
  <w:style w:type="character" w:customStyle="1" w:styleId="AuthorsChar">
    <w:name w:val="Authors Char"/>
    <w:basedOn w:val="DefaultParagraphFont"/>
    <w:link w:val="Authors"/>
    <w:rsid w:val="005C6A18"/>
    <w:rPr>
      <w:rFonts w:ascii="Times New Roman" w:eastAsia="Times New Roman" w:hAnsi="Times New Roman" w:cs="Times New Roman"/>
      <w:lang w:eastAsia="de-DE"/>
    </w:rPr>
  </w:style>
  <w:style w:type="paragraph" w:styleId="NormalWeb">
    <w:name w:val="Normal (Web)"/>
    <w:basedOn w:val="Normal"/>
    <w:uiPriority w:val="99"/>
    <w:unhideWhenUsed/>
    <w:rsid w:val="005C6A18"/>
    <w:pPr>
      <w:spacing w:before="100" w:beforeAutospacing="1" w:after="100" w:afterAutospacing="1" w:line="240" w:lineRule="auto"/>
      <w:jc w:val="left"/>
    </w:pPr>
    <w:rPr>
      <w:sz w:val="24"/>
      <w:lang w:eastAsia="en-GB"/>
    </w:rPr>
  </w:style>
  <w:style w:type="table" w:styleId="TableGrid">
    <w:name w:val="Table Grid"/>
    <w:basedOn w:val="TableNormal"/>
    <w:uiPriority w:val="39"/>
    <w:rsid w:val="005C6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C6A18"/>
    <w:rPr>
      <w:sz w:val="16"/>
      <w:szCs w:val="16"/>
    </w:rPr>
  </w:style>
  <w:style w:type="paragraph" w:styleId="CommentText">
    <w:name w:val="annotation text"/>
    <w:basedOn w:val="Normal"/>
    <w:link w:val="CommentTextChar"/>
    <w:uiPriority w:val="99"/>
    <w:semiHidden/>
    <w:unhideWhenUsed/>
    <w:rsid w:val="005C6A18"/>
    <w:pPr>
      <w:spacing w:line="240" w:lineRule="auto"/>
    </w:pPr>
    <w:rPr>
      <w:szCs w:val="20"/>
    </w:rPr>
  </w:style>
  <w:style w:type="character" w:customStyle="1" w:styleId="CommentTextChar">
    <w:name w:val="Comment Text Char"/>
    <w:basedOn w:val="DefaultParagraphFont"/>
    <w:link w:val="CommentText"/>
    <w:uiPriority w:val="99"/>
    <w:semiHidden/>
    <w:rsid w:val="005C6A18"/>
    <w:rPr>
      <w:rFonts w:ascii="Times New Roman" w:eastAsia="Times New Roman" w:hAnsi="Times New Roman" w:cs="Times New Roman"/>
      <w:sz w:val="20"/>
      <w:szCs w:val="20"/>
      <w:lang w:eastAsia="de-DE"/>
    </w:rPr>
  </w:style>
  <w:style w:type="paragraph" w:styleId="CommentSubject">
    <w:name w:val="annotation subject"/>
    <w:basedOn w:val="CommentText"/>
    <w:next w:val="CommentText"/>
    <w:link w:val="CommentSubjectChar"/>
    <w:uiPriority w:val="99"/>
    <w:semiHidden/>
    <w:unhideWhenUsed/>
    <w:rsid w:val="005C6A18"/>
    <w:rPr>
      <w:b/>
      <w:bCs/>
    </w:rPr>
  </w:style>
  <w:style w:type="character" w:customStyle="1" w:styleId="CommentSubjectChar">
    <w:name w:val="Comment Subject Char"/>
    <w:basedOn w:val="CommentTextChar"/>
    <w:link w:val="CommentSubject"/>
    <w:uiPriority w:val="99"/>
    <w:semiHidden/>
    <w:rsid w:val="005C6A18"/>
    <w:rPr>
      <w:rFonts w:ascii="Times New Roman" w:eastAsia="Times New Roman" w:hAnsi="Times New Roman" w:cs="Times New Roman"/>
      <w:b/>
      <w:bCs/>
      <w:sz w:val="20"/>
      <w:szCs w:val="20"/>
      <w:lang w:eastAsia="de-DE"/>
    </w:rPr>
  </w:style>
  <w:style w:type="table" w:styleId="TableGridLight">
    <w:name w:val="Grid Table Light"/>
    <w:basedOn w:val="TableNormal"/>
    <w:uiPriority w:val="40"/>
    <w:rsid w:val="005C6A1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5C6A18"/>
    <w:rPr>
      <w:rFonts w:ascii="Times New Roman" w:eastAsia="Times New Roman" w:hAnsi="Times New Roman" w:cs="Times New Roman"/>
      <w:sz w:val="20"/>
      <w:lang w:eastAsia="de-DE"/>
    </w:rPr>
  </w:style>
  <w:style w:type="character" w:customStyle="1" w:styleId="UnresolvedMention1">
    <w:name w:val="Unresolved Mention1"/>
    <w:basedOn w:val="DefaultParagraphFont"/>
    <w:uiPriority w:val="99"/>
    <w:semiHidden/>
    <w:unhideWhenUsed/>
    <w:rsid w:val="005C6A18"/>
    <w:rPr>
      <w:color w:val="605E5C"/>
      <w:shd w:val="clear" w:color="auto" w:fill="E1DFDD"/>
    </w:rPr>
  </w:style>
  <w:style w:type="character" w:customStyle="1" w:styleId="Mention1">
    <w:name w:val="Mention1"/>
    <w:basedOn w:val="DefaultParagraphFont"/>
    <w:uiPriority w:val="99"/>
    <w:unhideWhenUsed/>
    <w:rsid w:val="005C6A18"/>
    <w:rPr>
      <w:color w:val="2B579A"/>
      <w:shd w:val="clear" w:color="auto" w:fill="E1DFDD"/>
    </w:rPr>
  </w:style>
  <w:style w:type="character" w:styleId="Emphasis">
    <w:name w:val="Emphasis"/>
    <w:basedOn w:val="DefaultParagraphFont"/>
    <w:uiPriority w:val="20"/>
    <w:qFormat/>
    <w:rsid w:val="00FF1C4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230892">
      <w:bodyDiv w:val="1"/>
      <w:marLeft w:val="0"/>
      <w:marRight w:val="0"/>
      <w:marTop w:val="0"/>
      <w:marBottom w:val="0"/>
      <w:divBdr>
        <w:top w:val="none" w:sz="0" w:space="0" w:color="auto"/>
        <w:left w:val="none" w:sz="0" w:space="0" w:color="auto"/>
        <w:bottom w:val="none" w:sz="0" w:space="0" w:color="auto"/>
        <w:right w:val="none" w:sz="0" w:space="0" w:color="auto"/>
      </w:divBdr>
    </w:div>
    <w:div w:id="1468162104">
      <w:bodyDiv w:val="1"/>
      <w:marLeft w:val="0"/>
      <w:marRight w:val="0"/>
      <w:marTop w:val="0"/>
      <w:marBottom w:val="0"/>
      <w:divBdr>
        <w:top w:val="none" w:sz="0" w:space="0" w:color="auto"/>
        <w:left w:val="none" w:sz="0" w:space="0" w:color="auto"/>
        <w:bottom w:val="none" w:sz="0" w:space="0" w:color="auto"/>
        <w:right w:val="none" w:sz="0" w:space="0" w:color="auto"/>
      </w:divBdr>
    </w:div>
    <w:div w:id="1749885541">
      <w:bodyDiv w:val="1"/>
      <w:marLeft w:val="0"/>
      <w:marRight w:val="0"/>
      <w:marTop w:val="0"/>
      <w:marBottom w:val="0"/>
      <w:divBdr>
        <w:top w:val="none" w:sz="0" w:space="0" w:color="auto"/>
        <w:left w:val="none" w:sz="0" w:space="0" w:color="auto"/>
        <w:bottom w:val="none" w:sz="0" w:space="0" w:color="auto"/>
        <w:right w:val="none" w:sz="0" w:space="0" w:color="auto"/>
      </w:divBdr>
    </w:div>
    <w:div w:id="1771049075">
      <w:bodyDiv w:val="1"/>
      <w:marLeft w:val="0"/>
      <w:marRight w:val="0"/>
      <w:marTop w:val="0"/>
      <w:marBottom w:val="0"/>
      <w:divBdr>
        <w:top w:val="none" w:sz="0" w:space="0" w:color="auto"/>
        <w:left w:val="none" w:sz="0" w:space="0" w:color="auto"/>
        <w:bottom w:val="none" w:sz="0" w:space="0" w:color="auto"/>
        <w:right w:val="none" w:sz="0" w:space="0" w:color="auto"/>
      </w:divBdr>
      <w:divsChild>
        <w:div w:id="1165243762">
          <w:marLeft w:val="0"/>
          <w:marRight w:val="0"/>
          <w:marTop w:val="0"/>
          <w:marBottom w:val="0"/>
          <w:divBdr>
            <w:top w:val="none" w:sz="0" w:space="0" w:color="auto"/>
            <w:left w:val="none" w:sz="0" w:space="0" w:color="auto"/>
            <w:bottom w:val="none" w:sz="0" w:space="0" w:color="auto"/>
            <w:right w:val="none" w:sz="0" w:space="0" w:color="auto"/>
          </w:divBdr>
          <w:divsChild>
            <w:div w:id="815728862">
              <w:marLeft w:val="0"/>
              <w:marRight w:val="0"/>
              <w:marTop w:val="0"/>
              <w:marBottom w:val="0"/>
              <w:divBdr>
                <w:top w:val="none" w:sz="0" w:space="0" w:color="auto"/>
                <w:left w:val="none" w:sz="0" w:space="0" w:color="auto"/>
                <w:bottom w:val="none" w:sz="0" w:space="0" w:color="auto"/>
                <w:right w:val="none" w:sz="0" w:space="0" w:color="auto"/>
              </w:divBdr>
              <w:divsChild>
                <w:div w:id="123157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6c13fd8-d4a8-44b7-8c35-2bece25ea766">
      <Terms xmlns="http://schemas.microsoft.com/office/infopath/2007/PartnerControls"/>
    </lcf76f155ced4ddcb4097134ff3c332f>
    <TaxCatchAll xmlns="b70ed3da-8118-46c1-91be-4e66a025b27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88ACAEF9211BE469B64A1BFB69CF5EC" ma:contentTypeVersion="14" ma:contentTypeDescription="Create a new document." ma:contentTypeScope="" ma:versionID="0676e7d692b00a808138ee0be45d4747">
  <xsd:schema xmlns:xsd="http://www.w3.org/2001/XMLSchema" xmlns:xs="http://www.w3.org/2001/XMLSchema" xmlns:p="http://schemas.microsoft.com/office/2006/metadata/properties" xmlns:ns2="96c13fd8-d4a8-44b7-8c35-2bece25ea766" xmlns:ns3="b70ed3da-8118-46c1-91be-4e66a025b27d" targetNamespace="http://schemas.microsoft.com/office/2006/metadata/properties" ma:root="true" ma:fieldsID="1c5070b0f635b1dad13c54baf693a4e7" ns2:_="" ns3:_="">
    <xsd:import namespace="96c13fd8-d4a8-44b7-8c35-2bece25ea766"/>
    <xsd:import namespace="b70ed3da-8118-46c1-91be-4e66a025b27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c13fd8-d4a8-44b7-8c35-2bece25ea7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b3a19cb6-1b10-4512-a12b-f76e45842a2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70ed3da-8118-46c1-91be-4e66a025b27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dc306ac-a27c-420d-9e78-0a885d749814}" ma:internalName="TaxCatchAll" ma:showField="CatchAllData" ma:web="b70ed3da-8118-46c1-91be-4e66a025b27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5A0576-41C6-4695-9C21-9ECE5624BC04}">
  <ds:schemaRefs>
    <ds:schemaRef ds:uri="http://schemas.openxmlformats.org/officeDocument/2006/bibliography"/>
  </ds:schemaRefs>
</ds:datastoreItem>
</file>

<file path=customXml/itemProps2.xml><?xml version="1.0" encoding="utf-8"?>
<ds:datastoreItem xmlns:ds="http://schemas.openxmlformats.org/officeDocument/2006/customXml" ds:itemID="{33399BAD-AD45-43EA-9790-C7B675FF5DC6}">
  <ds:schemaRefs>
    <ds:schemaRef ds:uri="http://schemas.microsoft.com/office/2006/metadata/properties"/>
    <ds:schemaRef ds:uri="http://schemas.microsoft.com/office/infopath/2007/PartnerControls"/>
    <ds:schemaRef ds:uri="96c13fd8-d4a8-44b7-8c35-2bece25ea766"/>
    <ds:schemaRef ds:uri="b70ed3da-8118-46c1-91be-4e66a025b27d"/>
  </ds:schemaRefs>
</ds:datastoreItem>
</file>

<file path=customXml/itemProps3.xml><?xml version="1.0" encoding="utf-8"?>
<ds:datastoreItem xmlns:ds="http://schemas.openxmlformats.org/officeDocument/2006/customXml" ds:itemID="{0F4D30FC-4BC3-4B31-AE51-34FA1392919C}">
  <ds:schemaRefs>
    <ds:schemaRef ds:uri="http://schemas.microsoft.com/sharepoint/v3/contenttype/forms"/>
  </ds:schemaRefs>
</ds:datastoreItem>
</file>

<file path=customXml/itemProps4.xml><?xml version="1.0" encoding="utf-8"?>
<ds:datastoreItem xmlns:ds="http://schemas.openxmlformats.org/officeDocument/2006/customXml" ds:itemID="{F2FD6F14-6CEA-49A2-88D5-2D1A8AC5E6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c13fd8-d4a8-44b7-8c35-2bece25ea766"/>
    <ds:schemaRef ds:uri="b70ed3da-8118-46c1-91be-4e66a025b2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13</Pages>
  <Words>20248</Words>
  <Characters>115419</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Robinson [ee14s2r]</dc:creator>
  <cp:keywords/>
  <dc:description/>
  <cp:lastModifiedBy>Suzanne Robinson [ee14s2r]</cp:lastModifiedBy>
  <cp:revision>11</cp:revision>
  <cp:lastPrinted>2022-07-04T10:06:00Z</cp:lastPrinted>
  <dcterms:created xsi:type="dcterms:W3CDTF">2022-07-04T10:06:00Z</dcterms:created>
  <dcterms:modified xsi:type="dcterms:W3CDTF">2022-08-23T11:02:00Z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http://www.zotero.org/styles/chemical-geology</vt:lpwstr>
  </property>
  <property fmtid="{D5CDD505-2E9C-101B-9397-08002B2CF9AE}" pid="11" name="Mendeley Recent Style Name 4_1">
    <vt:lpwstr>Chemical Geology</vt:lpwstr>
  </property>
  <property fmtid="{D5CDD505-2E9C-101B-9397-08002B2CF9AE}" pid="12" name="Mendeley Recent Style Id 5_1">
    <vt:lpwstr>http://www.zotero.org/styles/chicago-author-date</vt:lpwstr>
  </property>
  <property fmtid="{D5CDD505-2E9C-101B-9397-08002B2CF9AE}" pid="13" name="Mendeley Recent Style Name 5_1">
    <vt:lpwstr>Chicago Manual of Style 17th edition (author-date)</vt:lpwstr>
  </property>
  <property fmtid="{D5CDD505-2E9C-101B-9397-08002B2CF9AE}" pid="14" name="Mendeley Recent Style Id 6_1">
    <vt:lpwstr>http://www.zotero.org/styles/geoscientific-model-development</vt:lpwstr>
  </property>
  <property fmtid="{D5CDD505-2E9C-101B-9397-08002B2CF9AE}" pid="15" name="Mendeley Recent Style Name 6_1">
    <vt:lpwstr>Geoscientific Model Development</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Mendeley Document_1">
    <vt:lpwstr>True</vt:lpwstr>
  </property>
  <property fmtid="{D5CDD505-2E9C-101B-9397-08002B2CF9AE}" pid="23" name="Mendeley Unique User Id_1">
    <vt:lpwstr>1af2efb6-5827-393c-aa36-76e61ce565dc</vt:lpwstr>
  </property>
  <property fmtid="{D5CDD505-2E9C-101B-9397-08002B2CF9AE}" pid="24" name="Mendeley Citation Style_1">
    <vt:lpwstr>http://www.zotero.org/styles/geoscientific-model-development</vt:lpwstr>
  </property>
  <property fmtid="{D5CDD505-2E9C-101B-9397-08002B2CF9AE}" pid="25" name="ContentTypeId">
    <vt:lpwstr>0x010100C88ACAEF9211BE469B64A1BFB69CF5EC</vt:lpwstr>
  </property>
  <property fmtid="{D5CDD505-2E9C-101B-9397-08002B2CF9AE}" pid="26" name="MediaServiceImageTags">
    <vt:lpwstr/>
  </property>
</Properties>
</file>